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53B" w:rsidRPr="00584DF6" w:rsidRDefault="0095753B" w:rsidP="0095753B">
      <w:pPr>
        <w:jc w:val="center"/>
        <w:rPr>
          <w:sz w:val="18"/>
          <w:szCs w:val="18"/>
          <w:lang w:val="en-GB"/>
        </w:rPr>
      </w:pPr>
    </w:p>
    <w:p w:rsidR="0095753B" w:rsidRPr="00DD2F41" w:rsidRDefault="008D7918" w:rsidP="0095753B">
      <w:pPr>
        <w:jc w:val="center"/>
        <w:rPr>
          <w:b/>
          <w:sz w:val="28"/>
          <w:szCs w:val="28"/>
          <w:lang w:val="en-GB"/>
        </w:rPr>
      </w:pPr>
      <w:r>
        <w:rPr>
          <w:noProof/>
          <w:snapToGrid/>
          <w:sz w:val="22"/>
          <w:szCs w:val="22"/>
          <w:lang w:val="en-US"/>
        </w:rPr>
        <mc:AlternateContent>
          <mc:Choice Requires="wps">
            <w:drawing>
              <wp:anchor distT="0" distB="0" distL="114300" distR="114300" simplePos="0" relativeHeight="251662336" behindDoc="0" locked="0" layoutInCell="0" allowOverlap="1">
                <wp:simplePos x="0" y="0"/>
                <wp:positionH relativeFrom="column">
                  <wp:posOffset>-57150</wp:posOffset>
                </wp:positionH>
                <wp:positionV relativeFrom="paragraph">
                  <wp:posOffset>27940</wp:posOffset>
                </wp:positionV>
                <wp:extent cx="5943600" cy="635"/>
                <wp:effectExtent l="19050" t="29210" r="19050" b="1778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3A86C" id="Line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ZC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" o:allowincell="f" strokecolor="#d4d4d4" strokeweight="1.75pt">
                <v:shadow on="t" origin="-.5,-.5" offset="0,-1pt"/>
              </v:line>
            </w:pict>
          </mc:Fallback>
        </mc:AlternateContent>
      </w:r>
      <w:r w:rsidR="0095753B" w:rsidRPr="00DD2F41">
        <w:rPr>
          <w:b/>
          <w:sz w:val="28"/>
          <w:szCs w:val="28"/>
          <w:lang w:val="en-GB"/>
        </w:rPr>
        <w:t xml:space="preserve">WORKS </w:t>
      </w:r>
      <w:r w:rsidR="0095753B">
        <w:rPr>
          <w:b/>
          <w:sz w:val="28"/>
          <w:szCs w:val="28"/>
          <w:lang w:val="en-GB"/>
        </w:rPr>
        <w:t xml:space="preserve">CONTRACT </w:t>
      </w:r>
      <w:r w:rsidR="0095753B" w:rsidRPr="00DD2F41">
        <w:rPr>
          <w:b/>
          <w:sz w:val="28"/>
          <w:szCs w:val="28"/>
          <w:lang w:val="en-GB"/>
        </w:rPr>
        <w:t>NOTICE</w:t>
      </w:r>
    </w:p>
    <w:p w:rsidR="0095753B" w:rsidRPr="00975144" w:rsidRDefault="0095753B" w:rsidP="00634B13">
      <w:pPr>
        <w:jc w:val="center"/>
        <w:rPr>
          <w:b/>
          <w:bCs/>
          <w:snapToGrid/>
          <w:color w:val="000000"/>
          <w:sz w:val="20"/>
          <w:lang w:val="en-US"/>
        </w:rPr>
      </w:pPr>
      <w:r w:rsidRPr="00871D4D">
        <w:rPr>
          <w:rStyle w:val="Strong"/>
          <w:sz w:val="22"/>
          <w:szCs w:val="22"/>
          <w:lang w:val="en-GB"/>
        </w:rPr>
        <w:t xml:space="preserve">Contract title: </w:t>
      </w:r>
      <w:r w:rsidR="00975144">
        <w:rPr>
          <w:rStyle w:val="Strong"/>
          <w:sz w:val="22"/>
          <w:szCs w:val="22"/>
          <w:lang w:val="en-GB"/>
        </w:rPr>
        <w:t xml:space="preserve">Works for </w:t>
      </w:r>
      <w:r w:rsidR="00975144" w:rsidRPr="00975144">
        <w:rPr>
          <w:b/>
          <w:sz w:val="22"/>
          <w:szCs w:val="22"/>
        </w:rPr>
        <w:t>Reconstruction of the building of the Kayak Centre</w:t>
      </w:r>
    </w:p>
    <w:p w:rsidR="0095753B" w:rsidRPr="00DD2F41" w:rsidRDefault="0095753B" w:rsidP="0095753B">
      <w:pPr>
        <w:jc w:val="center"/>
        <w:rPr>
          <w:rStyle w:val="Strong"/>
          <w:sz w:val="22"/>
          <w:szCs w:val="22"/>
          <w:lang w:val="en-GB"/>
        </w:rPr>
      </w:pPr>
    </w:p>
    <w:p w:rsidR="0095753B" w:rsidRDefault="0095753B" w:rsidP="0095753B">
      <w:pPr>
        <w:jc w:val="center"/>
        <w:rPr>
          <w:sz w:val="22"/>
          <w:szCs w:val="22"/>
          <w:lang w:val="en-GB"/>
        </w:rPr>
      </w:pPr>
      <w:r w:rsidRPr="00871D4D">
        <w:rPr>
          <w:b/>
          <w:sz w:val="22"/>
          <w:szCs w:val="22"/>
          <w:lang w:val="en-GB"/>
        </w:rPr>
        <w:t>Location</w:t>
      </w:r>
      <w:r w:rsidRPr="00871D4D">
        <w:rPr>
          <w:sz w:val="22"/>
          <w:szCs w:val="22"/>
          <w:lang w:val="en-GB"/>
        </w:rPr>
        <w:t xml:space="preserve"> –</w:t>
      </w:r>
      <w:r w:rsidR="00975144">
        <w:rPr>
          <w:sz w:val="22"/>
          <w:szCs w:val="22"/>
          <w:lang w:val="en-GB"/>
        </w:rPr>
        <w:t xml:space="preserve">West </w:t>
      </w:r>
      <w:proofErr w:type="spellStart"/>
      <w:r w:rsidR="00975144">
        <w:rPr>
          <w:sz w:val="22"/>
          <w:szCs w:val="22"/>
          <w:lang w:val="en-GB"/>
        </w:rPr>
        <w:t>Bačka</w:t>
      </w:r>
      <w:proofErr w:type="spellEnd"/>
      <w:r w:rsidR="00975144">
        <w:rPr>
          <w:sz w:val="22"/>
          <w:szCs w:val="22"/>
          <w:lang w:val="en-GB"/>
        </w:rPr>
        <w:t xml:space="preserve"> District,</w:t>
      </w:r>
      <w:r w:rsidR="0084699E">
        <w:rPr>
          <w:sz w:val="22"/>
          <w:szCs w:val="22"/>
          <w:lang w:val="en-GB"/>
        </w:rPr>
        <w:t xml:space="preserve"> </w:t>
      </w:r>
      <w:r w:rsidRPr="008418F4">
        <w:rPr>
          <w:sz w:val="22"/>
          <w:szCs w:val="22"/>
          <w:lang w:val="en-GB"/>
        </w:rPr>
        <w:t xml:space="preserve">AP </w:t>
      </w:r>
      <w:proofErr w:type="spellStart"/>
      <w:r w:rsidRPr="008418F4">
        <w:rPr>
          <w:sz w:val="22"/>
          <w:szCs w:val="22"/>
          <w:lang w:val="en-GB"/>
        </w:rPr>
        <w:t>Vojvodina</w:t>
      </w:r>
      <w:proofErr w:type="spellEnd"/>
      <w:r w:rsidRPr="008418F4">
        <w:rPr>
          <w:sz w:val="22"/>
          <w:szCs w:val="22"/>
          <w:lang w:val="en-GB"/>
        </w:rPr>
        <w:t>, Republic of</w:t>
      </w:r>
      <w:r w:rsidRPr="00725376">
        <w:rPr>
          <w:color w:val="00B050"/>
          <w:sz w:val="22"/>
          <w:szCs w:val="22"/>
          <w:lang w:val="en-GB"/>
        </w:rPr>
        <w:t xml:space="preserve"> </w:t>
      </w:r>
      <w:r w:rsidRPr="003C6594">
        <w:rPr>
          <w:sz w:val="22"/>
          <w:szCs w:val="22"/>
          <w:lang w:val="en-GB"/>
        </w:rPr>
        <w:t>Serbia</w:t>
      </w:r>
    </w:p>
    <w:p w:rsidR="0095753B" w:rsidRPr="008418F4" w:rsidRDefault="0095753B" w:rsidP="0095753B">
      <w:pPr>
        <w:pStyle w:val="PRAGHeading2"/>
        <w:rPr>
          <w:rStyle w:val="Strong"/>
          <w:sz w:val="22"/>
          <w:szCs w:val="22"/>
          <w:lang w:val="en-GB"/>
        </w:rPr>
      </w:pPr>
      <w:r w:rsidRPr="008418F4">
        <w:rPr>
          <w:rStyle w:val="Strong"/>
          <w:sz w:val="22"/>
          <w:szCs w:val="22"/>
          <w:lang w:val="en-GB"/>
        </w:rPr>
        <w:t>Publication reference</w:t>
      </w:r>
    </w:p>
    <w:p w:rsidR="0095753B" w:rsidRPr="008418F4" w:rsidRDefault="00975144" w:rsidP="0060599F">
      <w:pPr>
        <w:pStyle w:val="PRAGHeading2"/>
        <w:numPr>
          <w:ilvl w:val="0"/>
          <w:numId w:val="0"/>
        </w:numPr>
        <w:ind w:firstLine="720"/>
        <w:rPr>
          <w:b/>
          <w:lang w:val="en-GB"/>
        </w:rPr>
      </w:pPr>
      <w:r>
        <w:rPr>
          <w:lang w:val="en-GB"/>
        </w:rPr>
        <w:t>HUSRB/1602/31/0227-2</w:t>
      </w:r>
      <w:r w:rsidRPr="00975144">
        <w:rPr>
          <w:lang w:val="en-GB"/>
        </w:rPr>
        <w:t>/</w:t>
      </w:r>
      <w:r>
        <w:rPr>
          <w:lang w:val="en-GB"/>
        </w:rPr>
        <w:t>works 7.2.1</w:t>
      </w:r>
    </w:p>
    <w:p w:rsidR="0095753B" w:rsidRPr="00DD2F41" w:rsidRDefault="0095753B" w:rsidP="0095753B">
      <w:pPr>
        <w:pStyle w:val="PRAGHeading2"/>
        <w:rPr>
          <w:rStyle w:val="Strong"/>
          <w:sz w:val="22"/>
          <w:szCs w:val="22"/>
          <w:lang w:val="en-GB"/>
        </w:rPr>
      </w:pPr>
      <w:r w:rsidRPr="00DD2F41">
        <w:rPr>
          <w:rStyle w:val="Strong"/>
          <w:sz w:val="22"/>
          <w:szCs w:val="22"/>
          <w:lang w:val="en-GB"/>
        </w:rPr>
        <w:t>Procedure</w:t>
      </w:r>
    </w:p>
    <w:p w:rsidR="0095753B" w:rsidRPr="005050A7" w:rsidRDefault="0095753B" w:rsidP="0095753B">
      <w:pPr>
        <w:pStyle w:val="PRAGHeading2"/>
        <w:numPr>
          <w:ilvl w:val="0"/>
          <w:numId w:val="0"/>
        </w:numPr>
        <w:ind w:left="709"/>
      </w:pPr>
      <w:proofErr w:type="spellStart"/>
      <w:r w:rsidRPr="00990CAF">
        <w:t>Competitive</w:t>
      </w:r>
      <w:proofErr w:type="spellEnd"/>
      <w:r w:rsidRPr="00990CAF">
        <w:t xml:space="preserve"> </w:t>
      </w:r>
      <w:proofErr w:type="spellStart"/>
      <w:r w:rsidRPr="00990CAF">
        <w:t>negotiated</w:t>
      </w:r>
      <w:proofErr w:type="spellEnd"/>
      <w:r>
        <w:rPr>
          <w:color w:val="FF0000"/>
        </w:rPr>
        <w:t xml:space="preserve"> </w:t>
      </w:r>
      <w:r>
        <w:t xml:space="preserve">Tender </w:t>
      </w:r>
      <w:proofErr w:type="spellStart"/>
      <w:r>
        <w:t>Procedure</w:t>
      </w:r>
      <w:proofErr w:type="spellEnd"/>
      <w:r w:rsidRPr="005050A7">
        <w:t xml:space="preserve"> </w:t>
      </w:r>
    </w:p>
    <w:p w:rsidR="0095753B" w:rsidRPr="00DD2F41" w:rsidRDefault="0095753B" w:rsidP="0095753B">
      <w:pPr>
        <w:pStyle w:val="PRAGHeading2"/>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95753B" w:rsidRPr="00A95184" w:rsidRDefault="0095753B" w:rsidP="0095753B">
      <w:pPr>
        <w:pStyle w:val="PRAGHeading2"/>
        <w:numPr>
          <w:ilvl w:val="0"/>
          <w:numId w:val="0"/>
        </w:numPr>
        <w:ind w:left="709"/>
        <w:rPr>
          <w:lang w:val="en-GB"/>
        </w:rPr>
      </w:pPr>
      <w:bookmarkStart w:id="0" w:name="_Hlk488779962"/>
      <w:proofErr w:type="spellStart"/>
      <w:r w:rsidRPr="00871D4D">
        <w:rPr>
          <w:lang w:val="en-GB"/>
        </w:rPr>
        <w:t>Interreg</w:t>
      </w:r>
      <w:proofErr w:type="spellEnd"/>
      <w:r w:rsidRPr="00871D4D">
        <w:rPr>
          <w:lang w:val="en-GB"/>
        </w:rPr>
        <w:t xml:space="preserve"> – IPA Cross-border Co-operation Programme Hungary-Serbia</w:t>
      </w:r>
      <w:bookmarkEnd w:id="0"/>
    </w:p>
    <w:p w:rsidR="0095753B" w:rsidRPr="00DD2F41" w:rsidRDefault="0095753B" w:rsidP="0095753B">
      <w:pPr>
        <w:pStyle w:val="PRAGHeading2"/>
        <w:rPr>
          <w:rStyle w:val="Strong"/>
          <w:sz w:val="22"/>
          <w:szCs w:val="22"/>
          <w:lang w:val="en-GB"/>
        </w:rPr>
      </w:pPr>
      <w:r w:rsidRPr="00DD2F41">
        <w:rPr>
          <w:rStyle w:val="Strong"/>
          <w:sz w:val="22"/>
          <w:szCs w:val="22"/>
          <w:lang w:val="en-GB"/>
        </w:rPr>
        <w:t>Financing</w:t>
      </w:r>
    </w:p>
    <w:p w:rsidR="0095753B" w:rsidRPr="00805EFA" w:rsidRDefault="008D7918" w:rsidP="0095753B">
      <w:pPr>
        <w:ind w:left="709"/>
        <w:rPr>
          <w:sz w:val="22"/>
          <w:szCs w:val="22"/>
          <w:lang w:val="en-GB"/>
        </w:rPr>
      </w:pPr>
      <w:r>
        <w:rPr>
          <w:lang w:val="en-GB"/>
        </w:rPr>
        <w:t>HUSRB/1602/31/0227</w:t>
      </w:r>
    </w:p>
    <w:p w:rsidR="0095753B" w:rsidRPr="00DD2F41" w:rsidRDefault="0095753B" w:rsidP="0095753B">
      <w:pPr>
        <w:pStyle w:val="PRAGHeading2"/>
        <w:rPr>
          <w:rStyle w:val="Strong"/>
          <w:sz w:val="22"/>
          <w:szCs w:val="22"/>
          <w:lang w:val="en-GB"/>
        </w:rPr>
      </w:pPr>
      <w:r w:rsidRPr="00DD2F41">
        <w:rPr>
          <w:rStyle w:val="Strong"/>
          <w:sz w:val="22"/>
          <w:szCs w:val="22"/>
          <w:lang w:val="en-GB"/>
        </w:rPr>
        <w:t>Contracting Authority</w:t>
      </w:r>
    </w:p>
    <w:p w:rsidR="0095753B" w:rsidRPr="008418F4" w:rsidRDefault="0095753B" w:rsidP="0095753B">
      <w:pPr>
        <w:spacing w:before="0" w:after="0"/>
        <w:ind w:left="706"/>
        <w:rPr>
          <w:sz w:val="22"/>
          <w:szCs w:val="22"/>
          <w:lang w:val="en-GB"/>
        </w:rPr>
      </w:pPr>
      <w:r w:rsidRPr="008418F4">
        <w:rPr>
          <w:sz w:val="22"/>
          <w:szCs w:val="22"/>
          <w:lang w:val="en-GB"/>
        </w:rPr>
        <w:t xml:space="preserve">City of </w:t>
      </w:r>
      <w:proofErr w:type="spellStart"/>
      <w:r w:rsidRPr="008418F4">
        <w:rPr>
          <w:sz w:val="22"/>
          <w:szCs w:val="22"/>
          <w:lang w:val="en-GB"/>
        </w:rPr>
        <w:t>Sombor</w:t>
      </w:r>
      <w:proofErr w:type="spellEnd"/>
    </w:p>
    <w:p w:rsidR="0095753B" w:rsidRPr="008418F4" w:rsidRDefault="0095753B" w:rsidP="0095753B">
      <w:pPr>
        <w:spacing w:before="0" w:after="0"/>
        <w:ind w:left="706"/>
        <w:rPr>
          <w:sz w:val="22"/>
          <w:szCs w:val="22"/>
          <w:lang w:val="en-GB"/>
        </w:rPr>
      </w:pPr>
      <w:proofErr w:type="spellStart"/>
      <w:r w:rsidRPr="008418F4">
        <w:rPr>
          <w:sz w:val="22"/>
          <w:szCs w:val="22"/>
          <w:lang w:val="en-GB"/>
        </w:rPr>
        <w:t>Trg</w:t>
      </w:r>
      <w:proofErr w:type="spellEnd"/>
      <w:r w:rsidRPr="008418F4">
        <w:rPr>
          <w:sz w:val="22"/>
          <w:szCs w:val="22"/>
          <w:lang w:val="en-GB"/>
        </w:rPr>
        <w:t xml:space="preserve"> </w:t>
      </w:r>
      <w:proofErr w:type="spellStart"/>
      <w:proofErr w:type="gramStart"/>
      <w:r w:rsidRPr="008418F4">
        <w:rPr>
          <w:sz w:val="22"/>
          <w:szCs w:val="22"/>
          <w:lang w:val="en-GB"/>
        </w:rPr>
        <w:t>cara</w:t>
      </w:r>
      <w:proofErr w:type="spellEnd"/>
      <w:proofErr w:type="gramEnd"/>
      <w:r w:rsidRPr="008418F4">
        <w:rPr>
          <w:sz w:val="22"/>
          <w:szCs w:val="22"/>
          <w:lang w:val="en-GB"/>
        </w:rPr>
        <w:t xml:space="preserve"> </w:t>
      </w:r>
      <w:proofErr w:type="spellStart"/>
      <w:r w:rsidRPr="008418F4">
        <w:rPr>
          <w:sz w:val="22"/>
          <w:szCs w:val="22"/>
          <w:lang w:val="en-GB"/>
        </w:rPr>
        <w:t>Urosa</w:t>
      </w:r>
      <w:proofErr w:type="spellEnd"/>
      <w:r w:rsidRPr="008418F4">
        <w:rPr>
          <w:sz w:val="22"/>
          <w:szCs w:val="22"/>
          <w:lang w:val="en-GB"/>
        </w:rPr>
        <w:t xml:space="preserve"> 1, 25000 </w:t>
      </w:r>
      <w:proofErr w:type="spellStart"/>
      <w:r w:rsidRPr="008418F4">
        <w:rPr>
          <w:sz w:val="22"/>
          <w:szCs w:val="22"/>
          <w:lang w:val="en-GB"/>
        </w:rPr>
        <w:t>Sombor</w:t>
      </w:r>
      <w:proofErr w:type="spellEnd"/>
    </w:p>
    <w:p w:rsidR="0095753B" w:rsidRDefault="0095753B" w:rsidP="0095753B">
      <w:pPr>
        <w:spacing w:before="0" w:after="0"/>
        <w:ind w:left="706"/>
        <w:rPr>
          <w:sz w:val="22"/>
          <w:szCs w:val="22"/>
          <w:lang w:val="en-GB"/>
        </w:rPr>
      </w:pPr>
      <w:r w:rsidRPr="008418F4">
        <w:rPr>
          <w:sz w:val="22"/>
          <w:szCs w:val="22"/>
          <w:lang w:val="en-GB"/>
        </w:rPr>
        <w:t>The Republic of Serbia</w:t>
      </w:r>
    </w:p>
    <w:p w:rsidR="00047600" w:rsidRDefault="00047600" w:rsidP="0095753B">
      <w:pPr>
        <w:spacing w:before="0" w:after="0"/>
        <w:ind w:left="706"/>
        <w:rPr>
          <w:sz w:val="22"/>
          <w:szCs w:val="22"/>
          <w:lang w:val="en-GB"/>
        </w:rPr>
      </w:pPr>
    </w:p>
    <w:p w:rsidR="00047600" w:rsidRDefault="00047600" w:rsidP="00047600">
      <w:pPr>
        <w:ind w:left="709"/>
        <w:jc w:val="both"/>
        <w:rPr>
          <w:sz w:val="22"/>
          <w:szCs w:val="22"/>
          <w:lang w:val="en-GB"/>
        </w:rPr>
      </w:pPr>
      <w:r>
        <w:rPr>
          <w:sz w:val="22"/>
          <w:szCs w:val="22"/>
          <w:lang w:val="en-GB"/>
        </w:rPr>
        <w:t xml:space="preserve">Clarifications may be sought from the contracting authority at the following email address </w:t>
      </w:r>
      <w:hyperlink r:id="rId7" w:history="1">
        <w:r w:rsidRPr="007F4E98">
          <w:rPr>
            <w:rStyle w:val="Hyperlink"/>
            <w:sz w:val="22"/>
            <w:szCs w:val="22"/>
            <w:lang w:val="en-GB"/>
          </w:rPr>
          <w:t>greenwayssombor@gmail.com</w:t>
        </w:r>
      </w:hyperlink>
      <w:r>
        <w:rPr>
          <w:sz w:val="22"/>
          <w:szCs w:val="22"/>
          <w:lang w:val="en-GB"/>
        </w:rPr>
        <w:t xml:space="preserve"> at the latest 21 days before the deadline for submission of applications stated at the point 19 below.</w:t>
      </w:r>
    </w:p>
    <w:p w:rsidR="00047600" w:rsidRPr="008418F4" w:rsidRDefault="00047600" w:rsidP="00047600">
      <w:pPr>
        <w:spacing w:before="0" w:after="0"/>
        <w:ind w:left="706"/>
        <w:rPr>
          <w:sz w:val="22"/>
          <w:szCs w:val="22"/>
          <w:lang w:val="en-GB"/>
        </w:rPr>
      </w:pPr>
      <w:r>
        <w:rPr>
          <w:sz w:val="22"/>
          <w:szCs w:val="22"/>
          <w:lang w:val="en-GB"/>
        </w:rPr>
        <w:t xml:space="preserve">Clarifications will be published on the website </w:t>
      </w:r>
      <w:hyperlink r:id="rId8" w:history="1">
        <w:r w:rsidRPr="009F1862">
          <w:rPr>
            <w:rFonts w:ascii="Verdana" w:hAnsi="Verdana"/>
          </w:rPr>
          <w:t xml:space="preserve"> </w:t>
        </w:r>
        <w:hyperlink r:id="rId9" w:history="1">
          <w:r w:rsidRPr="009F1862">
            <w:rPr>
              <w:rStyle w:val="Hyperlink"/>
            </w:rPr>
            <w:t>https://www.sombor.rs/gradska-uprava/javne-nabavke-2/javne-nabavke-u-toku</w:t>
          </w:r>
          <w:r w:rsidRPr="009F1862">
            <w:rPr>
              <w:rStyle w:val="Hyperlink"/>
              <w:rFonts w:ascii="Verdana" w:hAnsi="Verdana"/>
            </w:rPr>
            <w:t>/</w:t>
          </w:r>
        </w:hyperlink>
      </w:hyperlink>
      <w:r>
        <w:rPr>
          <w:sz w:val="22"/>
          <w:szCs w:val="22"/>
          <w:lang w:val="en-GB"/>
        </w:rPr>
        <w:t xml:space="preserve"> at the latest 11 days before the deadline.</w:t>
      </w:r>
    </w:p>
    <w:p w:rsidR="0095753B" w:rsidRPr="009C65D6" w:rsidRDefault="0095753B" w:rsidP="0095753B">
      <w:pPr>
        <w:spacing w:before="0" w:after="0"/>
        <w:ind w:left="706"/>
        <w:rPr>
          <w:sz w:val="22"/>
          <w:szCs w:val="22"/>
          <w:lang w:val="en-GB"/>
        </w:rPr>
      </w:pPr>
    </w:p>
    <w:p w:rsidR="0095753B" w:rsidRPr="00DD2F41" w:rsidRDefault="008D7918" w:rsidP="0095753B">
      <w:pPr>
        <w:keepNext/>
        <w:widowControl/>
        <w:ind w:left="357"/>
        <w:jc w:val="center"/>
        <w:rPr>
          <w:rStyle w:val="Strong"/>
          <w:sz w:val="22"/>
          <w:szCs w:val="22"/>
          <w:lang w:val="en-GB"/>
        </w:rPr>
      </w:pPr>
      <w:r>
        <w:rPr>
          <w:b/>
          <w:noProof/>
          <w:snapToGrid/>
          <w:sz w:val="22"/>
          <w:szCs w:val="22"/>
          <w:lang w:val="en-US"/>
        </w:rPr>
        <mc:AlternateContent>
          <mc:Choice Requires="wps">
            <w:drawing>
              <wp:anchor distT="0" distB="0" distL="114300" distR="114300" simplePos="0" relativeHeight="251664384" behindDoc="0" locked="0" layoutInCell="0" allowOverlap="1">
                <wp:simplePos x="0" y="0"/>
                <wp:positionH relativeFrom="column">
                  <wp:posOffset>28575</wp:posOffset>
                </wp:positionH>
                <wp:positionV relativeFrom="paragraph">
                  <wp:posOffset>-5715</wp:posOffset>
                </wp:positionV>
                <wp:extent cx="5943600" cy="635"/>
                <wp:effectExtent l="19050" t="32385" r="19050" b="1460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F693" id="Line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3SR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" o:allowincell="f" strokecolor="#d4d4d4" strokeweight="1.75pt">
                <v:shadow on="t" origin="-.5,-.5" offset="0,-1pt"/>
              </v:line>
            </w:pict>
          </mc:Fallback>
        </mc:AlternateContent>
      </w:r>
      <w:r w:rsidR="0095753B" w:rsidRPr="00DD2F41">
        <w:rPr>
          <w:rStyle w:val="Strong"/>
          <w:sz w:val="22"/>
          <w:szCs w:val="22"/>
          <w:lang w:val="en-GB"/>
        </w:rPr>
        <w:t>CONTRACT SPECIFICATIONS</w:t>
      </w:r>
    </w:p>
    <w:p w:rsidR="0095753B" w:rsidRPr="00DD2F41" w:rsidRDefault="0095753B" w:rsidP="0095753B">
      <w:pPr>
        <w:pStyle w:val="PRAGHeading2"/>
        <w:rPr>
          <w:rStyle w:val="Strong"/>
          <w:sz w:val="22"/>
          <w:szCs w:val="22"/>
          <w:lang w:val="en-GB"/>
        </w:rPr>
      </w:pPr>
      <w:r w:rsidRPr="00DD2F41">
        <w:rPr>
          <w:rStyle w:val="Strong"/>
          <w:sz w:val="22"/>
          <w:szCs w:val="22"/>
          <w:lang w:val="en-GB"/>
        </w:rPr>
        <w:t>Description of the contract</w:t>
      </w:r>
    </w:p>
    <w:p w:rsidR="0095753B" w:rsidRDefault="001A265E" w:rsidP="0095753B">
      <w:pPr>
        <w:ind w:left="709"/>
        <w:jc w:val="both"/>
        <w:rPr>
          <w:sz w:val="22"/>
          <w:szCs w:val="22"/>
          <w:lang w:val="en-GB"/>
        </w:rPr>
      </w:pPr>
      <w:r w:rsidRPr="001A265E">
        <w:rPr>
          <w:sz w:val="22"/>
          <w:szCs w:val="22"/>
          <w:lang w:val="en-GB"/>
        </w:rPr>
        <w:t>Complete reconstruction of an outdat</w:t>
      </w:r>
      <w:r w:rsidR="008D7918">
        <w:rPr>
          <w:sz w:val="22"/>
          <w:szCs w:val="22"/>
          <w:lang w:val="en-GB"/>
        </w:rPr>
        <w:t xml:space="preserve">ed warehouse on the </w:t>
      </w:r>
      <w:proofErr w:type="spellStart"/>
      <w:r w:rsidR="008D7918">
        <w:rPr>
          <w:sz w:val="22"/>
          <w:szCs w:val="22"/>
          <w:lang w:val="en-GB"/>
        </w:rPr>
        <w:t>Veliki</w:t>
      </w:r>
      <w:proofErr w:type="spellEnd"/>
      <w:r w:rsidR="008D7918">
        <w:rPr>
          <w:sz w:val="22"/>
          <w:szCs w:val="22"/>
          <w:lang w:val="en-GB"/>
        </w:rPr>
        <w:t xml:space="preserve"> </w:t>
      </w:r>
      <w:proofErr w:type="spellStart"/>
      <w:r w:rsidR="008D7918">
        <w:rPr>
          <w:sz w:val="22"/>
          <w:szCs w:val="22"/>
          <w:lang w:val="en-GB"/>
        </w:rPr>
        <w:t>Bački</w:t>
      </w:r>
      <w:proofErr w:type="spellEnd"/>
      <w:r w:rsidRPr="001A265E">
        <w:rPr>
          <w:sz w:val="22"/>
          <w:szCs w:val="22"/>
          <w:lang w:val="en-GB"/>
        </w:rPr>
        <w:t xml:space="preserve"> Canal to be used as Kayak Centre. Works include preparatory activities, groundwork, concrete and reinforced concrete works, masonry, tinsmith works, roofing and carpentry, installation of electricity, water and sewage systems, sanitation, frontal reconstruction, ceramics, plastering, painting and installation of internal furniture. Floating pontoons will be produced and installed in front of the building on the water.</w:t>
      </w:r>
      <w:r w:rsidR="008E714A" w:rsidRPr="008E714A">
        <w:rPr>
          <w:sz w:val="22"/>
          <w:szCs w:val="22"/>
          <w:lang w:val="en-GB"/>
        </w:rPr>
        <w:t xml:space="preserve"> Contract implementation period is </w:t>
      </w:r>
      <w:r w:rsidR="008D7918">
        <w:rPr>
          <w:sz w:val="22"/>
          <w:szCs w:val="22"/>
          <w:lang w:val="en-GB"/>
        </w:rPr>
        <w:t>120</w:t>
      </w:r>
      <w:r w:rsidR="008E714A" w:rsidRPr="008E714A">
        <w:rPr>
          <w:sz w:val="22"/>
          <w:szCs w:val="22"/>
          <w:lang w:val="en-GB"/>
        </w:rPr>
        <w:t xml:space="preserve"> </w:t>
      </w:r>
      <w:r w:rsidR="008D7918">
        <w:rPr>
          <w:sz w:val="22"/>
          <w:szCs w:val="22"/>
          <w:lang w:val="en-GB"/>
        </w:rPr>
        <w:t>days</w:t>
      </w:r>
      <w:r w:rsidR="008E714A" w:rsidRPr="008E714A">
        <w:rPr>
          <w:sz w:val="22"/>
          <w:szCs w:val="22"/>
          <w:lang w:val="en-GB"/>
        </w:rPr>
        <w:t xml:space="preserve"> from the contract signing.</w:t>
      </w:r>
    </w:p>
    <w:p w:rsidR="0095753B" w:rsidRPr="00AD5980" w:rsidRDefault="0095753B" w:rsidP="008C7E1E">
      <w:pPr>
        <w:pStyle w:val="PRAGHeading2"/>
        <w:rPr>
          <w:rStyle w:val="Strong"/>
          <w:sz w:val="22"/>
          <w:szCs w:val="22"/>
          <w:lang w:val="en-GB"/>
        </w:rPr>
      </w:pPr>
      <w:r w:rsidRPr="00AD5980">
        <w:rPr>
          <w:rStyle w:val="Strong"/>
          <w:sz w:val="22"/>
          <w:szCs w:val="22"/>
          <w:lang w:val="en-GB"/>
        </w:rPr>
        <w:t>Number and titles of lots</w:t>
      </w:r>
    </w:p>
    <w:p w:rsidR="0095753B" w:rsidRPr="00AD5980" w:rsidRDefault="0095753B" w:rsidP="0095753B">
      <w:pPr>
        <w:pStyle w:val="Blockquote"/>
        <w:ind w:left="709"/>
        <w:jc w:val="both"/>
        <w:rPr>
          <w:rStyle w:val="Emphasis"/>
          <w:i w:val="0"/>
          <w:sz w:val="22"/>
          <w:szCs w:val="22"/>
          <w:lang w:val="en-GB"/>
        </w:rPr>
      </w:pPr>
      <w:r w:rsidRPr="00AD5980">
        <w:rPr>
          <w:rStyle w:val="Emphasis"/>
          <w:i w:val="0"/>
          <w:sz w:val="22"/>
          <w:szCs w:val="22"/>
          <w:lang w:val="en-GB"/>
        </w:rPr>
        <w:t>One lot only</w:t>
      </w:r>
    </w:p>
    <w:p w:rsidR="0095753B" w:rsidRPr="00DD2F41" w:rsidRDefault="008D7918" w:rsidP="0095753B">
      <w:pPr>
        <w:ind w:left="360"/>
        <w:jc w:val="center"/>
        <w:rPr>
          <w:rStyle w:val="Strong"/>
          <w:sz w:val="22"/>
          <w:szCs w:val="22"/>
          <w:lang w:val="en-GB"/>
        </w:rPr>
      </w:pPr>
      <w:r>
        <w:rPr>
          <w:b/>
          <w:noProof/>
          <w:snapToGrid/>
          <w:sz w:val="22"/>
          <w:szCs w:val="22"/>
          <w:lang w:val="en-US"/>
        </w:rPr>
        <mc:AlternateContent>
          <mc:Choice Requires="wps">
            <w:drawing>
              <wp:anchor distT="0" distB="0" distL="114300" distR="114300" simplePos="0" relativeHeight="251663360" behindDoc="0" locked="0" layoutInCell="0" allowOverlap="1">
                <wp:simplePos x="0" y="0"/>
                <wp:positionH relativeFrom="column">
                  <wp:posOffset>28575</wp:posOffset>
                </wp:positionH>
                <wp:positionV relativeFrom="paragraph">
                  <wp:posOffset>11430</wp:posOffset>
                </wp:positionV>
                <wp:extent cx="5943600" cy="635"/>
                <wp:effectExtent l="19050" t="26670" r="19050" b="2032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2A578" id="Line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" o:allowincell="f" strokecolor="#d4d4d4" strokeweight="1.75pt">
                <v:shadow on="t" origin="-.5,-.5" offset="0,-1pt"/>
              </v:line>
            </w:pict>
          </mc:Fallback>
        </mc:AlternateContent>
      </w:r>
      <w:r w:rsidR="0095753B" w:rsidRPr="00DD2F41">
        <w:rPr>
          <w:rStyle w:val="Strong"/>
          <w:sz w:val="22"/>
          <w:szCs w:val="22"/>
          <w:lang w:val="en-GB"/>
        </w:rPr>
        <w:t>TERMS OF PARTICIPATION</w:t>
      </w:r>
    </w:p>
    <w:p w:rsidR="0095753B" w:rsidRPr="00DD2F41" w:rsidRDefault="0095753B" w:rsidP="0095753B">
      <w:pPr>
        <w:pStyle w:val="PRAGHeading2"/>
        <w:rPr>
          <w:rStyle w:val="Strong"/>
          <w:sz w:val="22"/>
          <w:szCs w:val="22"/>
          <w:lang w:val="en-GB"/>
        </w:rPr>
      </w:pPr>
      <w:r w:rsidRPr="00DD2F41">
        <w:rPr>
          <w:rStyle w:val="Strong"/>
          <w:sz w:val="22"/>
          <w:szCs w:val="22"/>
          <w:lang w:val="en-GB"/>
        </w:rPr>
        <w:t>Eligibility and rules of origin</w:t>
      </w:r>
    </w:p>
    <w:p w:rsidR="00047600" w:rsidRPr="008D7918" w:rsidRDefault="00047600" w:rsidP="008D7918">
      <w:pPr>
        <w:pStyle w:val="PRAGHeading2"/>
        <w:numPr>
          <w:ilvl w:val="0"/>
          <w:numId w:val="0"/>
        </w:numPr>
        <w:ind w:left="709"/>
        <w:jc w:val="both"/>
        <w:rPr>
          <w:rFonts w:eastAsia="Calibri" w:cs="Arial"/>
          <w:noProof/>
          <w:sz w:val="22"/>
          <w:szCs w:val="22"/>
          <w:lang w:val="en-GB"/>
        </w:rPr>
      </w:pPr>
      <w:r w:rsidRPr="008D7918">
        <w:rPr>
          <w:sz w:val="22"/>
          <w:szCs w:val="22"/>
          <w:lang w:val="en-GB"/>
        </w:rPr>
        <w:t xml:space="preserve">Participation is open to all </w:t>
      </w:r>
      <w:r w:rsidRPr="008D7918">
        <w:rPr>
          <w:rFonts w:eastAsia="Calibri" w:cs="Arial"/>
          <w:sz w:val="22"/>
          <w:szCs w:val="22"/>
          <w:lang w:val="en-GB"/>
        </w:rPr>
        <w:t xml:space="preserve">natural persons who are nationals of and </w:t>
      </w:r>
      <w:r w:rsidRPr="008D7918">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8D7918">
        <w:rPr>
          <w:rFonts w:eastAsia="Calibri" w:cs="Arial"/>
          <w:bCs/>
          <w:snapToGrid/>
          <w:sz w:val="22"/>
          <w:szCs w:val="22"/>
          <w:lang w:val="en-GB"/>
        </w:rPr>
        <w:t xml:space="preserve">the Regulation </w:t>
      </w:r>
      <w:r w:rsidRPr="008D7918">
        <w:rPr>
          <w:sz w:val="22"/>
          <w:szCs w:val="22"/>
          <w:lang w:val="en-GB"/>
        </w:rPr>
        <w:t>(EU) no. </w:t>
      </w:r>
      <w:r w:rsidRPr="008D7918">
        <w:rPr>
          <w:rFonts w:eastAsia="MS Mincho"/>
          <w:noProof/>
          <w:sz w:val="22"/>
          <w:szCs w:val="22"/>
          <w:lang w:val="en-GB" w:eastAsia="ja-JP"/>
        </w:rPr>
        <w:t xml:space="preserve">236/2014 </w:t>
      </w:r>
      <w:r w:rsidRPr="008D7918">
        <w:rPr>
          <w:rFonts w:eastAsia="Calibri" w:cs="Arial"/>
          <w:bCs/>
          <w:snapToGrid/>
          <w:sz w:val="22"/>
          <w:szCs w:val="22"/>
          <w:lang w:val="en-GB"/>
        </w:rPr>
        <w:t xml:space="preserve">establishing common rules and procedures for the implementation </w:t>
      </w:r>
      <w:r w:rsidRPr="008D7918">
        <w:rPr>
          <w:rFonts w:eastAsia="Calibri" w:cs="Arial"/>
          <w:bCs/>
          <w:snapToGrid/>
          <w:sz w:val="22"/>
          <w:szCs w:val="22"/>
          <w:lang w:val="en-GB"/>
        </w:rPr>
        <w:lastRenderedPageBreak/>
        <w:t xml:space="preserve">of the Union's instruments for external action (CIR) </w:t>
      </w:r>
      <w:r w:rsidRPr="008D7918">
        <w:rPr>
          <w:sz w:val="22"/>
          <w:szCs w:val="22"/>
          <w:lang w:val="en-GB"/>
        </w:rPr>
        <w:t>for the applicable instrument under which the contract is financed (see also heading 22 below)</w:t>
      </w:r>
      <w:r w:rsidRPr="008D7918">
        <w:rPr>
          <w:rFonts w:eastAsia="Calibri" w:cs="Arial"/>
          <w:sz w:val="22"/>
          <w:szCs w:val="22"/>
          <w:lang w:val="en-GB"/>
        </w:rPr>
        <w:t xml:space="preserve">. </w:t>
      </w:r>
      <w:r w:rsidRPr="008D7918">
        <w:rPr>
          <w:sz w:val="22"/>
          <w:szCs w:val="22"/>
          <w:lang w:val="en-GB"/>
        </w:rPr>
        <w:t xml:space="preserve">Participation is also open to international organisations. All supplies under this contract must originate in one or more of these countries. </w:t>
      </w:r>
      <w:r w:rsidRPr="008D7918">
        <w:rPr>
          <w:rFonts w:eastAsia="Calibri" w:cs="Arial"/>
          <w:noProof/>
          <w:sz w:val="22"/>
          <w:szCs w:val="22"/>
          <w:lang w:val="en-GB"/>
        </w:rPr>
        <w:t>However, they may originate from any country when</w:t>
      </w:r>
      <w:bookmarkStart w:id="1" w:name="_DV_C321"/>
      <w:r w:rsidRPr="008D7918">
        <w:rPr>
          <w:rFonts w:eastAsia="Calibri" w:cs="Arial"/>
          <w:noProof/>
          <w:color w:val="000000"/>
          <w:sz w:val="22"/>
          <w:szCs w:val="22"/>
          <w:lang w:val="en-GB"/>
        </w:rPr>
        <w:t xml:space="preserve">  the amount of the supplies to be purchased is below</w:t>
      </w:r>
      <w:bookmarkEnd w:id="1"/>
      <w:r w:rsidRPr="008D7918">
        <w:rPr>
          <w:rFonts w:eastAsia="Calibri" w:cs="Arial"/>
          <w:noProof/>
          <w:color w:val="000000"/>
          <w:sz w:val="22"/>
          <w:szCs w:val="22"/>
          <w:lang w:val="en-GB"/>
        </w:rPr>
        <w:t xml:space="preserve"> EUR 100 000 per purchased</w:t>
      </w:r>
      <w:r w:rsidRPr="008D7918">
        <w:rPr>
          <w:rFonts w:eastAsia="Calibri" w:cs="Arial"/>
          <w:noProof/>
          <w:sz w:val="22"/>
          <w:szCs w:val="22"/>
          <w:lang w:val="en-GB"/>
        </w:rPr>
        <w:t>.</w:t>
      </w:r>
    </w:p>
    <w:p w:rsidR="00047600" w:rsidRPr="0030441E" w:rsidRDefault="00047600" w:rsidP="0095753B">
      <w:pPr>
        <w:pStyle w:val="PRAGHeading2"/>
        <w:numPr>
          <w:ilvl w:val="0"/>
          <w:numId w:val="0"/>
        </w:numPr>
        <w:ind w:left="709"/>
        <w:jc w:val="both"/>
        <w:rPr>
          <w:sz w:val="22"/>
          <w:szCs w:val="22"/>
          <w:lang w:val="en-GB"/>
        </w:rPr>
      </w:pPr>
      <w:r w:rsidRPr="008D7918">
        <w:rPr>
          <w:rFonts w:eastAsia="Calibri"/>
          <w:snapToGrid/>
          <w:sz w:val="22"/>
          <w:szCs w:val="22"/>
          <w:lang w:val="en-GB"/>
        </w:rPr>
        <w:t>Please</w:t>
      </w:r>
      <w:r w:rsidRPr="008D7918">
        <w:rPr>
          <w:rFonts w:eastAsia="Calibri"/>
          <w:i/>
          <w:snapToGrid/>
          <w:sz w:val="22"/>
          <w:szCs w:val="22"/>
          <w:lang w:val="en-GB"/>
        </w:rPr>
        <w:t xml:space="preserve"> </w:t>
      </w:r>
      <w:r w:rsidRPr="008D7918">
        <w:rPr>
          <w:rFonts w:eastAsia="Calibri"/>
          <w:snapToGrid/>
          <w:sz w:val="22"/>
          <w:szCs w:val="22"/>
          <w:lang w:val="en-GB"/>
        </w:rPr>
        <w:t>be aware that after the United Kingdom's withdrawal from the EU, the rules of access to EU procurement procedures of economic operators established in third countries and of goods originating from third countries</w:t>
      </w:r>
      <w:r w:rsidRPr="008D7918">
        <w:rPr>
          <w:rFonts w:eastAsia="Calibri"/>
          <w:snapToGrid/>
          <w:sz w:val="22"/>
          <w:szCs w:val="22"/>
          <w:vertAlign w:val="superscript"/>
          <w:lang w:val="en-GB"/>
        </w:rPr>
        <w:t>1</w:t>
      </w:r>
      <w:r w:rsidRPr="008D7918">
        <w:rPr>
          <w:rFonts w:eastAsia="Calibri"/>
          <w:snapToGrid/>
          <w:sz w:val="22"/>
          <w:szCs w:val="22"/>
          <w:lang w:val="en-GB"/>
        </w:rPr>
        <w:t xml:space="preserve"> will apply to candidates or tenderers from the United Kingdom, and to all candidates or tenderers proposing goods originating from the United Kingdom</w:t>
      </w:r>
      <w:r w:rsidRPr="008D7918">
        <w:rPr>
          <w:rFonts w:eastAsia="Calibri"/>
          <w:snapToGrid/>
          <w:sz w:val="22"/>
          <w:szCs w:val="22"/>
          <w:vertAlign w:val="superscript"/>
          <w:lang w:val="en-GB"/>
        </w:rPr>
        <w:t>1</w:t>
      </w:r>
      <w:r w:rsidRPr="008D7918">
        <w:rPr>
          <w:rFonts w:eastAsia="Calibri"/>
          <w:snapToGrid/>
          <w:sz w:val="22"/>
          <w:szCs w:val="22"/>
          <w:lang w:val="en-GB"/>
        </w:rPr>
        <w:t xml:space="preserve"> depending on the outcome of negotiations. In case such access is not provided by legal provisions in force at the time of the contract award, candidates or tenderers from the United Kingdom, and candidates or tenderers proposing goods originating from the United Kingdom could be rejected from the procurement procedure</w:t>
      </w:r>
      <w:r w:rsidRPr="008D7918">
        <w:rPr>
          <w:rFonts w:eastAsia="Calibri"/>
          <w:i/>
          <w:snapToGrid/>
          <w:sz w:val="22"/>
          <w:szCs w:val="22"/>
          <w:lang w:val="en-GB"/>
        </w:rPr>
        <w:t>.</w:t>
      </w:r>
    </w:p>
    <w:p w:rsidR="0095753B" w:rsidRPr="00DD2F41" w:rsidRDefault="0095753B" w:rsidP="0095753B">
      <w:pPr>
        <w:pStyle w:val="PRAGHeading2"/>
        <w:keepNext/>
        <w:keepLines/>
        <w:rPr>
          <w:rStyle w:val="Strong"/>
          <w:sz w:val="22"/>
          <w:szCs w:val="22"/>
          <w:lang w:val="en-GB"/>
        </w:rPr>
      </w:pPr>
      <w:r w:rsidRPr="00DD2F41">
        <w:rPr>
          <w:rStyle w:val="Strong"/>
          <w:sz w:val="22"/>
          <w:szCs w:val="22"/>
          <w:lang w:val="en-GB"/>
        </w:rPr>
        <w:t>Grounds for exclusion</w:t>
      </w:r>
    </w:p>
    <w:p w:rsidR="00047600" w:rsidRDefault="00047600" w:rsidP="00047600">
      <w:pPr>
        <w:keepNext/>
        <w:keepLines/>
        <w:ind w:left="709"/>
        <w:jc w:val="both"/>
        <w:rPr>
          <w:b/>
          <w:sz w:val="22"/>
          <w:szCs w:val="22"/>
          <w:lang w:val="en-GB"/>
        </w:rPr>
      </w:pPr>
      <w:r w:rsidRPr="0030441E">
        <w:rPr>
          <w:sz w:val="22"/>
          <w:szCs w:val="22"/>
          <w:lang w:val="en-GB"/>
        </w:rPr>
        <w:t xml:space="preserve">Tenderers must submit a signed declaration, included in the </w:t>
      </w:r>
      <w:r>
        <w:rPr>
          <w:sz w:val="22"/>
          <w:szCs w:val="22"/>
          <w:lang w:val="en-GB"/>
        </w:rPr>
        <w:t>t</w:t>
      </w:r>
      <w:r w:rsidRPr="0030441E">
        <w:rPr>
          <w:sz w:val="22"/>
          <w:szCs w:val="22"/>
          <w:lang w:val="en-GB"/>
        </w:rPr>
        <w:t xml:space="preserve">ender </w:t>
      </w:r>
      <w:r>
        <w:rPr>
          <w:sz w:val="22"/>
          <w:szCs w:val="22"/>
          <w:lang w:val="en-GB"/>
        </w:rPr>
        <w:t>f</w:t>
      </w:r>
      <w:r w:rsidRPr="0030441E">
        <w:rPr>
          <w:sz w:val="22"/>
          <w:szCs w:val="22"/>
          <w:lang w:val="en-GB"/>
        </w:rPr>
        <w:t xml:space="preserve">orm for a </w:t>
      </w:r>
      <w:r>
        <w:rPr>
          <w:sz w:val="22"/>
          <w:szCs w:val="22"/>
          <w:lang w:val="en-GB"/>
        </w:rPr>
        <w:t>w</w:t>
      </w:r>
      <w:r w:rsidRPr="0030441E">
        <w:rPr>
          <w:sz w:val="22"/>
          <w:szCs w:val="22"/>
          <w:lang w:val="en-GB"/>
        </w:rPr>
        <w:t xml:space="preserve">orks </w:t>
      </w:r>
      <w:r>
        <w:rPr>
          <w:sz w:val="22"/>
          <w:szCs w:val="22"/>
          <w:lang w:val="en-GB"/>
        </w:rPr>
        <w:t>c</w:t>
      </w:r>
      <w:r w:rsidRPr="0030441E">
        <w:rPr>
          <w:sz w:val="22"/>
          <w:szCs w:val="22"/>
          <w:lang w:val="en-GB"/>
        </w:rPr>
        <w:t xml:space="preserve">ontract, to the effect that they are not in any of the situations listed in </w:t>
      </w:r>
      <w:r>
        <w:rPr>
          <w:sz w:val="22"/>
          <w:szCs w:val="22"/>
          <w:lang w:val="en-GB"/>
        </w:rPr>
        <w:t>Section</w:t>
      </w:r>
      <w:r w:rsidRPr="0030441E">
        <w:rPr>
          <w:sz w:val="22"/>
          <w:szCs w:val="22"/>
          <w:lang w:val="en-GB"/>
        </w:rPr>
        <w:t xml:space="preserve"> </w:t>
      </w:r>
      <w:r>
        <w:rPr>
          <w:sz w:val="22"/>
          <w:szCs w:val="22"/>
          <w:lang w:val="en-GB"/>
        </w:rPr>
        <w:t>2.6.10.1</w:t>
      </w:r>
      <w:r w:rsidRPr="0030441E">
        <w:rPr>
          <w:sz w:val="22"/>
          <w:szCs w:val="22"/>
          <w:lang w:val="en-GB"/>
        </w:rPr>
        <w:t xml:space="preserve"> of the </w:t>
      </w:r>
      <w:r>
        <w:rPr>
          <w:b/>
          <w:sz w:val="22"/>
          <w:szCs w:val="22"/>
          <w:lang w:val="en-GB"/>
        </w:rPr>
        <w:t>p</w:t>
      </w:r>
      <w:r w:rsidRPr="0030441E">
        <w:rPr>
          <w:b/>
          <w:sz w:val="22"/>
          <w:szCs w:val="22"/>
          <w:lang w:val="en-GB"/>
        </w:rPr>
        <w:t xml:space="preserve">ractical </w:t>
      </w:r>
      <w:r>
        <w:rPr>
          <w:b/>
          <w:sz w:val="22"/>
          <w:szCs w:val="22"/>
          <w:lang w:val="en-GB"/>
        </w:rPr>
        <w:t>G</w:t>
      </w:r>
      <w:r w:rsidRPr="0030441E">
        <w:rPr>
          <w:b/>
          <w:sz w:val="22"/>
          <w:szCs w:val="22"/>
          <w:lang w:val="en-GB"/>
        </w:rPr>
        <w:t>uide.</w:t>
      </w:r>
    </w:p>
    <w:p w:rsidR="0095753B" w:rsidRPr="0030441E" w:rsidRDefault="00047600" w:rsidP="00047600">
      <w:pPr>
        <w:keepNext/>
        <w:keepLines/>
        <w:ind w:left="709"/>
        <w:jc w:val="both"/>
        <w:rPr>
          <w:b/>
          <w:i/>
          <w:sz w:val="22"/>
          <w:szCs w:val="22"/>
          <w:lang w:val="en-GB"/>
        </w:rPr>
      </w:pPr>
      <w:r>
        <w:rPr>
          <w:sz w:val="22"/>
          <w:szCs w:val="22"/>
          <w:lang w:val="en-GB"/>
        </w:rPr>
        <w:t>Tenderers included in the lists of EU restrictive measures (see Section 2.4. of the PRAG) at the moment of the award decision cannot be awarded the contract.</w:t>
      </w:r>
    </w:p>
    <w:p w:rsidR="0095753B" w:rsidRPr="00DD2F41" w:rsidRDefault="0095753B" w:rsidP="0095753B">
      <w:pPr>
        <w:pStyle w:val="PRAGHeading2"/>
        <w:rPr>
          <w:rStyle w:val="Strong"/>
          <w:sz w:val="22"/>
          <w:szCs w:val="22"/>
          <w:lang w:val="en-GB"/>
        </w:rPr>
      </w:pPr>
      <w:r w:rsidRPr="00DD2F41">
        <w:rPr>
          <w:rStyle w:val="Strong"/>
          <w:sz w:val="22"/>
          <w:szCs w:val="22"/>
          <w:lang w:val="en-GB"/>
        </w:rPr>
        <w:t>Number of tenders</w:t>
      </w:r>
    </w:p>
    <w:p w:rsidR="0095753B" w:rsidRPr="0030441E" w:rsidRDefault="0095753B" w:rsidP="0095753B">
      <w:pPr>
        <w:ind w:left="709"/>
        <w:jc w:val="both"/>
        <w:rPr>
          <w:sz w:val="22"/>
          <w:szCs w:val="22"/>
          <w:lang w:val="en-GB"/>
        </w:rPr>
      </w:pPr>
      <w:r w:rsidRPr="0030441E">
        <w:rPr>
          <w:sz w:val="22"/>
          <w:szCs w:val="22"/>
          <w:lang w:val="en-GB"/>
        </w:rPr>
        <w:t xml:space="preserve">Tenderers may submit only one tender per lot. Tenders for parts of a lot will not be considered. Any tenderer may state in its tender that it would offer a discount in the event that its tender is accepted for more than one lot. </w:t>
      </w:r>
      <w:r w:rsidRPr="00871D4D">
        <w:rPr>
          <w:sz w:val="22"/>
          <w:szCs w:val="22"/>
          <w:lang w:val="en-GB"/>
        </w:rPr>
        <w:t>Tenderers may not submit a tender for a variant solution in addition to their tender for the works required in the tender dossier</w:t>
      </w:r>
      <w:r w:rsidRPr="0030441E">
        <w:rPr>
          <w:sz w:val="22"/>
          <w:szCs w:val="22"/>
          <w:lang w:val="en-GB"/>
        </w:rPr>
        <w:t>.</w:t>
      </w:r>
    </w:p>
    <w:p w:rsidR="0095753B" w:rsidRPr="00DD2F41" w:rsidRDefault="0095753B" w:rsidP="0095753B">
      <w:pPr>
        <w:pStyle w:val="PRAGHeading2"/>
        <w:rPr>
          <w:rStyle w:val="Strong"/>
          <w:sz w:val="22"/>
          <w:szCs w:val="22"/>
          <w:lang w:val="en-GB"/>
        </w:rPr>
      </w:pPr>
      <w:r w:rsidRPr="00DD2F41">
        <w:rPr>
          <w:rStyle w:val="Strong"/>
          <w:sz w:val="22"/>
          <w:szCs w:val="22"/>
          <w:lang w:val="en-GB"/>
        </w:rPr>
        <w:t>Tender guarantee</w:t>
      </w:r>
    </w:p>
    <w:p w:rsidR="0095753B" w:rsidRPr="0030441E" w:rsidRDefault="0095753B" w:rsidP="0095753B">
      <w:pPr>
        <w:ind w:left="709"/>
        <w:jc w:val="both"/>
        <w:rPr>
          <w:sz w:val="22"/>
          <w:szCs w:val="22"/>
          <w:lang w:val="en-GB"/>
        </w:rPr>
      </w:pPr>
      <w:r>
        <w:rPr>
          <w:sz w:val="22"/>
          <w:szCs w:val="22"/>
          <w:lang w:val="en-GB"/>
        </w:rPr>
        <w:t xml:space="preserve">No tender guarantee is required. </w:t>
      </w:r>
    </w:p>
    <w:p w:rsidR="0095753B" w:rsidRPr="00DD2F41" w:rsidRDefault="0095753B" w:rsidP="0095753B">
      <w:pPr>
        <w:pStyle w:val="PRAGHeading2"/>
        <w:rPr>
          <w:rStyle w:val="Strong"/>
          <w:sz w:val="22"/>
          <w:szCs w:val="22"/>
          <w:lang w:val="en-GB"/>
        </w:rPr>
      </w:pPr>
      <w:r w:rsidRPr="00DD2F41">
        <w:rPr>
          <w:rStyle w:val="Strong"/>
          <w:sz w:val="22"/>
          <w:szCs w:val="22"/>
          <w:lang w:val="en-GB"/>
        </w:rPr>
        <w:t>Performance guarantee</w:t>
      </w:r>
    </w:p>
    <w:p w:rsidR="0095753B" w:rsidRPr="0030441E" w:rsidRDefault="0095753B" w:rsidP="0095753B">
      <w:pPr>
        <w:ind w:left="709"/>
        <w:jc w:val="both"/>
        <w:rPr>
          <w:sz w:val="22"/>
          <w:szCs w:val="22"/>
          <w:lang w:val="en-GB"/>
        </w:rPr>
      </w:pPr>
      <w:r w:rsidRPr="0030441E">
        <w:rPr>
          <w:sz w:val="22"/>
          <w:szCs w:val="22"/>
          <w:lang w:val="en-GB"/>
        </w:rPr>
        <w:t xml:space="preserve">The successful tenderer will be asked to provide a </w:t>
      </w:r>
      <w:r w:rsidRPr="00975144">
        <w:rPr>
          <w:b/>
          <w:sz w:val="22"/>
          <w:szCs w:val="22"/>
          <w:lang w:val="en-GB"/>
        </w:rPr>
        <w:t>performance guarantee of 10%</w:t>
      </w:r>
      <w:r w:rsidRPr="000C222A">
        <w:rPr>
          <w:sz w:val="22"/>
          <w:szCs w:val="22"/>
          <w:lang w:val="en-GB"/>
        </w:rPr>
        <w:t xml:space="preserve"> </w:t>
      </w:r>
      <w:r w:rsidR="00047600" w:rsidRPr="0030441E">
        <w:rPr>
          <w:sz w:val="22"/>
          <w:szCs w:val="22"/>
          <w:lang w:val="en-GB"/>
        </w:rPr>
        <w:t xml:space="preserve">of the amount of the contract at the signing of the contract. This guarantee must be provided together with the return of the countersigned contract no later than 30 days after the tenderer receives the contract signed by the </w:t>
      </w:r>
      <w:r w:rsidR="00047600">
        <w:rPr>
          <w:sz w:val="22"/>
          <w:szCs w:val="22"/>
          <w:lang w:val="en-GB"/>
        </w:rPr>
        <w:t>c</w:t>
      </w:r>
      <w:r w:rsidR="00047600" w:rsidRPr="0030441E">
        <w:rPr>
          <w:sz w:val="22"/>
          <w:szCs w:val="22"/>
          <w:lang w:val="en-GB"/>
        </w:rPr>
        <w:t xml:space="preserve">ontracting </w:t>
      </w:r>
      <w:r w:rsidR="00047600">
        <w:rPr>
          <w:sz w:val="22"/>
          <w:szCs w:val="22"/>
          <w:lang w:val="en-GB"/>
        </w:rPr>
        <w:t>a</w:t>
      </w:r>
      <w:r w:rsidR="00047600" w:rsidRPr="0030441E">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r w:rsidR="00047600">
        <w:rPr>
          <w:sz w:val="22"/>
          <w:szCs w:val="22"/>
          <w:lang w:val="en-GB"/>
        </w:rPr>
        <w:t>.</w:t>
      </w:r>
    </w:p>
    <w:p w:rsidR="0095753B" w:rsidRPr="00DD2F41" w:rsidRDefault="0095753B" w:rsidP="0095753B">
      <w:pPr>
        <w:pStyle w:val="PRAGHeading2"/>
        <w:rPr>
          <w:rStyle w:val="Strong"/>
          <w:sz w:val="22"/>
          <w:szCs w:val="22"/>
          <w:lang w:val="en-GB"/>
        </w:rPr>
      </w:pPr>
      <w:r>
        <w:rPr>
          <w:rStyle w:val="Strong"/>
          <w:sz w:val="22"/>
          <w:szCs w:val="22"/>
          <w:lang w:val="en-GB"/>
        </w:rPr>
        <w:t xml:space="preserve">Clarification </w:t>
      </w:r>
      <w:r w:rsidRPr="00DD2F41">
        <w:rPr>
          <w:rStyle w:val="Strong"/>
          <w:sz w:val="22"/>
          <w:szCs w:val="22"/>
          <w:lang w:val="en-GB"/>
        </w:rPr>
        <w:t xml:space="preserve">meeting </w:t>
      </w:r>
      <w:r w:rsidR="008C7E1E">
        <w:rPr>
          <w:rStyle w:val="Strong"/>
          <w:sz w:val="22"/>
          <w:szCs w:val="22"/>
          <w:lang w:val="en-GB"/>
        </w:rPr>
        <w:t>and/or site visit</w:t>
      </w:r>
    </w:p>
    <w:p w:rsidR="0095753B" w:rsidRPr="00DA1112" w:rsidRDefault="0095753B" w:rsidP="0095753B">
      <w:pPr>
        <w:ind w:left="709"/>
        <w:jc w:val="both"/>
        <w:rPr>
          <w:sz w:val="22"/>
          <w:szCs w:val="22"/>
          <w:lang w:val="en-GB"/>
        </w:rPr>
      </w:pPr>
      <w:r w:rsidRPr="00805EFA">
        <w:rPr>
          <w:sz w:val="22"/>
          <w:szCs w:val="22"/>
          <w:lang w:val="en-GB"/>
        </w:rPr>
        <w:t>A</w:t>
      </w:r>
      <w:r w:rsidR="00047600">
        <w:rPr>
          <w:sz w:val="22"/>
          <w:szCs w:val="22"/>
          <w:lang w:val="en-GB"/>
        </w:rPr>
        <w:t xml:space="preserve"> mandatory</w:t>
      </w:r>
      <w:r w:rsidRPr="00805EFA">
        <w:rPr>
          <w:sz w:val="22"/>
          <w:szCs w:val="22"/>
          <w:lang w:val="en-GB"/>
        </w:rPr>
        <w:t xml:space="preserve"> </w:t>
      </w:r>
      <w:r w:rsidR="00047600">
        <w:rPr>
          <w:sz w:val="22"/>
          <w:szCs w:val="22"/>
          <w:lang w:val="en-GB"/>
        </w:rPr>
        <w:t>information</w:t>
      </w:r>
      <w:r>
        <w:rPr>
          <w:sz w:val="22"/>
          <w:szCs w:val="22"/>
          <w:lang w:val="en-GB"/>
        </w:rPr>
        <w:t xml:space="preserve"> </w:t>
      </w:r>
      <w:r w:rsidRPr="00805EFA">
        <w:rPr>
          <w:sz w:val="22"/>
          <w:szCs w:val="22"/>
          <w:lang w:val="en-GB"/>
        </w:rPr>
        <w:t>meeting</w:t>
      </w:r>
      <w:r w:rsidR="008C7E1E">
        <w:rPr>
          <w:sz w:val="22"/>
          <w:szCs w:val="22"/>
          <w:lang w:val="en-GB"/>
        </w:rPr>
        <w:t xml:space="preserve"> and site visit</w:t>
      </w:r>
      <w:r w:rsidRPr="00805EFA">
        <w:rPr>
          <w:sz w:val="22"/>
          <w:szCs w:val="22"/>
          <w:lang w:val="en-GB"/>
        </w:rPr>
        <w:t xml:space="preserve"> will be </w:t>
      </w:r>
      <w:r w:rsidRPr="00514204">
        <w:rPr>
          <w:sz w:val="22"/>
          <w:szCs w:val="22"/>
          <w:lang w:val="en-GB"/>
        </w:rPr>
        <w:t xml:space="preserve">organized on </w:t>
      </w:r>
      <w:r w:rsidR="00047600">
        <w:rPr>
          <w:sz w:val="22"/>
          <w:szCs w:val="22"/>
          <w:lang w:val="en-GB"/>
        </w:rPr>
        <w:t>0</w:t>
      </w:r>
      <w:r w:rsidR="00E97F46">
        <w:rPr>
          <w:sz w:val="22"/>
          <w:szCs w:val="22"/>
          <w:lang w:val="en-GB"/>
        </w:rPr>
        <w:t>9</w:t>
      </w:r>
      <w:r w:rsidR="00047600">
        <w:rPr>
          <w:sz w:val="22"/>
          <w:szCs w:val="22"/>
          <w:lang w:val="en-GB"/>
        </w:rPr>
        <w:t>.11</w:t>
      </w:r>
      <w:r w:rsidRPr="00DA1112">
        <w:rPr>
          <w:sz w:val="22"/>
          <w:szCs w:val="22"/>
          <w:lang w:val="en-GB"/>
        </w:rPr>
        <w:t xml:space="preserve">.2018. </w:t>
      </w:r>
      <w:proofErr w:type="gramStart"/>
      <w:r w:rsidR="008C7E1E">
        <w:rPr>
          <w:sz w:val="22"/>
          <w:szCs w:val="22"/>
          <w:lang w:val="en-GB"/>
        </w:rPr>
        <w:t>from</w:t>
      </w:r>
      <w:proofErr w:type="gramEnd"/>
      <w:r w:rsidRPr="00DA1112">
        <w:rPr>
          <w:sz w:val="22"/>
          <w:szCs w:val="22"/>
          <w:lang w:val="en-GB"/>
        </w:rPr>
        <w:t xml:space="preserve"> 11:00</w:t>
      </w:r>
      <w:r w:rsidR="00C4659F" w:rsidRPr="00DA1112">
        <w:rPr>
          <w:sz w:val="22"/>
          <w:szCs w:val="22"/>
          <w:lang w:val="en-GB"/>
        </w:rPr>
        <w:t xml:space="preserve"> </w:t>
      </w:r>
      <w:r w:rsidRPr="00DA1112">
        <w:rPr>
          <w:sz w:val="22"/>
          <w:szCs w:val="22"/>
          <w:lang w:val="en-GB"/>
        </w:rPr>
        <w:t xml:space="preserve">am </w:t>
      </w:r>
      <w:r w:rsidR="008C7E1E">
        <w:rPr>
          <w:sz w:val="22"/>
          <w:szCs w:val="22"/>
          <w:lang w:val="en-GB"/>
        </w:rPr>
        <w:t xml:space="preserve">to 14:00 </w:t>
      </w:r>
      <w:r w:rsidRPr="00DA1112">
        <w:rPr>
          <w:sz w:val="22"/>
          <w:szCs w:val="22"/>
          <w:lang w:val="en-GB"/>
        </w:rPr>
        <w:t xml:space="preserve">local time, in premises of the Contracting Authority, City of </w:t>
      </w:r>
      <w:proofErr w:type="spellStart"/>
      <w:r w:rsidRPr="00DA1112">
        <w:rPr>
          <w:sz w:val="22"/>
          <w:szCs w:val="22"/>
          <w:lang w:val="en-GB"/>
        </w:rPr>
        <w:t>Sombor</w:t>
      </w:r>
      <w:proofErr w:type="spellEnd"/>
      <w:r w:rsidRPr="00DA1112">
        <w:rPr>
          <w:sz w:val="22"/>
          <w:szCs w:val="22"/>
          <w:lang w:val="en-GB"/>
        </w:rPr>
        <w:t xml:space="preserve">, </w:t>
      </w:r>
      <w:proofErr w:type="spellStart"/>
      <w:r w:rsidRPr="00DA1112">
        <w:rPr>
          <w:sz w:val="22"/>
          <w:szCs w:val="22"/>
          <w:lang w:val="en-GB"/>
        </w:rPr>
        <w:t>Trg</w:t>
      </w:r>
      <w:proofErr w:type="spellEnd"/>
      <w:r w:rsidRPr="00DA1112">
        <w:rPr>
          <w:sz w:val="22"/>
          <w:szCs w:val="22"/>
          <w:lang w:val="en-GB"/>
        </w:rPr>
        <w:t xml:space="preserve"> </w:t>
      </w:r>
      <w:proofErr w:type="spellStart"/>
      <w:r w:rsidRPr="00DA1112">
        <w:rPr>
          <w:sz w:val="22"/>
          <w:szCs w:val="22"/>
          <w:lang w:val="en-GB"/>
        </w:rPr>
        <w:t>cara</w:t>
      </w:r>
      <w:proofErr w:type="spellEnd"/>
      <w:r w:rsidRPr="00DA1112">
        <w:rPr>
          <w:sz w:val="22"/>
          <w:szCs w:val="22"/>
          <w:lang w:val="en-GB"/>
        </w:rPr>
        <w:t xml:space="preserve"> </w:t>
      </w:r>
      <w:proofErr w:type="spellStart"/>
      <w:r w:rsidRPr="00DA1112">
        <w:rPr>
          <w:sz w:val="22"/>
          <w:szCs w:val="22"/>
          <w:lang w:val="en-GB"/>
        </w:rPr>
        <w:t>Urosa</w:t>
      </w:r>
      <w:proofErr w:type="spellEnd"/>
      <w:r w:rsidRPr="00DA1112">
        <w:rPr>
          <w:sz w:val="22"/>
          <w:szCs w:val="22"/>
          <w:lang w:val="en-GB"/>
        </w:rPr>
        <w:t xml:space="preserve"> 1, 25000 </w:t>
      </w:r>
      <w:proofErr w:type="spellStart"/>
      <w:r w:rsidRPr="00DA1112">
        <w:rPr>
          <w:sz w:val="22"/>
          <w:szCs w:val="22"/>
          <w:lang w:val="en-GB"/>
        </w:rPr>
        <w:t>Sombor</w:t>
      </w:r>
      <w:proofErr w:type="spellEnd"/>
      <w:r w:rsidRPr="00DA1112">
        <w:rPr>
          <w:sz w:val="22"/>
          <w:szCs w:val="22"/>
          <w:lang w:val="en-GB"/>
        </w:rPr>
        <w:t xml:space="preserve">, </w:t>
      </w:r>
      <w:r w:rsidR="00D429F7" w:rsidRPr="00DA1112">
        <w:rPr>
          <w:sz w:val="22"/>
          <w:szCs w:val="22"/>
          <w:lang w:val="en-GB"/>
        </w:rPr>
        <w:t>conference room 108</w:t>
      </w:r>
      <w:r w:rsidRPr="00DA1112">
        <w:rPr>
          <w:sz w:val="22"/>
          <w:szCs w:val="22"/>
          <w:lang w:val="en-GB"/>
        </w:rPr>
        <w:t xml:space="preserve">. </w:t>
      </w:r>
    </w:p>
    <w:p w:rsidR="0095753B" w:rsidRDefault="0095753B" w:rsidP="0095753B">
      <w:pPr>
        <w:ind w:left="709"/>
        <w:jc w:val="both"/>
        <w:rPr>
          <w:sz w:val="22"/>
          <w:szCs w:val="22"/>
          <w:lang w:val="en-GB"/>
        </w:rPr>
      </w:pPr>
      <w:r w:rsidRPr="00DA1112">
        <w:rPr>
          <w:sz w:val="22"/>
          <w:szCs w:val="22"/>
          <w:lang w:val="en-GB"/>
        </w:rPr>
        <w:t xml:space="preserve">If potential tenderers have some questions regarding clarification meeting they can contact Contracting Authority representative through email: </w:t>
      </w:r>
      <w:hyperlink r:id="rId10" w:history="1">
        <w:r w:rsidR="00D429F7" w:rsidRPr="00DA1112">
          <w:rPr>
            <w:rStyle w:val="Hyperlink"/>
            <w:sz w:val="22"/>
            <w:szCs w:val="22"/>
            <w:lang w:val="en-GB"/>
          </w:rPr>
          <w:t>greenwayssombor@gmail.com</w:t>
        </w:r>
      </w:hyperlink>
      <w:r w:rsidRPr="00DA1112">
        <w:rPr>
          <w:sz w:val="22"/>
          <w:szCs w:val="22"/>
          <w:lang w:val="en-GB"/>
        </w:rPr>
        <w:t>.</w:t>
      </w:r>
      <w:r w:rsidRPr="00EF0ECB">
        <w:rPr>
          <w:sz w:val="22"/>
          <w:szCs w:val="22"/>
          <w:lang w:val="en-GB"/>
        </w:rPr>
        <w:t xml:space="preserve"> </w:t>
      </w:r>
    </w:p>
    <w:p w:rsidR="0095753B" w:rsidRPr="00DD2F41" w:rsidRDefault="0095753B" w:rsidP="00047600">
      <w:pPr>
        <w:pStyle w:val="PRAGHeading2"/>
        <w:rPr>
          <w:rStyle w:val="Strong"/>
          <w:sz w:val="22"/>
          <w:szCs w:val="22"/>
          <w:lang w:val="en-GB"/>
        </w:rPr>
      </w:pPr>
      <w:r w:rsidRPr="00DD2F41">
        <w:rPr>
          <w:rStyle w:val="Strong"/>
          <w:sz w:val="22"/>
          <w:szCs w:val="22"/>
          <w:lang w:val="en-GB"/>
        </w:rPr>
        <w:t>Tender validity</w:t>
      </w:r>
    </w:p>
    <w:p w:rsidR="0095753B" w:rsidRPr="00805EFA" w:rsidRDefault="0095753B" w:rsidP="0095753B">
      <w:pPr>
        <w:ind w:left="709"/>
        <w:rPr>
          <w:sz w:val="22"/>
          <w:szCs w:val="22"/>
          <w:lang w:val="en-GB"/>
        </w:rPr>
      </w:pPr>
      <w:r w:rsidRPr="00805EFA">
        <w:rPr>
          <w:sz w:val="22"/>
          <w:szCs w:val="22"/>
          <w:lang w:val="en-GB"/>
        </w:rPr>
        <w:t xml:space="preserve">Tenders must remain valid for a period of </w:t>
      </w:r>
      <w:r w:rsidR="00C86AD5">
        <w:rPr>
          <w:sz w:val="22"/>
          <w:szCs w:val="22"/>
          <w:lang w:val="en-GB"/>
        </w:rPr>
        <w:t>9</w:t>
      </w:r>
      <w:r w:rsidRPr="00990CAF">
        <w:rPr>
          <w:sz w:val="22"/>
          <w:szCs w:val="22"/>
          <w:lang w:val="en-GB"/>
        </w:rPr>
        <w:t>0</w:t>
      </w:r>
      <w:r w:rsidRPr="00805EFA">
        <w:rPr>
          <w:sz w:val="22"/>
          <w:szCs w:val="22"/>
          <w:lang w:val="en-GB"/>
        </w:rPr>
        <w:t xml:space="preserve"> days after the deadline for submission of tenders.</w:t>
      </w:r>
      <w:r>
        <w:rPr>
          <w:lang w:val="en-GB"/>
        </w:rPr>
        <w:t xml:space="preserve"> </w:t>
      </w:r>
      <w:r w:rsidRPr="00D85D0B">
        <w:rPr>
          <w:sz w:val="22"/>
          <w:szCs w:val="22"/>
          <w:lang w:val="en-GB"/>
        </w:rPr>
        <w:t>In exceptional circumstances, the Contracting Authority may, before the validity period expires, request that tenderers extend the validity of tenders for a specific period</w:t>
      </w:r>
      <w:r>
        <w:rPr>
          <w:sz w:val="22"/>
          <w:szCs w:val="22"/>
          <w:lang w:val="en-GB"/>
        </w:rPr>
        <w:t>.</w:t>
      </w:r>
    </w:p>
    <w:p w:rsidR="0095753B" w:rsidRPr="00597BFE" w:rsidRDefault="0095753B" w:rsidP="0095753B">
      <w:pPr>
        <w:pStyle w:val="PRAGHeading2"/>
        <w:rPr>
          <w:rStyle w:val="Strong"/>
          <w:sz w:val="22"/>
          <w:szCs w:val="22"/>
          <w:lang w:val="en-GB"/>
        </w:rPr>
      </w:pPr>
      <w:r w:rsidRPr="00597BFE">
        <w:rPr>
          <w:rStyle w:val="Strong"/>
          <w:sz w:val="22"/>
          <w:szCs w:val="22"/>
          <w:lang w:val="en-GB"/>
        </w:rPr>
        <w:t>P</w:t>
      </w:r>
      <w:r w:rsidRPr="00597BFE">
        <w:rPr>
          <w:b/>
          <w:sz w:val="22"/>
          <w:szCs w:val="22"/>
          <w:lang w:val="en-GB"/>
        </w:rPr>
        <w:t>eriod of implementation</w:t>
      </w:r>
      <w:r>
        <w:rPr>
          <w:b/>
          <w:sz w:val="22"/>
          <w:szCs w:val="22"/>
          <w:lang w:val="en-GB"/>
        </w:rPr>
        <w:t xml:space="preserve"> of tasks</w:t>
      </w:r>
    </w:p>
    <w:p w:rsidR="0095753B" w:rsidRPr="00805EFA" w:rsidRDefault="00047600" w:rsidP="0095753B">
      <w:pPr>
        <w:ind w:left="709"/>
        <w:rPr>
          <w:sz w:val="22"/>
          <w:szCs w:val="22"/>
          <w:lang w:val="en-GB"/>
        </w:rPr>
      </w:pPr>
      <w:r>
        <w:rPr>
          <w:sz w:val="22"/>
          <w:szCs w:val="22"/>
          <w:lang w:val="en-GB"/>
        </w:rPr>
        <w:t>120</w:t>
      </w:r>
      <w:r w:rsidR="0095753B" w:rsidRPr="00990CAF">
        <w:rPr>
          <w:sz w:val="22"/>
          <w:szCs w:val="22"/>
          <w:lang w:val="en-GB"/>
        </w:rPr>
        <w:t xml:space="preserve"> days</w:t>
      </w:r>
      <w:r w:rsidR="0095753B">
        <w:rPr>
          <w:sz w:val="22"/>
          <w:szCs w:val="22"/>
          <w:lang w:val="en-GB"/>
        </w:rPr>
        <w:t xml:space="preserve"> </w:t>
      </w:r>
      <w:r w:rsidR="0095753B" w:rsidRPr="005E53B0">
        <w:rPr>
          <w:sz w:val="22"/>
          <w:szCs w:val="22"/>
          <w:lang w:val="en-GB"/>
        </w:rPr>
        <w:t>from</w:t>
      </w:r>
      <w:r w:rsidR="0095753B">
        <w:rPr>
          <w:sz w:val="22"/>
          <w:szCs w:val="22"/>
          <w:lang w:val="en-GB"/>
        </w:rPr>
        <w:t xml:space="preserve"> signing the contract by both parties.</w:t>
      </w:r>
    </w:p>
    <w:p w:rsidR="0095753B" w:rsidRPr="00DD2F41" w:rsidRDefault="008D7918" w:rsidP="0095753B">
      <w:pPr>
        <w:keepNext/>
        <w:keepLines/>
        <w:rPr>
          <w:sz w:val="22"/>
          <w:szCs w:val="22"/>
          <w:lang w:val="en-GB"/>
        </w:rPr>
      </w:pPr>
      <w:r>
        <w:rPr>
          <w:noProof/>
          <w:snapToGrid/>
          <w:sz w:val="22"/>
          <w:szCs w:val="22"/>
          <w:lang w:val="en-US"/>
        </w:rPr>
        <w:lastRenderedPageBreak/>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152400</wp:posOffset>
                </wp:positionV>
                <wp:extent cx="5943600" cy="635"/>
                <wp:effectExtent l="19050" t="24130" r="19050" b="1333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BFFD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Fe/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pcYWe2/C99GlYM+7whO0/AOBPUFPSZ/&#10;Exg0HSgEdWNj/pyls+V0OS1GRT5Zjoq0rkefVotiNFllD+P6vl4s6uxXCJkVZSsY4ypodBmSrPi7&#10;JhzG9dze1zG5ViO5RT8zP4JYIOCFdGyq0EfnjtxqdlrbS7PBXETjYYbD4L09w/7tn2b+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LxAV79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rsidR="0095753B" w:rsidRPr="00DD2F41" w:rsidRDefault="0095753B" w:rsidP="0095753B">
      <w:pPr>
        <w:keepNext/>
        <w:keepLines/>
        <w:ind w:left="360"/>
        <w:jc w:val="center"/>
        <w:rPr>
          <w:rStyle w:val="Strong"/>
          <w:sz w:val="22"/>
          <w:szCs w:val="22"/>
          <w:lang w:val="en-GB"/>
        </w:rPr>
      </w:pPr>
      <w:r w:rsidRPr="00DD2F41">
        <w:rPr>
          <w:rStyle w:val="Strong"/>
          <w:sz w:val="22"/>
          <w:szCs w:val="22"/>
          <w:lang w:val="en-GB"/>
        </w:rPr>
        <w:t>SELECTION AND AWARD CRITERIA</w:t>
      </w:r>
    </w:p>
    <w:p w:rsidR="0095753B" w:rsidRPr="00DD2F41" w:rsidRDefault="0095753B" w:rsidP="0095753B">
      <w:pPr>
        <w:pStyle w:val="PRAGHeading2"/>
        <w:rPr>
          <w:rStyle w:val="Strong"/>
          <w:sz w:val="22"/>
          <w:szCs w:val="22"/>
          <w:lang w:val="en-GB"/>
        </w:rPr>
      </w:pPr>
      <w:r w:rsidRPr="00DD2F41">
        <w:rPr>
          <w:rStyle w:val="Strong"/>
          <w:sz w:val="22"/>
          <w:szCs w:val="22"/>
          <w:lang w:val="en-GB"/>
        </w:rPr>
        <w:t>Selection criteria</w:t>
      </w:r>
    </w:p>
    <w:p w:rsidR="0095753B" w:rsidRPr="00BE3363" w:rsidRDefault="0095753B" w:rsidP="0095753B">
      <w:pPr>
        <w:ind w:left="709"/>
        <w:rPr>
          <w:rStyle w:val="Strong"/>
          <w:b w:val="0"/>
          <w:sz w:val="22"/>
          <w:szCs w:val="22"/>
          <w:lang w:val="en-GB"/>
        </w:rPr>
      </w:pPr>
      <w:r w:rsidRPr="008E332E">
        <w:rPr>
          <w:sz w:val="22"/>
          <w:szCs w:val="22"/>
          <w:lang w:val="en-GB"/>
        </w:rPr>
        <w:t>According to the criteria used in section 12.2 of the Instructions to Tenderers</w:t>
      </w:r>
      <w:r>
        <w:rPr>
          <w:sz w:val="22"/>
          <w:szCs w:val="22"/>
          <w:lang w:val="en-GB"/>
        </w:rPr>
        <w:t>.</w:t>
      </w:r>
    </w:p>
    <w:p w:rsidR="0095753B" w:rsidRPr="00DD2F41" w:rsidRDefault="0095753B" w:rsidP="0095753B">
      <w:pPr>
        <w:pStyle w:val="PRAGHeading2"/>
        <w:rPr>
          <w:rStyle w:val="Strong"/>
          <w:sz w:val="22"/>
          <w:szCs w:val="22"/>
          <w:lang w:val="en-GB"/>
        </w:rPr>
      </w:pPr>
      <w:r w:rsidRPr="00DD2F41">
        <w:rPr>
          <w:rStyle w:val="Strong"/>
          <w:sz w:val="22"/>
          <w:szCs w:val="22"/>
          <w:lang w:val="en-GB"/>
        </w:rPr>
        <w:t>Award criteria</w:t>
      </w:r>
    </w:p>
    <w:p w:rsidR="0095753B" w:rsidRPr="00B76F33" w:rsidRDefault="0095753B" w:rsidP="0095753B">
      <w:pPr>
        <w:ind w:left="720"/>
        <w:rPr>
          <w:sz w:val="22"/>
          <w:lang w:val="en-GB"/>
        </w:rPr>
      </w:pPr>
      <w:r w:rsidRPr="008E332E">
        <w:rPr>
          <w:sz w:val="22"/>
          <w:lang w:val="en-GB"/>
        </w:rPr>
        <w:t>The most economically advantageous tender is the technically compliant tender with the lowest price</w:t>
      </w:r>
      <w:r w:rsidRPr="00B76F33">
        <w:rPr>
          <w:sz w:val="22"/>
          <w:lang w:val="en-GB"/>
        </w:rPr>
        <w:t>.</w:t>
      </w:r>
    </w:p>
    <w:p w:rsidR="0095753B" w:rsidRPr="00DD2F41" w:rsidRDefault="008D7918" w:rsidP="0095753B">
      <w:pPr>
        <w:rPr>
          <w:sz w:val="22"/>
          <w:szCs w:val="22"/>
          <w:lang w:val="en-GB"/>
        </w:rPr>
      </w:pPr>
      <w:r>
        <w:rPr>
          <w:noProof/>
          <w:snapToGrid/>
          <w:sz w:val="22"/>
          <w:szCs w:val="22"/>
          <w:lang w:val="en-US"/>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152400</wp:posOffset>
                </wp:positionV>
                <wp:extent cx="5943600" cy="635"/>
                <wp:effectExtent l="19050" t="24765" r="1905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707CC"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oM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VGVvvvwrdR5aDPO4LzNLwDQX1Bj8nf&#10;BAZNBwpB3diYPx/Sh9V8Nc9H+Xi2GuVpVY0+rZf5aLbO7qfVpFouq+xXCJnlRSsY4ypodBmSLP+7&#10;JhzG9dze1zG5ViO5RT8zP4JYIOCFdGyq0EfnjtxpdtrYS7PBXETjYYbD4L09w/7tn2bx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G4Kigx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rsidR="0095753B" w:rsidRPr="00DD2F41" w:rsidRDefault="0095753B" w:rsidP="0095753B">
      <w:pPr>
        <w:ind w:left="360"/>
        <w:jc w:val="center"/>
        <w:rPr>
          <w:rStyle w:val="Strong"/>
          <w:sz w:val="22"/>
          <w:szCs w:val="22"/>
          <w:lang w:val="en-GB"/>
        </w:rPr>
      </w:pPr>
      <w:r w:rsidRPr="00DD2F41">
        <w:rPr>
          <w:rStyle w:val="Strong"/>
          <w:sz w:val="22"/>
          <w:szCs w:val="22"/>
          <w:lang w:val="en-GB"/>
        </w:rPr>
        <w:t>TENDERING</w:t>
      </w:r>
    </w:p>
    <w:p w:rsidR="0095753B" w:rsidRPr="00DD2F41" w:rsidRDefault="0095753B" w:rsidP="0095753B">
      <w:pPr>
        <w:pStyle w:val="PRAGHeading2"/>
        <w:rPr>
          <w:rStyle w:val="Strong"/>
          <w:sz w:val="22"/>
          <w:szCs w:val="22"/>
          <w:lang w:val="en-GB"/>
        </w:rPr>
      </w:pPr>
      <w:r w:rsidRPr="00DD2F41">
        <w:rPr>
          <w:rStyle w:val="Strong"/>
          <w:sz w:val="22"/>
          <w:szCs w:val="22"/>
          <w:lang w:val="en-GB"/>
        </w:rPr>
        <w:t>How to obtain the tender dossier</w:t>
      </w:r>
    </w:p>
    <w:p w:rsidR="008D7918" w:rsidRDefault="008D7918" w:rsidP="0095753B">
      <w:pPr>
        <w:ind w:left="709"/>
        <w:jc w:val="both"/>
        <w:rPr>
          <w:sz w:val="22"/>
          <w:szCs w:val="22"/>
          <w:lang w:val="en-GB"/>
        </w:rPr>
      </w:pPr>
      <w:r w:rsidRPr="00BE3363">
        <w:rPr>
          <w:sz w:val="22"/>
          <w:szCs w:val="22"/>
          <w:lang w:val="en-GB"/>
        </w:rPr>
        <w:t xml:space="preserve">The tender dossier is available </w:t>
      </w:r>
      <w:proofErr w:type="gramStart"/>
      <w:r w:rsidRPr="00BE3363">
        <w:rPr>
          <w:sz w:val="22"/>
          <w:szCs w:val="22"/>
          <w:lang w:val="en-GB"/>
        </w:rPr>
        <w:t xml:space="preserve">from </w:t>
      </w:r>
      <w:r>
        <w:fldChar w:fldCharType="begin"/>
      </w:r>
      <w:proofErr w:type="gramEnd"/>
      <w:r>
        <w:rPr>
          <w:rFonts w:ascii="Verdana" w:hAnsi="Verdana"/>
        </w:rPr>
        <w:instrText xml:space="preserve"> HYPERLINK "http://www.sombor.rs/" </w:instrText>
      </w:r>
      <w:r>
        <w:fldChar w:fldCharType="separate"/>
      </w:r>
      <w:r>
        <w:rPr>
          <w:rFonts w:ascii="Verdana" w:hAnsi="Verdana"/>
        </w:rPr>
        <w:t xml:space="preserve"> </w:t>
      </w:r>
      <w:hyperlink r:id="rId11" w:history="1">
        <w:r w:rsidRPr="00A12C33">
          <w:rPr>
            <w:rStyle w:val="Hyperlink"/>
          </w:rPr>
          <w:t>https://www.sombor.rs/gradska-uprava/javne-nabavke-2/javne-nabavke-u-toku</w:t>
        </w:r>
        <w:r>
          <w:rPr>
            <w:rStyle w:val="Hyperlink"/>
            <w:rFonts w:ascii="Verdana" w:hAnsi="Verdana"/>
          </w:rPr>
          <w:t>/</w:t>
        </w:r>
      </w:hyperlink>
      <w:r>
        <w:rPr>
          <w:rStyle w:val="Hyperlink"/>
          <w:rFonts w:ascii="Verdana" w:hAnsi="Verdana"/>
        </w:rPr>
        <w:fldChar w:fldCharType="end"/>
      </w:r>
      <w:r w:rsidRPr="00BE3363">
        <w:rPr>
          <w:sz w:val="22"/>
          <w:szCs w:val="22"/>
          <w:lang w:val="en-GB"/>
        </w:rPr>
        <w:t xml:space="preserve">. It is also available for inspection at the premises of the </w:t>
      </w:r>
      <w:r>
        <w:rPr>
          <w:sz w:val="22"/>
          <w:szCs w:val="22"/>
          <w:lang w:val="en-GB"/>
        </w:rPr>
        <w:t>c</w:t>
      </w:r>
      <w:r w:rsidRPr="00BE3363">
        <w:rPr>
          <w:sz w:val="22"/>
          <w:szCs w:val="22"/>
          <w:lang w:val="en-GB"/>
        </w:rPr>
        <w:t xml:space="preserve">ontracting </w:t>
      </w:r>
      <w:r>
        <w:rPr>
          <w:sz w:val="22"/>
          <w:szCs w:val="22"/>
          <w:lang w:val="en-GB"/>
        </w:rPr>
        <w:t>a</w:t>
      </w:r>
      <w:r w:rsidRPr="00BE3363">
        <w:rPr>
          <w:sz w:val="22"/>
          <w:szCs w:val="22"/>
          <w:lang w:val="en-GB"/>
        </w:rPr>
        <w:t>uthority, address as in point 5 above. Tenders must be submitted using the standard tender form included in the tender dossier, whose format and instructions must be strictly observed.</w:t>
      </w:r>
    </w:p>
    <w:p w:rsidR="0095753B" w:rsidRPr="002D0223" w:rsidRDefault="0095753B" w:rsidP="0095753B">
      <w:pPr>
        <w:ind w:left="709"/>
        <w:jc w:val="both"/>
        <w:rPr>
          <w:b/>
          <w:sz w:val="22"/>
          <w:szCs w:val="22"/>
          <w:lang w:val="en-GB"/>
        </w:rPr>
      </w:pPr>
      <w:r w:rsidRPr="00BE3363">
        <w:rPr>
          <w:sz w:val="22"/>
          <w:szCs w:val="22"/>
          <w:lang w:val="en-GB"/>
        </w:rPr>
        <w:t xml:space="preserve">Tenderers with questions regarding this tender should send them in writing to </w:t>
      </w:r>
      <w:r w:rsidRPr="00EF0ECB">
        <w:rPr>
          <w:sz w:val="22"/>
          <w:szCs w:val="22"/>
          <w:lang w:val="en-GB"/>
        </w:rPr>
        <w:t>e</w:t>
      </w:r>
      <w:r>
        <w:rPr>
          <w:sz w:val="22"/>
          <w:szCs w:val="22"/>
          <w:lang w:val="en-GB"/>
        </w:rPr>
        <w:t>mail</w:t>
      </w:r>
      <w:r w:rsidRPr="00EF0ECB">
        <w:rPr>
          <w:sz w:val="22"/>
          <w:szCs w:val="22"/>
          <w:lang w:val="en-GB"/>
        </w:rPr>
        <w:t xml:space="preserve">: </w:t>
      </w:r>
      <w:r w:rsidR="00D429F7" w:rsidRPr="00D429F7">
        <w:rPr>
          <w:rStyle w:val="Hyperlink"/>
          <w:sz w:val="22"/>
          <w:szCs w:val="22"/>
          <w:lang w:val="en-GB"/>
        </w:rPr>
        <w:t>greenwayssombor@gmail.com</w:t>
      </w:r>
      <w:r w:rsidR="001F1936">
        <w:rPr>
          <w:sz w:val="22"/>
          <w:szCs w:val="22"/>
          <w:lang w:val="en-GB"/>
        </w:rPr>
        <w:t xml:space="preserve"> </w:t>
      </w:r>
      <w:r w:rsidRPr="008418F4">
        <w:rPr>
          <w:sz w:val="22"/>
          <w:szCs w:val="22"/>
          <w:lang w:val="en-GB"/>
        </w:rPr>
        <w:t xml:space="preserve">or received by post or currier service on address: </w:t>
      </w:r>
      <w:bookmarkStart w:id="2" w:name="_Hlk488779324"/>
      <w:r w:rsidRPr="008418F4">
        <w:rPr>
          <w:sz w:val="22"/>
          <w:szCs w:val="22"/>
          <w:lang w:val="en-GB"/>
        </w:rPr>
        <w:t xml:space="preserve">City of </w:t>
      </w:r>
      <w:proofErr w:type="spellStart"/>
      <w:r w:rsidRPr="008418F4">
        <w:rPr>
          <w:sz w:val="22"/>
          <w:szCs w:val="22"/>
          <w:lang w:val="en-GB"/>
        </w:rPr>
        <w:t>Sombor</w:t>
      </w:r>
      <w:proofErr w:type="spellEnd"/>
      <w:r w:rsidRPr="008418F4">
        <w:rPr>
          <w:sz w:val="22"/>
          <w:szCs w:val="22"/>
          <w:lang w:val="en-GB"/>
        </w:rPr>
        <w:t xml:space="preserve">, </w:t>
      </w:r>
      <w:proofErr w:type="spellStart"/>
      <w:r w:rsidRPr="008418F4">
        <w:rPr>
          <w:sz w:val="22"/>
          <w:szCs w:val="22"/>
          <w:lang w:val="en-GB"/>
        </w:rPr>
        <w:t>Trg</w:t>
      </w:r>
      <w:proofErr w:type="spellEnd"/>
      <w:r w:rsidRPr="008418F4">
        <w:rPr>
          <w:sz w:val="22"/>
          <w:szCs w:val="22"/>
          <w:lang w:val="en-GB"/>
        </w:rPr>
        <w:t xml:space="preserve"> </w:t>
      </w:r>
      <w:proofErr w:type="spellStart"/>
      <w:r w:rsidRPr="008418F4">
        <w:rPr>
          <w:sz w:val="22"/>
          <w:szCs w:val="22"/>
          <w:lang w:val="en-GB"/>
        </w:rPr>
        <w:t>cara</w:t>
      </w:r>
      <w:proofErr w:type="spellEnd"/>
      <w:r w:rsidRPr="008418F4">
        <w:rPr>
          <w:sz w:val="22"/>
          <w:szCs w:val="22"/>
          <w:lang w:val="en-GB"/>
        </w:rPr>
        <w:t xml:space="preserve"> </w:t>
      </w:r>
      <w:proofErr w:type="spellStart"/>
      <w:r w:rsidRPr="008418F4">
        <w:rPr>
          <w:sz w:val="22"/>
          <w:szCs w:val="22"/>
          <w:lang w:val="en-GB"/>
        </w:rPr>
        <w:t>Urosa</w:t>
      </w:r>
      <w:proofErr w:type="spellEnd"/>
      <w:r w:rsidRPr="008418F4">
        <w:rPr>
          <w:sz w:val="22"/>
          <w:szCs w:val="22"/>
          <w:lang w:val="en-GB"/>
        </w:rPr>
        <w:t xml:space="preserve"> 1, 25000 </w:t>
      </w:r>
      <w:proofErr w:type="spellStart"/>
      <w:r w:rsidRPr="008418F4">
        <w:rPr>
          <w:sz w:val="22"/>
          <w:szCs w:val="22"/>
          <w:lang w:val="en-GB"/>
        </w:rPr>
        <w:t>S</w:t>
      </w:r>
      <w:bookmarkEnd w:id="2"/>
      <w:r w:rsidRPr="008418F4">
        <w:rPr>
          <w:sz w:val="22"/>
          <w:szCs w:val="22"/>
          <w:lang w:val="en-GB"/>
        </w:rPr>
        <w:t>ombor</w:t>
      </w:r>
      <w:proofErr w:type="spellEnd"/>
      <w:r w:rsidRPr="008418F4">
        <w:rPr>
          <w:sz w:val="22"/>
          <w:szCs w:val="22"/>
          <w:lang w:val="en-GB"/>
        </w:rPr>
        <w:t>, (mentioning the</w:t>
      </w:r>
      <w:r w:rsidRPr="0089129B">
        <w:rPr>
          <w:color w:val="00B050"/>
          <w:sz w:val="22"/>
          <w:szCs w:val="22"/>
          <w:lang w:val="en-GB"/>
        </w:rPr>
        <w:t xml:space="preserve"> </w:t>
      </w:r>
      <w:r w:rsidRPr="008418F4">
        <w:rPr>
          <w:sz w:val="22"/>
          <w:szCs w:val="22"/>
          <w:lang w:val="en-GB"/>
        </w:rPr>
        <w:t>publication reference shown in item 1</w:t>
      </w:r>
      <w:r w:rsidRPr="00975144">
        <w:rPr>
          <w:sz w:val="22"/>
          <w:szCs w:val="22"/>
          <w:lang w:val="en-GB"/>
        </w:rPr>
        <w:t>)</w:t>
      </w:r>
      <w:r w:rsidRPr="0089129B">
        <w:rPr>
          <w:color w:val="00B050"/>
          <w:sz w:val="22"/>
          <w:szCs w:val="22"/>
          <w:lang w:val="en-GB"/>
        </w:rPr>
        <w:t xml:space="preserve"> </w:t>
      </w:r>
      <w:r w:rsidRPr="00990CAF">
        <w:rPr>
          <w:sz w:val="22"/>
          <w:szCs w:val="22"/>
          <w:lang w:val="en-GB"/>
        </w:rPr>
        <w:t>at least 21</w:t>
      </w:r>
      <w:r w:rsidRPr="00BE3363">
        <w:rPr>
          <w:sz w:val="22"/>
          <w:szCs w:val="22"/>
          <w:lang w:val="en-GB"/>
        </w:rPr>
        <w:t xml:space="preserve"> days before the deadline for submission of tenders given in item 19. The Contracting Authority must reply to all tenderers' questions at least 11 days before the deadline for submission of </w:t>
      </w:r>
      <w:r w:rsidRPr="009B4A52">
        <w:rPr>
          <w:sz w:val="22"/>
          <w:szCs w:val="22"/>
          <w:lang w:val="en-GB"/>
        </w:rPr>
        <w:t xml:space="preserve">tenders. Eventual clarifications or minor changes to the tender dossier will be published at the latest 11 days before the submission deadline </w:t>
      </w:r>
      <w:r w:rsidRPr="00C356BA">
        <w:rPr>
          <w:sz w:val="22"/>
          <w:szCs w:val="22"/>
          <w:lang w:val="en-GB"/>
        </w:rPr>
        <w:t xml:space="preserve">on </w:t>
      </w:r>
      <w:r>
        <w:rPr>
          <w:sz w:val="22"/>
          <w:szCs w:val="22"/>
          <w:lang w:val="en-GB"/>
        </w:rPr>
        <w:t xml:space="preserve">the official </w:t>
      </w:r>
      <w:r w:rsidRPr="008418F4">
        <w:rPr>
          <w:sz w:val="22"/>
          <w:szCs w:val="22"/>
          <w:lang w:val="en-GB"/>
        </w:rPr>
        <w:t xml:space="preserve">City of </w:t>
      </w:r>
      <w:proofErr w:type="spellStart"/>
      <w:r w:rsidRPr="008418F4">
        <w:rPr>
          <w:sz w:val="22"/>
          <w:szCs w:val="22"/>
          <w:lang w:val="en-GB"/>
        </w:rPr>
        <w:t>Sombor</w:t>
      </w:r>
      <w:proofErr w:type="spellEnd"/>
      <w:r w:rsidRPr="00C356BA">
        <w:rPr>
          <w:sz w:val="22"/>
          <w:szCs w:val="22"/>
          <w:lang w:val="en-GB"/>
        </w:rPr>
        <w:t xml:space="preserve"> web site </w:t>
      </w:r>
      <w:hyperlink r:id="rId12" w:history="1">
        <w:r>
          <w:rPr>
            <w:rFonts w:ascii="Verdana" w:hAnsi="Verdana"/>
          </w:rPr>
          <w:t xml:space="preserve"> </w:t>
        </w:r>
        <w:hyperlink r:id="rId13" w:history="1">
          <w:r w:rsidRPr="00A12C33">
            <w:rPr>
              <w:rStyle w:val="Hyperlink"/>
            </w:rPr>
            <w:t>https://www.sombor.rs/gradska-uprava/javne-nabavke-2/javne-nabavke-u-toku</w:t>
          </w:r>
          <w:r>
            <w:rPr>
              <w:rStyle w:val="Hyperlink"/>
              <w:rFonts w:ascii="Verdana" w:hAnsi="Verdana"/>
            </w:rPr>
            <w:t>/</w:t>
          </w:r>
        </w:hyperlink>
      </w:hyperlink>
      <w:r w:rsidR="008D7918">
        <w:rPr>
          <w:rStyle w:val="Hyperlink"/>
          <w:rFonts w:ascii="Verdana" w:hAnsi="Verdana"/>
          <w:b/>
          <w:u w:val="none"/>
        </w:rPr>
        <w:t xml:space="preserve"> </w:t>
      </w:r>
      <w:r w:rsidR="002D0223">
        <w:rPr>
          <w:sz w:val="22"/>
          <w:szCs w:val="22"/>
          <w:lang w:val="en-GB"/>
        </w:rPr>
        <w:t>and/or sent to all tenderers via email.</w:t>
      </w:r>
    </w:p>
    <w:p w:rsidR="0095753B" w:rsidRPr="00DD2F41" w:rsidRDefault="0095753B" w:rsidP="0095753B">
      <w:pPr>
        <w:pStyle w:val="PRAGHeading2"/>
        <w:rPr>
          <w:rStyle w:val="Strong"/>
          <w:sz w:val="22"/>
          <w:szCs w:val="22"/>
          <w:lang w:val="en-GB"/>
        </w:rPr>
      </w:pPr>
      <w:r w:rsidRPr="00DD2F41">
        <w:rPr>
          <w:rStyle w:val="Strong"/>
          <w:sz w:val="22"/>
          <w:szCs w:val="22"/>
          <w:lang w:val="en-GB"/>
        </w:rPr>
        <w:t>Deadline for submission of tenders</w:t>
      </w:r>
    </w:p>
    <w:p w:rsidR="008D7918" w:rsidRPr="00A40479" w:rsidRDefault="008D7918" w:rsidP="008D7918">
      <w:pPr>
        <w:pStyle w:val="Blockquote"/>
        <w:ind w:left="709" w:right="26"/>
        <w:jc w:val="both"/>
        <w:rPr>
          <w:rStyle w:val="Emphasis"/>
          <w:i w:val="0"/>
          <w:sz w:val="22"/>
          <w:szCs w:val="22"/>
          <w:lang w:val="en-GB"/>
        </w:rPr>
      </w:pPr>
      <w:bookmarkStart w:id="3" w:name="_Hlk504414443"/>
      <w:r w:rsidRPr="00A40479">
        <w:rPr>
          <w:rStyle w:val="Emphasis"/>
          <w:i w:val="0"/>
          <w:sz w:val="22"/>
          <w:szCs w:val="22"/>
          <w:lang w:val="en-GB"/>
        </w:rPr>
        <w:t>The candidate/tenderer's attention is drawn to the fact that there are two different systems for sending applications/tenders, either by post or private mail service, or by hand delivery.</w:t>
      </w:r>
    </w:p>
    <w:p w:rsidR="008D7918" w:rsidRDefault="008D7918" w:rsidP="008D7918">
      <w:pPr>
        <w:pStyle w:val="Blockquote"/>
        <w:ind w:left="709" w:right="26"/>
        <w:jc w:val="both"/>
        <w:rPr>
          <w:sz w:val="22"/>
          <w:szCs w:val="22"/>
          <w:lang w:val="en-GB"/>
        </w:rPr>
      </w:pPr>
      <w:r w:rsidRPr="00A40479">
        <w:rPr>
          <w:rStyle w:val="Emphasis"/>
          <w:i w:val="0"/>
          <w:sz w:val="22"/>
          <w:szCs w:val="22"/>
          <w:lang w:val="en-GB"/>
        </w:rPr>
        <w:t>In the first case, the application/tender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but in the second case it is the acknowledgment of receipt given at the time of the delivery of the appli</w:t>
      </w:r>
      <w:r>
        <w:rPr>
          <w:rStyle w:val="Emphasis"/>
          <w:i w:val="0"/>
          <w:sz w:val="22"/>
          <w:szCs w:val="22"/>
          <w:lang w:val="en-GB"/>
        </w:rPr>
        <w:t>cation/tender which will serve as proof</w:t>
      </w:r>
      <w:r w:rsidRPr="00A40479">
        <w:rPr>
          <w:rStyle w:val="Emphasis"/>
          <w:i w:val="0"/>
          <w:sz w:val="22"/>
          <w:szCs w:val="22"/>
          <w:lang w:val="en-GB"/>
        </w:rPr>
        <w:t>.</w:t>
      </w:r>
    </w:p>
    <w:p w:rsidR="0095753B" w:rsidRPr="008D7918" w:rsidRDefault="00E97F46" w:rsidP="0095753B">
      <w:pPr>
        <w:ind w:left="709"/>
        <w:jc w:val="both"/>
        <w:rPr>
          <w:rStyle w:val="Emphasis"/>
          <w:b/>
          <w:sz w:val="22"/>
          <w:szCs w:val="22"/>
          <w:lang w:val="en-US"/>
        </w:rPr>
      </w:pPr>
      <w:r>
        <w:rPr>
          <w:b/>
          <w:sz w:val="22"/>
          <w:szCs w:val="22"/>
          <w:lang w:val="en-GB"/>
        </w:rPr>
        <w:t>30</w:t>
      </w:r>
      <w:r w:rsidR="001F1936" w:rsidRPr="008D7918">
        <w:rPr>
          <w:b/>
          <w:sz w:val="22"/>
          <w:szCs w:val="22"/>
          <w:lang w:val="en-GB"/>
        </w:rPr>
        <w:t>.</w:t>
      </w:r>
      <w:r w:rsidR="00634B13" w:rsidRPr="008D7918">
        <w:rPr>
          <w:b/>
          <w:sz w:val="22"/>
          <w:szCs w:val="22"/>
          <w:lang w:val="en-GB"/>
        </w:rPr>
        <w:t>1</w:t>
      </w:r>
      <w:r w:rsidR="008D7918" w:rsidRPr="008D7918">
        <w:rPr>
          <w:b/>
          <w:sz w:val="22"/>
          <w:szCs w:val="22"/>
          <w:lang w:val="en-GB"/>
        </w:rPr>
        <w:t>1</w:t>
      </w:r>
      <w:r w:rsidR="0095753B" w:rsidRPr="008D7918">
        <w:rPr>
          <w:b/>
          <w:sz w:val="22"/>
          <w:szCs w:val="22"/>
          <w:lang w:val="en-GB"/>
        </w:rPr>
        <w:t>.2018.</w:t>
      </w:r>
      <w:bookmarkEnd w:id="3"/>
      <w:r w:rsidR="0095753B" w:rsidRPr="008D7918">
        <w:rPr>
          <w:b/>
          <w:sz w:val="22"/>
          <w:szCs w:val="22"/>
          <w:lang w:val="en-GB"/>
        </w:rPr>
        <w:t xml:space="preserve"> at 1</w:t>
      </w:r>
      <w:r w:rsidR="008D7918" w:rsidRPr="008D7918">
        <w:rPr>
          <w:b/>
          <w:sz w:val="22"/>
          <w:szCs w:val="22"/>
          <w:lang w:val="en-GB"/>
        </w:rPr>
        <w:t>2</w:t>
      </w:r>
      <w:r w:rsidR="0095753B" w:rsidRPr="008D7918">
        <w:rPr>
          <w:b/>
          <w:sz w:val="22"/>
          <w:szCs w:val="22"/>
          <w:lang w:val="en-GB"/>
        </w:rPr>
        <w:t>:00 local time.</w:t>
      </w:r>
    </w:p>
    <w:p w:rsidR="008D7918" w:rsidRDefault="008D7918" w:rsidP="008D7918">
      <w:pPr>
        <w:ind w:left="709"/>
        <w:rPr>
          <w:sz w:val="22"/>
          <w:szCs w:val="22"/>
          <w:lang w:val="en-GB"/>
        </w:rPr>
      </w:pPr>
      <w:r w:rsidRPr="00BE3363">
        <w:rPr>
          <w:sz w:val="22"/>
          <w:szCs w:val="22"/>
          <w:lang w:val="en-GB"/>
        </w:rPr>
        <w:t xml:space="preserve">Any tender </w:t>
      </w:r>
      <w:r>
        <w:rPr>
          <w:sz w:val="22"/>
          <w:szCs w:val="22"/>
          <w:lang w:val="en-GB"/>
        </w:rPr>
        <w:t xml:space="preserve">submitted to the contracting authority </w:t>
      </w:r>
      <w:r w:rsidRPr="00BE3363">
        <w:rPr>
          <w:sz w:val="22"/>
          <w:szCs w:val="22"/>
          <w:lang w:val="en-GB"/>
        </w:rPr>
        <w:t>after this deadline will not be considered.</w:t>
      </w:r>
    </w:p>
    <w:p w:rsidR="0095753B" w:rsidRDefault="008D7918" w:rsidP="008D7918">
      <w:pPr>
        <w:ind w:left="709"/>
        <w:jc w:val="both"/>
        <w:rPr>
          <w:sz w:val="22"/>
          <w:szCs w:val="22"/>
          <w:lang w:val="en-GB"/>
        </w:rPr>
      </w:pPr>
      <w:r w:rsidRPr="00B50F3D">
        <w:rPr>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Pr="00F24836">
        <w:rPr>
          <w:sz w:val="22"/>
          <w:szCs w:val="22"/>
          <w:lang w:val="en-GB"/>
        </w:rPr>
        <w:t>(for instance when applications or tenders are received after the evaluation committee has finished its works and evaluating them would imply re-calling the evaluation committee)</w:t>
      </w:r>
      <w:r>
        <w:rPr>
          <w:sz w:val="22"/>
          <w:szCs w:val="22"/>
          <w:lang w:val="en-GB"/>
        </w:rPr>
        <w:t xml:space="preserve"> </w:t>
      </w:r>
      <w:r w:rsidRPr="00B50F3D">
        <w:rPr>
          <w:sz w:val="22"/>
          <w:szCs w:val="22"/>
          <w:lang w:val="en-GB"/>
        </w:rPr>
        <w:t xml:space="preserve"> or jeopardise decisions already taken and notified.</w:t>
      </w:r>
    </w:p>
    <w:p w:rsidR="008D7918" w:rsidRDefault="008D7918" w:rsidP="008D7918">
      <w:pPr>
        <w:ind w:left="709" w:right="26"/>
        <w:outlineLvl w:val="0"/>
        <w:rPr>
          <w:rStyle w:val="Strong"/>
          <w:sz w:val="22"/>
          <w:szCs w:val="22"/>
          <w:lang w:val="en-GB"/>
        </w:rPr>
      </w:pPr>
      <w:r>
        <w:rPr>
          <w:rStyle w:val="Strong"/>
          <w:sz w:val="22"/>
          <w:szCs w:val="22"/>
          <w:lang w:val="en-GB"/>
        </w:rPr>
        <w:t>How tender</w:t>
      </w:r>
      <w:r w:rsidRPr="00D225CC">
        <w:rPr>
          <w:rStyle w:val="Strong"/>
          <w:sz w:val="22"/>
          <w:szCs w:val="22"/>
          <w:lang w:val="en-GB"/>
        </w:rPr>
        <w:t>s may be submitted</w:t>
      </w:r>
    </w:p>
    <w:p w:rsidR="008D7918" w:rsidRPr="00D225CC" w:rsidRDefault="008D7918" w:rsidP="008D7918">
      <w:pPr>
        <w:pStyle w:val="Blockquote"/>
        <w:ind w:left="709" w:right="26"/>
        <w:jc w:val="both"/>
        <w:rPr>
          <w:sz w:val="22"/>
          <w:szCs w:val="22"/>
          <w:lang w:val="en-GB"/>
        </w:rPr>
      </w:pPr>
      <w:r>
        <w:rPr>
          <w:sz w:val="22"/>
          <w:szCs w:val="22"/>
          <w:lang w:val="en-GB"/>
        </w:rPr>
        <w:t>Tender</w:t>
      </w:r>
      <w:r w:rsidRPr="00D225CC">
        <w:rPr>
          <w:sz w:val="22"/>
          <w:szCs w:val="22"/>
          <w:lang w:val="en-GB"/>
        </w:rPr>
        <w:t xml:space="preserve">s must be submitted in English exclusively to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Pr>
          <w:sz w:val="22"/>
          <w:szCs w:val="22"/>
          <w:lang w:val="en-GB"/>
        </w:rPr>
        <w:t xml:space="preserve"> in a sealed envelope:</w:t>
      </w:r>
    </w:p>
    <w:p w:rsidR="008D7918" w:rsidRDefault="008D7918" w:rsidP="008D7918">
      <w:pPr>
        <w:numPr>
          <w:ilvl w:val="0"/>
          <w:numId w:val="2"/>
        </w:numPr>
        <w:ind w:right="26"/>
        <w:jc w:val="both"/>
        <w:rPr>
          <w:sz w:val="22"/>
          <w:szCs w:val="22"/>
          <w:lang w:val="en-GB"/>
        </w:rPr>
      </w:pPr>
      <w:r w:rsidRPr="00D225CC">
        <w:rPr>
          <w:sz w:val="22"/>
          <w:szCs w:val="22"/>
          <w:lang w:val="en-GB"/>
        </w:rPr>
        <w:lastRenderedPageBreak/>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rsidR="008D7918" w:rsidRDefault="008D7918" w:rsidP="008D7918">
      <w:pPr>
        <w:ind w:left="1134"/>
        <w:rPr>
          <w:b/>
          <w:szCs w:val="22"/>
        </w:rPr>
      </w:pPr>
      <w:r w:rsidRPr="009F1862">
        <w:rPr>
          <w:b/>
          <w:szCs w:val="22"/>
        </w:rPr>
        <w:t>Ci</w:t>
      </w:r>
      <w:r>
        <w:rPr>
          <w:b/>
          <w:szCs w:val="22"/>
        </w:rPr>
        <w:t>ty of Sombor</w:t>
      </w:r>
    </w:p>
    <w:p w:rsidR="008D7918" w:rsidRDefault="008D7918" w:rsidP="008D7918">
      <w:pPr>
        <w:ind w:left="1134"/>
        <w:rPr>
          <w:b/>
          <w:szCs w:val="22"/>
        </w:rPr>
      </w:pPr>
      <w:proofErr w:type="spellStart"/>
      <w:r>
        <w:rPr>
          <w:b/>
          <w:szCs w:val="22"/>
        </w:rPr>
        <w:t>Trg</w:t>
      </w:r>
      <w:proofErr w:type="spellEnd"/>
      <w:r>
        <w:rPr>
          <w:b/>
          <w:szCs w:val="22"/>
        </w:rPr>
        <w:t xml:space="preserve"> </w:t>
      </w:r>
      <w:proofErr w:type="spellStart"/>
      <w:r>
        <w:rPr>
          <w:b/>
          <w:szCs w:val="22"/>
        </w:rPr>
        <w:t>cara</w:t>
      </w:r>
      <w:proofErr w:type="spellEnd"/>
      <w:r>
        <w:rPr>
          <w:b/>
          <w:szCs w:val="22"/>
        </w:rPr>
        <w:t xml:space="preserve"> </w:t>
      </w:r>
      <w:proofErr w:type="spellStart"/>
      <w:r>
        <w:rPr>
          <w:b/>
          <w:szCs w:val="22"/>
        </w:rPr>
        <w:t>Urosa</w:t>
      </w:r>
      <w:proofErr w:type="spellEnd"/>
      <w:r>
        <w:rPr>
          <w:b/>
          <w:szCs w:val="22"/>
        </w:rPr>
        <w:t xml:space="preserve"> no. 1</w:t>
      </w:r>
    </w:p>
    <w:p w:rsidR="008D7918" w:rsidRDefault="008D7918" w:rsidP="008D7918">
      <w:pPr>
        <w:pStyle w:val="Blockquote"/>
        <w:ind w:left="774" w:right="26" w:firstLine="360"/>
        <w:rPr>
          <w:rStyle w:val="Emphasis"/>
          <w:i w:val="0"/>
          <w:sz w:val="22"/>
          <w:szCs w:val="22"/>
          <w:lang w:val="en-GB"/>
        </w:rPr>
      </w:pPr>
      <w:r w:rsidRPr="009F1862">
        <w:rPr>
          <w:b/>
          <w:szCs w:val="22"/>
        </w:rPr>
        <w:t>25000 Sombor</w:t>
      </w:r>
    </w:p>
    <w:p w:rsidR="008D7918" w:rsidRPr="00D225CC" w:rsidRDefault="008D7918" w:rsidP="008D7918">
      <w:pPr>
        <w:numPr>
          <w:ilvl w:val="0"/>
          <w:numId w:val="2"/>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8D7918" w:rsidRDefault="008D7918" w:rsidP="008D7918">
      <w:pPr>
        <w:ind w:left="1134"/>
        <w:rPr>
          <w:b/>
          <w:szCs w:val="22"/>
        </w:rPr>
      </w:pPr>
      <w:r w:rsidRPr="009F1862">
        <w:rPr>
          <w:b/>
          <w:szCs w:val="22"/>
        </w:rPr>
        <w:t>Ci</w:t>
      </w:r>
      <w:r>
        <w:rPr>
          <w:b/>
          <w:szCs w:val="22"/>
        </w:rPr>
        <w:t>ty of Sombor</w:t>
      </w:r>
    </w:p>
    <w:p w:rsidR="008D7918" w:rsidRDefault="008D7918" w:rsidP="008D7918">
      <w:pPr>
        <w:ind w:left="1134"/>
        <w:rPr>
          <w:b/>
          <w:szCs w:val="22"/>
        </w:rPr>
      </w:pPr>
      <w:proofErr w:type="spellStart"/>
      <w:r>
        <w:rPr>
          <w:b/>
          <w:szCs w:val="22"/>
        </w:rPr>
        <w:t>Trg</w:t>
      </w:r>
      <w:proofErr w:type="spellEnd"/>
      <w:r>
        <w:rPr>
          <w:b/>
          <w:szCs w:val="22"/>
        </w:rPr>
        <w:t xml:space="preserve"> </w:t>
      </w:r>
      <w:proofErr w:type="spellStart"/>
      <w:r>
        <w:rPr>
          <w:b/>
          <w:szCs w:val="22"/>
        </w:rPr>
        <w:t>cara</w:t>
      </w:r>
      <w:proofErr w:type="spellEnd"/>
      <w:r>
        <w:rPr>
          <w:b/>
          <w:szCs w:val="22"/>
        </w:rPr>
        <w:t xml:space="preserve"> </w:t>
      </w:r>
      <w:proofErr w:type="spellStart"/>
      <w:r>
        <w:rPr>
          <w:b/>
          <w:szCs w:val="22"/>
        </w:rPr>
        <w:t>Urosa</w:t>
      </w:r>
      <w:proofErr w:type="spellEnd"/>
      <w:r>
        <w:rPr>
          <w:b/>
          <w:szCs w:val="22"/>
        </w:rPr>
        <w:t xml:space="preserve"> no. 1</w:t>
      </w:r>
    </w:p>
    <w:p w:rsidR="008D7918" w:rsidRDefault="008D7918" w:rsidP="008D7918">
      <w:pPr>
        <w:pStyle w:val="Blockquote"/>
        <w:ind w:left="774" w:right="26" w:firstLine="360"/>
        <w:rPr>
          <w:b/>
          <w:szCs w:val="22"/>
        </w:rPr>
      </w:pPr>
      <w:r w:rsidRPr="009F1862">
        <w:rPr>
          <w:b/>
          <w:szCs w:val="22"/>
        </w:rPr>
        <w:t>25000 Sombor</w:t>
      </w:r>
    </w:p>
    <w:p w:rsidR="008D7918" w:rsidRPr="008D7918" w:rsidRDefault="008D7918" w:rsidP="008D7918">
      <w:pPr>
        <w:ind w:left="1134"/>
        <w:rPr>
          <w:b/>
        </w:rPr>
      </w:pPr>
      <w:proofErr w:type="spellStart"/>
      <w:r>
        <w:rPr>
          <w:b/>
        </w:rPr>
        <w:t>Working</w:t>
      </w:r>
      <w:proofErr w:type="spellEnd"/>
      <w:r>
        <w:rPr>
          <w:b/>
        </w:rPr>
        <w:t xml:space="preserve"> </w:t>
      </w:r>
      <w:proofErr w:type="spellStart"/>
      <w:r>
        <w:rPr>
          <w:b/>
        </w:rPr>
        <w:t>days</w:t>
      </w:r>
      <w:proofErr w:type="spellEnd"/>
      <w:r>
        <w:rPr>
          <w:b/>
        </w:rPr>
        <w:t xml:space="preserve"> (</w:t>
      </w:r>
      <w:proofErr w:type="spellStart"/>
      <w:r>
        <w:rPr>
          <w:b/>
        </w:rPr>
        <w:t>from</w:t>
      </w:r>
      <w:proofErr w:type="spellEnd"/>
      <w:r>
        <w:rPr>
          <w:b/>
        </w:rPr>
        <w:t xml:space="preserve"> </w:t>
      </w:r>
      <w:proofErr w:type="spellStart"/>
      <w:r>
        <w:rPr>
          <w:b/>
        </w:rPr>
        <w:t>Monday</w:t>
      </w:r>
      <w:proofErr w:type="spellEnd"/>
      <w:r>
        <w:rPr>
          <w:b/>
        </w:rPr>
        <w:t xml:space="preserve"> to Friday) </w:t>
      </w:r>
      <w:proofErr w:type="spellStart"/>
      <w:r>
        <w:rPr>
          <w:b/>
        </w:rPr>
        <w:t>from</w:t>
      </w:r>
      <w:proofErr w:type="spellEnd"/>
      <w:r>
        <w:rPr>
          <w:b/>
        </w:rPr>
        <w:t xml:space="preserve"> 08:00 to 14:00 local time</w:t>
      </w:r>
    </w:p>
    <w:p w:rsidR="008D7918" w:rsidRPr="00D225CC" w:rsidRDefault="008D7918" w:rsidP="008D7918">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Pr>
          <w:rStyle w:val="Strong"/>
          <w:b w:val="0"/>
          <w:sz w:val="22"/>
          <w:szCs w:val="22"/>
          <w:lang w:val="en-GB"/>
        </w:rPr>
        <w:t>p</w:t>
      </w:r>
      <w:r w:rsidRPr="00D225CC">
        <w:rPr>
          <w:rStyle w:val="Strong"/>
          <w:b w:val="0"/>
          <w:sz w:val="22"/>
          <w:szCs w:val="22"/>
          <w:lang w:val="en-GB"/>
        </w:rPr>
        <w:t>ublication reference</w:t>
      </w:r>
      <w:r w:rsidRPr="00D225CC">
        <w:rPr>
          <w:sz w:val="22"/>
          <w:szCs w:val="22"/>
          <w:lang w:val="en-GB"/>
        </w:rPr>
        <w:t xml:space="preserve"> (see item 1 above) must be clearly marked on the envelope containing the application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8D7918" w:rsidRDefault="008D7918" w:rsidP="008D7918">
      <w:pPr>
        <w:pStyle w:val="Blockquote"/>
        <w:ind w:left="709" w:right="26"/>
        <w:jc w:val="both"/>
        <w:rPr>
          <w:rStyle w:val="Strong"/>
          <w:b w:val="0"/>
          <w:sz w:val="22"/>
          <w:szCs w:val="22"/>
          <w:lang w:val="en-GB"/>
        </w:rPr>
      </w:pPr>
      <w:r>
        <w:rPr>
          <w:rStyle w:val="Strong"/>
          <w:b w:val="0"/>
          <w:sz w:val="22"/>
          <w:szCs w:val="22"/>
          <w:lang w:val="en-GB"/>
        </w:rPr>
        <w:t>Tender</w:t>
      </w:r>
      <w:r w:rsidRPr="00D225CC">
        <w:rPr>
          <w:rStyle w:val="Strong"/>
          <w:b w:val="0"/>
          <w:sz w:val="22"/>
          <w:szCs w:val="22"/>
          <w:lang w:val="en-GB"/>
        </w:rPr>
        <w:t>s submitted by any other means will not be considered.</w:t>
      </w:r>
    </w:p>
    <w:p w:rsidR="008D7918" w:rsidRPr="00BE3363" w:rsidRDefault="008D7918" w:rsidP="008D7918">
      <w:pPr>
        <w:ind w:left="709"/>
        <w:jc w:val="both"/>
        <w:rPr>
          <w:sz w:val="22"/>
          <w:szCs w:val="22"/>
          <w:lang w:val="en-GB"/>
        </w:rPr>
      </w:pPr>
      <w:r w:rsidRPr="000434D3">
        <w:rPr>
          <w:sz w:val="22"/>
          <w:szCs w:val="22"/>
          <w:lang w:val="en-GB"/>
        </w:rPr>
        <w:t>By submitting a</w:t>
      </w:r>
      <w:r>
        <w:rPr>
          <w:sz w:val="22"/>
          <w:szCs w:val="22"/>
          <w:lang w:val="en-GB"/>
        </w:rPr>
        <w:t xml:space="preserve"> tender</w:t>
      </w:r>
      <w:r w:rsidRPr="00CD3E5E">
        <w:rPr>
          <w:sz w:val="22"/>
          <w:szCs w:val="22"/>
          <w:lang w:val="en-GB"/>
        </w:rPr>
        <w:t xml:space="preserve"> candidates accept to receive notification of the outcome of the procedure by electronic means.</w:t>
      </w:r>
      <w:r w:rsidRPr="00CD3E5E">
        <w:rPr>
          <w:lang w:val="en-GB"/>
        </w:rPr>
        <w:t xml:space="preserve"> </w:t>
      </w:r>
      <w:r w:rsidRPr="00CD3E5E">
        <w:rPr>
          <w:sz w:val="22"/>
          <w:szCs w:val="22"/>
          <w:lang w:val="en-GB"/>
        </w:rPr>
        <w:t>Such notification shall be deemed to have been received on the date upon which the contracting authority sends it to the electronic address referred to in the application.</w:t>
      </w:r>
    </w:p>
    <w:p w:rsidR="0095753B" w:rsidRPr="00DD2F41" w:rsidRDefault="0095753B" w:rsidP="0095753B">
      <w:pPr>
        <w:pStyle w:val="PRAGHeading2"/>
        <w:rPr>
          <w:rStyle w:val="Strong"/>
          <w:sz w:val="22"/>
          <w:szCs w:val="22"/>
          <w:lang w:val="en-GB"/>
        </w:rPr>
      </w:pPr>
      <w:r w:rsidRPr="00DD2F41">
        <w:rPr>
          <w:rStyle w:val="Strong"/>
          <w:sz w:val="22"/>
          <w:szCs w:val="22"/>
          <w:lang w:val="en-GB"/>
        </w:rPr>
        <w:t>Tender opening session</w:t>
      </w:r>
    </w:p>
    <w:p w:rsidR="0095753B" w:rsidRPr="008418F4" w:rsidRDefault="00E97F46" w:rsidP="001F1936">
      <w:pPr>
        <w:ind w:left="709"/>
        <w:jc w:val="both"/>
        <w:rPr>
          <w:sz w:val="22"/>
          <w:szCs w:val="22"/>
          <w:lang w:val="en-GB"/>
        </w:rPr>
      </w:pPr>
      <w:r>
        <w:rPr>
          <w:sz w:val="22"/>
          <w:szCs w:val="22"/>
          <w:lang w:val="en-GB"/>
        </w:rPr>
        <w:t>30</w:t>
      </w:r>
      <w:r w:rsidR="0095753B" w:rsidRPr="00D429F7">
        <w:rPr>
          <w:sz w:val="22"/>
          <w:szCs w:val="22"/>
          <w:lang w:val="en-GB"/>
        </w:rPr>
        <w:t>.</w:t>
      </w:r>
      <w:r w:rsidR="00BC32EC" w:rsidRPr="00D429F7">
        <w:rPr>
          <w:sz w:val="22"/>
          <w:szCs w:val="22"/>
          <w:lang w:val="en-GB"/>
        </w:rPr>
        <w:t>1</w:t>
      </w:r>
      <w:r w:rsidR="008D7918">
        <w:rPr>
          <w:sz w:val="22"/>
          <w:szCs w:val="22"/>
          <w:lang w:val="en-GB"/>
        </w:rPr>
        <w:t>1</w:t>
      </w:r>
      <w:r w:rsidR="0095753B" w:rsidRPr="00D429F7">
        <w:rPr>
          <w:sz w:val="22"/>
          <w:szCs w:val="22"/>
          <w:lang w:val="en-GB"/>
        </w:rPr>
        <w:t>.2018. at 1</w:t>
      </w:r>
      <w:r w:rsidR="008D7918">
        <w:rPr>
          <w:sz w:val="22"/>
          <w:szCs w:val="22"/>
          <w:lang w:val="en-GB"/>
        </w:rPr>
        <w:t>3</w:t>
      </w:r>
      <w:r w:rsidR="0095753B" w:rsidRPr="00D429F7">
        <w:rPr>
          <w:sz w:val="22"/>
          <w:szCs w:val="22"/>
          <w:lang w:val="en-GB"/>
        </w:rPr>
        <w:t>:00 local time</w:t>
      </w:r>
      <w:r w:rsidR="0095753B">
        <w:rPr>
          <w:sz w:val="22"/>
          <w:szCs w:val="22"/>
          <w:lang w:val="en-GB"/>
        </w:rPr>
        <w:t xml:space="preserve"> in premises of </w:t>
      </w:r>
      <w:r w:rsidR="0095753B" w:rsidRPr="001C5A09">
        <w:rPr>
          <w:sz w:val="22"/>
          <w:szCs w:val="22"/>
          <w:lang w:val="en-GB"/>
        </w:rPr>
        <w:t>the Contracting Authority</w:t>
      </w:r>
      <w:r w:rsidR="0095753B" w:rsidRPr="0089129B">
        <w:rPr>
          <w:color w:val="00B050"/>
          <w:sz w:val="22"/>
          <w:szCs w:val="22"/>
          <w:lang w:val="en-GB"/>
        </w:rPr>
        <w:t xml:space="preserve">, </w:t>
      </w:r>
      <w:r w:rsidR="0095753B" w:rsidRPr="008418F4">
        <w:rPr>
          <w:sz w:val="22"/>
          <w:szCs w:val="22"/>
          <w:lang w:val="en-GB"/>
        </w:rPr>
        <w:t xml:space="preserve">City of </w:t>
      </w:r>
      <w:proofErr w:type="spellStart"/>
      <w:r w:rsidR="0095753B" w:rsidRPr="008418F4">
        <w:rPr>
          <w:sz w:val="22"/>
          <w:szCs w:val="22"/>
          <w:lang w:val="en-GB"/>
        </w:rPr>
        <w:t>Sombor</w:t>
      </w:r>
      <w:proofErr w:type="spellEnd"/>
      <w:r w:rsidR="0095753B" w:rsidRPr="008418F4">
        <w:rPr>
          <w:sz w:val="22"/>
          <w:szCs w:val="22"/>
          <w:lang w:val="en-GB"/>
        </w:rPr>
        <w:t xml:space="preserve">, </w:t>
      </w:r>
      <w:proofErr w:type="spellStart"/>
      <w:r w:rsidR="0095753B" w:rsidRPr="008418F4">
        <w:rPr>
          <w:sz w:val="22"/>
          <w:szCs w:val="22"/>
          <w:lang w:val="en-GB"/>
        </w:rPr>
        <w:t>Trg</w:t>
      </w:r>
      <w:proofErr w:type="spellEnd"/>
      <w:r w:rsidR="0095753B" w:rsidRPr="008418F4">
        <w:rPr>
          <w:sz w:val="22"/>
          <w:szCs w:val="22"/>
          <w:lang w:val="en-GB"/>
        </w:rPr>
        <w:t xml:space="preserve"> </w:t>
      </w:r>
      <w:proofErr w:type="spellStart"/>
      <w:proofErr w:type="gramStart"/>
      <w:r w:rsidR="0095753B" w:rsidRPr="008418F4">
        <w:rPr>
          <w:sz w:val="22"/>
          <w:szCs w:val="22"/>
          <w:lang w:val="en-GB"/>
        </w:rPr>
        <w:t>cara</w:t>
      </w:r>
      <w:proofErr w:type="spellEnd"/>
      <w:proofErr w:type="gramEnd"/>
      <w:r w:rsidR="0095753B" w:rsidRPr="008418F4">
        <w:rPr>
          <w:sz w:val="22"/>
          <w:szCs w:val="22"/>
          <w:lang w:val="en-GB"/>
        </w:rPr>
        <w:t xml:space="preserve"> </w:t>
      </w:r>
      <w:proofErr w:type="spellStart"/>
      <w:r w:rsidR="0095753B" w:rsidRPr="008418F4">
        <w:rPr>
          <w:sz w:val="22"/>
          <w:szCs w:val="22"/>
          <w:lang w:val="en-GB"/>
        </w:rPr>
        <w:t>Urosa</w:t>
      </w:r>
      <w:proofErr w:type="spellEnd"/>
      <w:r w:rsidR="0095753B" w:rsidRPr="008418F4">
        <w:rPr>
          <w:sz w:val="22"/>
          <w:szCs w:val="22"/>
          <w:lang w:val="en-GB"/>
        </w:rPr>
        <w:t xml:space="preserve"> 1, 25000 </w:t>
      </w:r>
      <w:proofErr w:type="spellStart"/>
      <w:r w:rsidR="0095753B" w:rsidRPr="008418F4">
        <w:rPr>
          <w:sz w:val="22"/>
          <w:szCs w:val="22"/>
          <w:lang w:val="en-GB"/>
        </w:rPr>
        <w:t>Sombor</w:t>
      </w:r>
      <w:proofErr w:type="spellEnd"/>
      <w:r w:rsidR="0095753B" w:rsidRPr="008418F4">
        <w:rPr>
          <w:sz w:val="22"/>
          <w:szCs w:val="22"/>
          <w:lang w:val="en-GB"/>
        </w:rPr>
        <w:t xml:space="preserve">, </w:t>
      </w:r>
      <w:r w:rsidR="00D429F7">
        <w:rPr>
          <w:sz w:val="22"/>
          <w:szCs w:val="22"/>
          <w:lang w:val="en-GB"/>
        </w:rPr>
        <w:t xml:space="preserve">conference </w:t>
      </w:r>
      <w:r w:rsidR="0095753B" w:rsidRPr="008418F4">
        <w:rPr>
          <w:sz w:val="22"/>
          <w:szCs w:val="22"/>
          <w:lang w:val="en-GB"/>
        </w:rPr>
        <w:t xml:space="preserve">room no. </w:t>
      </w:r>
      <w:r w:rsidR="00D429F7">
        <w:rPr>
          <w:sz w:val="22"/>
          <w:szCs w:val="22"/>
          <w:lang w:val="en-GB"/>
        </w:rPr>
        <w:t>108</w:t>
      </w:r>
      <w:r w:rsidR="0095753B" w:rsidRPr="008418F4">
        <w:rPr>
          <w:sz w:val="22"/>
          <w:szCs w:val="22"/>
          <w:lang w:val="en-GB"/>
        </w:rPr>
        <w:t>.</w:t>
      </w:r>
    </w:p>
    <w:p w:rsidR="0095753B" w:rsidRPr="00DD2F41" w:rsidRDefault="0095753B" w:rsidP="0095753B">
      <w:pPr>
        <w:pStyle w:val="PRAGHeading2"/>
        <w:rPr>
          <w:rStyle w:val="Strong"/>
          <w:sz w:val="22"/>
          <w:szCs w:val="22"/>
          <w:lang w:val="en-GB"/>
        </w:rPr>
      </w:pPr>
      <w:r w:rsidRPr="00DD2F41">
        <w:rPr>
          <w:rStyle w:val="Strong"/>
          <w:sz w:val="22"/>
          <w:szCs w:val="22"/>
          <w:lang w:val="en-GB"/>
        </w:rPr>
        <w:t>Language of the procedure</w:t>
      </w:r>
    </w:p>
    <w:p w:rsidR="0095753B" w:rsidRPr="00BE3363" w:rsidRDefault="0095753B" w:rsidP="0095753B">
      <w:pPr>
        <w:ind w:left="709"/>
        <w:rPr>
          <w:sz w:val="22"/>
          <w:szCs w:val="22"/>
          <w:lang w:val="en-GB"/>
        </w:rPr>
      </w:pPr>
      <w:r w:rsidRPr="00BE3363">
        <w:rPr>
          <w:rStyle w:val="Strong"/>
          <w:b w:val="0"/>
          <w:sz w:val="22"/>
          <w:szCs w:val="22"/>
          <w:lang w:val="en-GB"/>
        </w:rPr>
        <w:t>All written communications for this tender procedure and contract must be in English.</w:t>
      </w:r>
    </w:p>
    <w:p w:rsidR="0095753B" w:rsidRPr="00D85D0B" w:rsidRDefault="0095753B" w:rsidP="0095753B">
      <w:pPr>
        <w:pStyle w:val="PRAGHeading2"/>
        <w:keepNext/>
        <w:widowControl/>
        <w:rPr>
          <w:rStyle w:val="Strong"/>
          <w:sz w:val="22"/>
          <w:szCs w:val="22"/>
          <w:lang w:val="en-GB"/>
        </w:rPr>
      </w:pPr>
      <w:r w:rsidRPr="00D85D0B">
        <w:rPr>
          <w:rStyle w:val="Strong"/>
          <w:sz w:val="22"/>
          <w:szCs w:val="22"/>
          <w:lang w:val="en-GB"/>
        </w:rPr>
        <w:t>Repetition of similar works</w:t>
      </w:r>
    </w:p>
    <w:p w:rsidR="0095753B" w:rsidRPr="000A25C1" w:rsidRDefault="0095753B" w:rsidP="0095753B">
      <w:pPr>
        <w:pStyle w:val="PRAGHeading2"/>
        <w:keepNext/>
        <w:widowControl/>
        <w:numPr>
          <w:ilvl w:val="0"/>
          <w:numId w:val="0"/>
        </w:numPr>
        <w:ind w:left="720"/>
        <w:jc w:val="both"/>
        <w:rPr>
          <w:rStyle w:val="Strong"/>
          <w:b w:val="0"/>
          <w:sz w:val="22"/>
          <w:szCs w:val="22"/>
          <w:lang w:val="en-GB"/>
        </w:rPr>
      </w:pPr>
      <w:r>
        <w:rPr>
          <w:rStyle w:val="Strong"/>
          <w:b w:val="0"/>
          <w:sz w:val="22"/>
          <w:szCs w:val="22"/>
          <w:lang w:val="en-GB"/>
        </w:rPr>
        <w:t xml:space="preserve">Not applicable. </w:t>
      </w:r>
    </w:p>
    <w:p w:rsidR="0095753B" w:rsidRPr="00DD2F41" w:rsidRDefault="0095753B" w:rsidP="0095753B">
      <w:pPr>
        <w:pStyle w:val="PRAGHeading2"/>
        <w:keepNext/>
        <w:widowControl/>
        <w:rPr>
          <w:rStyle w:val="Strong"/>
          <w:sz w:val="22"/>
          <w:szCs w:val="22"/>
          <w:lang w:val="en-GB"/>
        </w:rPr>
      </w:pPr>
      <w:r w:rsidRPr="00DD2F41">
        <w:rPr>
          <w:rStyle w:val="Strong"/>
          <w:sz w:val="22"/>
          <w:szCs w:val="22"/>
          <w:lang w:val="en-GB"/>
        </w:rPr>
        <w:t>Legal basis</w:t>
      </w:r>
      <w:r>
        <w:rPr>
          <w:rStyle w:val="FootnoteReference"/>
          <w:b/>
          <w:sz w:val="22"/>
          <w:szCs w:val="22"/>
          <w:lang w:val="en-GB"/>
        </w:rPr>
        <w:footnoteReference w:id="2"/>
      </w:r>
    </w:p>
    <w:p w:rsidR="008D7918" w:rsidRDefault="008D7918" w:rsidP="0095753B">
      <w:pPr>
        <w:pStyle w:val="PRAGHeading2"/>
        <w:numPr>
          <w:ilvl w:val="0"/>
          <w:numId w:val="0"/>
        </w:numPr>
        <w:ind w:left="709"/>
        <w:jc w:val="both"/>
        <w:rPr>
          <w:sz w:val="22"/>
          <w:szCs w:val="22"/>
          <w:lang w:val="en-GB"/>
        </w:rPr>
      </w:pPr>
      <w:r w:rsidRPr="008D7918">
        <w:rPr>
          <w:sz w:val="22"/>
          <w:szCs w:val="22"/>
          <w:lang w:val="en-GB"/>
        </w:rPr>
        <w:t>Regulation</w:t>
      </w:r>
      <w:r w:rsidRPr="008D7918">
        <w:rPr>
          <w:b/>
          <w:bCs/>
          <w:sz w:val="22"/>
          <w:szCs w:val="22"/>
          <w:lang w:val="en-GB"/>
        </w:rPr>
        <w:t xml:space="preserve"> </w:t>
      </w:r>
      <w:r w:rsidRPr="008D7918">
        <w:rPr>
          <w:sz w:val="22"/>
          <w:szCs w:val="22"/>
          <w:lang w:val="en-GB"/>
        </w:rPr>
        <w:t>(EU) No </w:t>
      </w:r>
      <w:r w:rsidRPr="008D7918">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proofErr w:type="spellStart"/>
      <w:r w:rsidRPr="008D7918">
        <w:rPr>
          <w:sz w:val="22"/>
          <w:szCs w:val="22"/>
          <w:lang w:val="en-GB" w:eastAsia="ja-JP"/>
        </w:rPr>
        <w:t>Interreg</w:t>
      </w:r>
      <w:proofErr w:type="spellEnd"/>
      <w:r w:rsidRPr="008D7918">
        <w:rPr>
          <w:sz w:val="22"/>
          <w:szCs w:val="22"/>
          <w:lang w:val="en-GB" w:eastAsia="ja-JP"/>
        </w:rPr>
        <w:t>-IPA CBC Hungary - Serbia</w:t>
      </w:r>
      <w:r w:rsidRPr="008D7918">
        <w:rPr>
          <w:sz w:val="22"/>
          <w:szCs w:val="22"/>
          <w:lang w:val="en-GB"/>
        </w:rPr>
        <w:t xml:space="preserve"> See Annex A2 of the practical guide.</w:t>
      </w:r>
    </w:p>
    <w:p w:rsidR="0095753B" w:rsidRPr="00D12916" w:rsidRDefault="0095753B" w:rsidP="0095753B">
      <w:pPr>
        <w:pStyle w:val="PRAGHeading2"/>
        <w:numPr>
          <w:ilvl w:val="0"/>
          <w:numId w:val="0"/>
        </w:numPr>
        <w:ind w:left="709"/>
        <w:jc w:val="both"/>
        <w:rPr>
          <w:sz w:val="22"/>
          <w:szCs w:val="22"/>
          <w:lang w:val="en-GB"/>
        </w:rPr>
      </w:pPr>
      <w:r w:rsidRPr="00D12916">
        <w:rPr>
          <w:sz w:val="22"/>
          <w:szCs w:val="22"/>
          <w:lang w:val="en-GB"/>
        </w:rPr>
        <w:t>REGULATION (EU) No 231/2014 OF THE EUROPEAN PARLIAMENT AND OF THE COUNCIL of 11 March 2014 establishing an Instrument for Pre-accession Assistance (IPA II)</w:t>
      </w:r>
    </w:p>
    <w:p w:rsidR="008A128A" w:rsidRPr="008D7918" w:rsidRDefault="0095753B" w:rsidP="008D7918">
      <w:pPr>
        <w:pStyle w:val="PRAGHeading2"/>
        <w:numPr>
          <w:ilvl w:val="0"/>
          <w:numId w:val="0"/>
        </w:numPr>
        <w:ind w:left="709"/>
        <w:jc w:val="both"/>
        <w:rPr>
          <w:sz w:val="22"/>
          <w:szCs w:val="22"/>
          <w:lang w:val="en-GB"/>
        </w:rPr>
      </w:pPr>
      <w:r w:rsidRPr="00D12916">
        <w:rPr>
          <w:sz w:val="22"/>
          <w:szCs w:val="22"/>
          <w:lang w:val="en-GB"/>
        </w:rPr>
        <w:t xml:space="preserve">COMMISSION IMPLEMENTING REGULATION (EU) No 447/2014 of 2 May 2014 on the specific rules for implementing Regulation (EU) No 231/2014 of the European Parliament and of the Council establishing an Instrument for Pre-accession </w:t>
      </w:r>
      <w:r w:rsidRPr="009060F1">
        <w:rPr>
          <w:sz w:val="22"/>
          <w:szCs w:val="22"/>
          <w:lang w:val="en-GB"/>
        </w:rPr>
        <w:t>assistance (IPA II)</w:t>
      </w:r>
      <w:r w:rsidR="008D7918" w:rsidRPr="009060F1">
        <w:rPr>
          <w:sz w:val="22"/>
          <w:szCs w:val="22"/>
          <w:lang w:val="en-GB"/>
        </w:rPr>
        <w:t>.</w:t>
      </w:r>
      <w:bookmarkStart w:id="4" w:name="_GoBack"/>
      <w:bookmarkEnd w:id="4"/>
    </w:p>
    <w:sectPr w:rsidR="008A128A" w:rsidRPr="008D7918" w:rsidSect="00CA5398">
      <w:footerReference w:type="defaul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B32" w:rsidRDefault="000D7B32" w:rsidP="0095753B">
      <w:pPr>
        <w:spacing w:before="0" w:after="0"/>
      </w:pPr>
      <w:r>
        <w:separator/>
      </w:r>
    </w:p>
  </w:endnote>
  <w:endnote w:type="continuationSeparator" w:id="0">
    <w:p w:rsidR="000D7B32" w:rsidRDefault="000D7B32" w:rsidP="009575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0CA" w:rsidRPr="000F07CD" w:rsidRDefault="008D7918" w:rsidP="009B4A52">
    <w:pPr>
      <w:pStyle w:val="Footer"/>
      <w:tabs>
        <w:tab w:val="clear" w:pos="4536"/>
        <w:tab w:val="clear" w:pos="9072"/>
        <w:tab w:val="right" w:pos="9356"/>
      </w:tabs>
      <w:spacing w:before="0" w:after="0"/>
      <w:rPr>
        <w:rStyle w:val="PageNumber"/>
        <w:sz w:val="18"/>
        <w:szCs w:val="18"/>
        <w:lang w:val="en-GB"/>
      </w:rPr>
    </w:pPr>
    <w:r w:rsidRPr="00E3606F">
      <w:rPr>
        <w:b/>
        <w:sz w:val="18"/>
        <w:lang w:val="en-GB"/>
      </w:rPr>
      <w:t>August</w:t>
    </w:r>
    <w:r>
      <w:rPr>
        <w:b/>
        <w:sz w:val="18"/>
        <w:szCs w:val="18"/>
        <w:lang w:val="en-GB"/>
      </w:rPr>
      <w:t xml:space="preserve"> 2018</w:t>
    </w:r>
    <w:r w:rsidR="006E2682" w:rsidRPr="000F07CD">
      <w:rPr>
        <w:sz w:val="18"/>
        <w:szCs w:val="18"/>
        <w:lang w:val="en-GB"/>
      </w:rPr>
      <w:tab/>
      <w:t xml:space="preserve">Page </w:t>
    </w:r>
    <w:r w:rsidR="0084179D" w:rsidRPr="009B4A52">
      <w:rPr>
        <w:rStyle w:val="PageNumber"/>
        <w:sz w:val="18"/>
        <w:szCs w:val="18"/>
      </w:rPr>
      <w:fldChar w:fldCharType="begin"/>
    </w:r>
    <w:r w:rsidR="006E2682" w:rsidRPr="000F07CD">
      <w:rPr>
        <w:rStyle w:val="PageNumber"/>
        <w:sz w:val="18"/>
        <w:szCs w:val="18"/>
        <w:lang w:val="en-GB"/>
      </w:rPr>
      <w:instrText xml:space="preserve"> PAGE </w:instrText>
    </w:r>
    <w:r w:rsidR="0084179D" w:rsidRPr="009B4A52">
      <w:rPr>
        <w:rStyle w:val="PageNumber"/>
        <w:sz w:val="18"/>
        <w:szCs w:val="18"/>
      </w:rPr>
      <w:fldChar w:fldCharType="separate"/>
    </w:r>
    <w:r w:rsidR="00E97F46">
      <w:rPr>
        <w:rStyle w:val="PageNumber"/>
        <w:noProof/>
        <w:sz w:val="18"/>
        <w:szCs w:val="18"/>
        <w:lang w:val="en-GB"/>
      </w:rPr>
      <w:t>3</w:t>
    </w:r>
    <w:r w:rsidR="0084179D" w:rsidRPr="009B4A52">
      <w:rPr>
        <w:rStyle w:val="PageNumber"/>
        <w:sz w:val="18"/>
        <w:szCs w:val="18"/>
      </w:rPr>
      <w:fldChar w:fldCharType="end"/>
    </w:r>
    <w:r w:rsidR="006E2682" w:rsidRPr="000F07CD">
      <w:rPr>
        <w:rStyle w:val="PageNumber"/>
        <w:sz w:val="18"/>
        <w:szCs w:val="18"/>
        <w:lang w:val="en-GB"/>
      </w:rPr>
      <w:t xml:space="preserve"> of </w:t>
    </w:r>
    <w:r w:rsidR="0084179D" w:rsidRPr="009B4A52">
      <w:rPr>
        <w:rStyle w:val="PageNumber"/>
        <w:sz w:val="18"/>
        <w:szCs w:val="18"/>
      </w:rPr>
      <w:fldChar w:fldCharType="begin"/>
    </w:r>
    <w:r w:rsidR="006E2682" w:rsidRPr="000F07CD">
      <w:rPr>
        <w:rStyle w:val="PageNumber"/>
        <w:sz w:val="18"/>
        <w:szCs w:val="18"/>
        <w:lang w:val="en-GB"/>
      </w:rPr>
      <w:instrText xml:space="preserve"> NUMPAGES </w:instrText>
    </w:r>
    <w:r w:rsidR="0084179D" w:rsidRPr="009B4A52">
      <w:rPr>
        <w:rStyle w:val="PageNumber"/>
        <w:sz w:val="18"/>
        <w:szCs w:val="18"/>
      </w:rPr>
      <w:fldChar w:fldCharType="separate"/>
    </w:r>
    <w:r w:rsidR="00E97F46">
      <w:rPr>
        <w:rStyle w:val="PageNumber"/>
        <w:noProof/>
        <w:sz w:val="18"/>
        <w:szCs w:val="18"/>
        <w:lang w:val="en-GB"/>
      </w:rPr>
      <w:t>4</w:t>
    </w:r>
    <w:r w:rsidR="0084179D" w:rsidRPr="009B4A52">
      <w:rPr>
        <w:rStyle w:val="PageNumber"/>
        <w:sz w:val="18"/>
        <w:szCs w:val="18"/>
      </w:rPr>
      <w:fldChar w:fldCharType="end"/>
    </w:r>
  </w:p>
  <w:p w:rsidR="00B640CA" w:rsidRDefault="0084179D" w:rsidP="009B4A52">
    <w:pPr>
      <w:pStyle w:val="Footer"/>
      <w:tabs>
        <w:tab w:val="clear" w:pos="4536"/>
        <w:tab w:val="clear" w:pos="9072"/>
        <w:tab w:val="right" w:pos="9356"/>
      </w:tabs>
      <w:spacing w:before="0" w:after="0"/>
      <w:rPr>
        <w:sz w:val="18"/>
        <w:szCs w:val="18"/>
        <w:lang w:val="fr-BE"/>
      </w:rPr>
    </w:pPr>
    <w:r w:rsidRPr="009B4A52">
      <w:rPr>
        <w:sz w:val="18"/>
        <w:szCs w:val="18"/>
        <w:lang w:val="fr-BE"/>
      </w:rPr>
      <w:fldChar w:fldCharType="begin"/>
    </w:r>
    <w:r w:rsidR="006E2682" w:rsidRPr="000F07CD">
      <w:rPr>
        <w:sz w:val="18"/>
        <w:szCs w:val="18"/>
        <w:lang w:val="en-GB"/>
      </w:rPr>
      <w:instrText xml:space="preserve"> FILENAME </w:instrText>
    </w:r>
    <w:r w:rsidRPr="009B4A52">
      <w:rPr>
        <w:sz w:val="18"/>
        <w:szCs w:val="18"/>
        <w:lang w:val="fr-BE"/>
      </w:rPr>
      <w:fldChar w:fldCharType="separate"/>
    </w:r>
    <w:r w:rsidR="006E2682">
      <w:rPr>
        <w:noProof/>
        <w:sz w:val="18"/>
        <w:szCs w:val="18"/>
        <w:lang w:val="en-GB"/>
      </w:rPr>
      <w:t>d2_contractnotice_en.doc</w:t>
    </w:r>
    <w:r w:rsidRPr="009B4A52">
      <w:rPr>
        <w:sz w:val="18"/>
        <w:szCs w:val="18"/>
        <w:lang w:val="fr-BE"/>
      </w:rPr>
      <w:fldChar w:fldCharType="end"/>
    </w:r>
  </w:p>
  <w:p w:rsidR="00E220FF" w:rsidRPr="00F62185" w:rsidRDefault="00F62185" w:rsidP="009B4A52">
    <w:pPr>
      <w:pStyle w:val="Footer"/>
      <w:tabs>
        <w:tab w:val="clear" w:pos="4536"/>
        <w:tab w:val="clear" w:pos="9072"/>
        <w:tab w:val="right" w:pos="9356"/>
      </w:tabs>
      <w:spacing w:before="0" w:after="0"/>
      <w:rPr>
        <w:b/>
        <w:sz w:val="18"/>
        <w:szCs w:val="18"/>
        <w:lang w:val="en-GB"/>
      </w:rPr>
    </w:pPr>
    <w:r w:rsidRPr="00F62185">
      <w:rPr>
        <w:b/>
        <w:sz w:val="18"/>
        <w:szCs w:val="18"/>
      </w:rPr>
      <w:t>HUSRB/1602/31/0227-2/</w:t>
    </w:r>
    <w:proofErr w:type="spellStart"/>
    <w:r w:rsidRPr="00F62185">
      <w:rPr>
        <w:b/>
        <w:sz w:val="18"/>
        <w:szCs w:val="18"/>
      </w:rPr>
      <w:t>works</w:t>
    </w:r>
    <w:proofErr w:type="spellEnd"/>
    <w:r w:rsidRPr="00F62185">
      <w:rPr>
        <w:b/>
        <w:sz w:val="18"/>
        <w:szCs w:val="18"/>
      </w:rPr>
      <w:t xml:space="preserve"> 7.2.1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B32" w:rsidRDefault="000D7B32" w:rsidP="0095753B">
      <w:pPr>
        <w:spacing w:before="0" w:after="0"/>
      </w:pPr>
      <w:r>
        <w:separator/>
      </w:r>
    </w:p>
  </w:footnote>
  <w:footnote w:type="continuationSeparator" w:id="0">
    <w:p w:rsidR="000D7B32" w:rsidRDefault="000D7B32" w:rsidP="0095753B">
      <w:pPr>
        <w:spacing w:before="0" w:after="0"/>
      </w:pPr>
      <w:r>
        <w:continuationSeparator/>
      </w:r>
    </w:p>
  </w:footnote>
  <w:footnote w:id="1">
    <w:p w:rsidR="008D7918" w:rsidRPr="00B50F3D" w:rsidRDefault="008D7918" w:rsidP="008D7918">
      <w:pPr>
        <w:pStyle w:val="FootnoteText"/>
        <w:rPr>
          <w:lang w:val="en-GB"/>
        </w:rPr>
      </w:pPr>
      <w:r>
        <w:rPr>
          <w:rStyle w:val="FootnoteReference"/>
        </w:rPr>
        <w:footnoteRef/>
      </w:r>
      <w:r w:rsidRPr="00CD3E5E">
        <w:rPr>
          <w:lang w:val="en-GB"/>
        </w:rPr>
        <w:t xml:space="preserve"> </w:t>
      </w:r>
      <w:r w:rsidRPr="00B50F3D">
        <w:rPr>
          <w:lang w:val="en-GB"/>
        </w:rPr>
        <w:t>It is recommended to use registered mail in case the postmark would not be readable.</w:t>
      </w:r>
    </w:p>
  </w:footnote>
  <w:footnote w:id="2">
    <w:p w:rsidR="0095753B" w:rsidRPr="00321225" w:rsidRDefault="0095753B" w:rsidP="0095753B">
      <w:pPr>
        <w:pStyle w:val="FootnoteText"/>
        <w:ind w:left="142" w:hanging="142"/>
        <w:rPr>
          <w:lang w:val="en-GB"/>
        </w:rPr>
      </w:pPr>
      <w:r>
        <w:rPr>
          <w:rStyle w:val="FootnoteReference"/>
        </w:rPr>
        <w:footnoteRef/>
      </w:r>
      <w:r>
        <w:rPr>
          <w:lang w:val="en-GB"/>
        </w:rPr>
        <w:tab/>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561F9D"/>
    <w:multiLevelType w:val="hybridMultilevel"/>
    <w:tmpl w:val="21E2228A"/>
    <w:lvl w:ilvl="0" w:tplc="473C203E">
      <w:start w:val="1"/>
      <w:numFmt w:val="decimal"/>
      <w:pStyle w:val="PRAGHeading2"/>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5640"/>
        </w:tabs>
        <w:ind w:left="-5640" w:hanging="360"/>
      </w:pPr>
    </w:lvl>
    <w:lvl w:ilvl="2" w:tplc="0809001B" w:tentative="1">
      <w:start w:val="1"/>
      <w:numFmt w:val="lowerRoman"/>
      <w:lvlText w:val="%3."/>
      <w:lvlJc w:val="right"/>
      <w:pPr>
        <w:tabs>
          <w:tab w:val="num" w:pos="-4920"/>
        </w:tabs>
        <w:ind w:left="-4920" w:hanging="180"/>
      </w:pPr>
    </w:lvl>
    <w:lvl w:ilvl="3" w:tplc="0809000F" w:tentative="1">
      <w:start w:val="1"/>
      <w:numFmt w:val="decimal"/>
      <w:lvlText w:val="%4."/>
      <w:lvlJc w:val="left"/>
      <w:pPr>
        <w:tabs>
          <w:tab w:val="num" w:pos="-4200"/>
        </w:tabs>
        <w:ind w:left="-420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2760"/>
        </w:tabs>
        <w:ind w:left="-2760" w:hanging="180"/>
      </w:pPr>
    </w:lvl>
    <w:lvl w:ilvl="6" w:tplc="0809000F" w:tentative="1">
      <w:start w:val="1"/>
      <w:numFmt w:val="decimal"/>
      <w:lvlText w:val="%7."/>
      <w:lvlJc w:val="left"/>
      <w:pPr>
        <w:tabs>
          <w:tab w:val="num" w:pos="-2040"/>
        </w:tabs>
        <w:ind w:left="-2040" w:hanging="360"/>
      </w:pPr>
    </w:lvl>
    <w:lvl w:ilvl="7" w:tplc="08090019" w:tentative="1">
      <w:start w:val="1"/>
      <w:numFmt w:val="lowerLetter"/>
      <w:lvlText w:val="%8."/>
      <w:lvlJc w:val="left"/>
      <w:pPr>
        <w:tabs>
          <w:tab w:val="num" w:pos="-1320"/>
        </w:tabs>
        <w:ind w:left="-1320" w:hanging="360"/>
      </w:pPr>
    </w:lvl>
    <w:lvl w:ilvl="8" w:tplc="0809001B" w:tentative="1">
      <w:start w:val="1"/>
      <w:numFmt w:val="lowerRoman"/>
      <w:lvlText w:val="%9."/>
      <w:lvlJc w:val="right"/>
      <w:pPr>
        <w:tabs>
          <w:tab w:val="num" w:pos="-600"/>
        </w:tabs>
        <w:ind w:left="-600" w:hanging="180"/>
      </w:pPr>
    </w:lvl>
  </w:abstractNum>
  <w:num w:numId="1">
    <w:abstractNumId w:val="1"/>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53B"/>
    <w:rsid w:val="00033672"/>
    <w:rsid w:val="00041C4D"/>
    <w:rsid w:val="00047600"/>
    <w:rsid w:val="000C7E75"/>
    <w:rsid w:val="000D7B32"/>
    <w:rsid w:val="00131DE3"/>
    <w:rsid w:val="00143A4C"/>
    <w:rsid w:val="001A265E"/>
    <w:rsid w:val="001F1936"/>
    <w:rsid w:val="002D0223"/>
    <w:rsid w:val="00337042"/>
    <w:rsid w:val="00465957"/>
    <w:rsid w:val="005375FE"/>
    <w:rsid w:val="00556F49"/>
    <w:rsid w:val="0060599F"/>
    <w:rsid w:val="00634B13"/>
    <w:rsid w:val="006D7F42"/>
    <w:rsid w:val="006E2682"/>
    <w:rsid w:val="007C026B"/>
    <w:rsid w:val="00835FB5"/>
    <w:rsid w:val="0084179D"/>
    <w:rsid w:val="0084699E"/>
    <w:rsid w:val="00852110"/>
    <w:rsid w:val="008722C7"/>
    <w:rsid w:val="008A128A"/>
    <w:rsid w:val="008C7E1E"/>
    <w:rsid w:val="008D240D"/>
    <w:rsid w:val="008D7918"/>
    <w:rsid w:val="008E714A"/>
    <w:rsid w:val="008F6422"/>
    <w:rsid w:val="009060F1"/>
    <w:rsid w:val="0095753B"/>
    <w:rsid w:val="00975144"/>
    <w:rsid w:val="009A51D2"/>
    <w:rsid w:val="009D39EB"/>
    <w:rsid w:val="00BC32EC"/>
    <w:rsid w:val="00C30F7E"/>
    <w:rsid w:val="00C4659F"/>
    <w:rsid w:val="00C86AD5"/>
    <w:rsid w:val="00CD18ED"/>
    <w:rsid w:val="00D429F7"/>
    <w:rsid w:val="00DA1112"/>
    <w:rsid w:val="00E06D0F"/>
    <w:rsid w:val="00E1235F"/>
    <w:rsid w:val="00E97F46"/>
    <w:rsid w:val="00EA50EB"/>
    <w:rsid w:val="00F62185"/>
    <w:rsid w:val="00FB113A"/>
    <w:rsid w:val="00FF3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4AFC77-F5F1-40BF-BBA7-ED7DD3405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53B"/>
    <w:pPr>
      <w:widowControl w:val="0"/>
      <w:spacing w:before="100" w:after="100" w:line="240" w:lineRule="auto"/>
    </w:pPr>
    <w:rPr>
      <w:rFonts w:ascii="Times New Roman" w:eastAsia="Times New Roman" w:hAnsi="Times New Roman" w:cs="Times New Roman"/>
      <w:snapToGrid w:val="0"/>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quote"/>
    <w:basedOn w:val="Normal"/>
    <w:rsid w:val="0095753B"/>
    <w:pPr>
      <w:ind w:left="360" w:right="360"/>
    </w:pPr>
  </w:style>
  <w:style w:type="character" w:styleId="Emphasis">
    <w:name w:val="Emphasis"/>
    <w:qFormat/>
    <w:rsid w:val="0095753B"/>
    <w:rPr>
      <w:i/>
    </w:rPr>
  </w:style>
  <w:style w:type="character" w:styleId="Hyperlink">
    <w:name w:val="Hyperlink"/>
    <w:rsid w:val="0095753B"/>
    <w:rPr>
      <w:color w:val="0000FF"/>
      <w:u w:val="single"/>
    </w:rPr>
  </w:style>
  <w:style w:type="character" w:styleId="Strong">
    <w:name w:val="Strong"/>
    <w:qFormat/>
    <w:rsid w:val="0095753B"/>
    <w:rPr>
      <w:b/>
    </w:rPr>
  </w:style>
  <w:style w:type="paragraph" w:styleId="Footer">
    <w:name w:val="footer"/>
    <w:basedOn w:val="Normal"/>
    <w:link w:val="FooterChar"/>
    <w:rsid w:val="0095753B"/>
    <w:pPr>
      <w:tabs>
        <w:tab w:val="center" w:pos="4536"/>
        <w:tab w:val="right" w:pos="9072"/>
      </w:tabs>
    </w:pPr>
  </w:style>
  <w:style w:type="character" w:customStyle="1" w:styleId="FooterChar">
    <w:name w:val="Footer Char"/>
    <w:basedOn w:val="DefaultParagraphFont"/>
    <w:link w:val="Footer"/>
    <w:rsid w:val="0095753B"/>
    <w:rPr>
      <w:rFonts w:ascii="Times New Roman" w:eastAsia="Times New Roman" w:hAnsi="Times New Roman" w:cs="Times New Roman"/>
      <w:snapToGrid w:val="0"/>
      <w:sz w:val="24"/>
      <w:szCs w:val="20"/>
      <w:lang w:val="fr-FR"/>
    </w:rPr>
  </w:style>
  <w:style w:type="paragraph" w:customStyle="1" w:styleId="PRAGHeading2">
    <w:name w:val="PRAG Heading 2"/>
    <w:basedOn w:val="Normal"/>
    <w:rsid w:val="0095753B"/>
    <w:pPr>
      <w:numPr>
        <w:numId w:val="1"/>
      </w:numPr>
    </w:pPr>
  </w:style>
  <w:style w:type="character" w:styleId="PageNumber">
    <w:name w:val="page number"/>
    <w:basedOn w:val="DefaultParagraphFont"/>
    <w:rsid w:val="0095753B"/>
  </w:style>
  <w:style w:type="paragraph" w:styleId="FootnoteText">
    <w:name w:val="footnote text"/>
    <w:basedOn w:val="Normal"/>
    <w:link w:val="FootnoteTextChar"/>
    <w:rsid w:val="0095753B"/>
    <w:rPr>
      <w:sz w:val="20"/>
    </w:rPr>
  </w:style>
  <w:style w:type="character" w:customStyle="1" w:styleId="FootnoteTextChar">
    <w:name w:val="Footnote Text Char"/>
    <w:basedOn w:val="DefaultParagraphFont"/>
    <w:link w:val="FootnoteText"/>
    <w:rsid w:val="0095753B"/>
    <w:rPr>
      <w:rFonts w:ascii="Times New Roman" w:eastAsia="Times New Roman" w:hAnsi="Times New Roman" w:cs="Times New Roman"/>
      <w:snapToGrid w:val="0"/>
      <w:sz w:val="20"/>
      <w:szCs w:val="20"/>
      <w:lang w:val="fr-FR"/>
    </w:rPr>
  </w:style>
  <w:style w:type="character" w:styleId="FootnoteReference">
    <w:name w:val="footnote reference"/>
    <w:rsid w:val="0095753B"/>
    <w:rPr>
      <w:vertAlign w:val="superscript"/>
    </w:rPr>
  </w:style>
  <w:style w:type="paragraph" w:styleId="Header">
    <w:name w:val="header"/>
    <w:basedOn w:val="Normal"/>
    <w:link w:val="HeaderChar"/>
    <w:uiPriority w:val="99"/>
    <w:unhideWhenUsed/>
    <w:rsid w:val="00F62185"/>
    <w:pPr>
      <w:tabs>
        <w:tab w:val="center" w:pos="4680"/>
        <w:tab w:val="right" w:pos="9360"/>
      </w:tabs>
      <w:spacing w:before="0" w:after="0"/>
    </w:pPr>
  </w:style>
  <w:style w:type="character" w:customStyle="1" w:styleId="HeaderChar">
    <w:name w:val="Header Char"/>
    <w:basedOn w:val="DefaultParagraphFont"/>
    <w:link w:val="Header"/>
    <w:uiPriority w:val="99"/>
    <w:rsid w:val="00F62185"/>
    <w:rPr>
      <w:rFonts w:ascii="Times New Roman" w:eastAsia="Times New Roman" w:hAnsi="Times New Roman" w:cs="Times New Roman"/>
      <w:snapToGrid w:val="0"/>
      <w:sz w:val="24"/>
      <w:szCs w:val="20"/>
      <w:lang w:val="fr-FR"/>
    </w:rPr>
  </w:style>
  <w:style w:type="paragraph" w:customStyle="1" w:styleId="oddl-nadpis">
    <w:name w:val="oddíl-nadpis"/>
    <w:basedOn w:val="Normal"/>
    <w:rsid w:val="008D7918"/>
    <w:pPr>
      <w:keepNext/>
      <w:tabs>
        <w:tab w:val="left" w:pos="567"/>
      </w:tabs>
      <w:spacing w:before="240" w:after="120" w:line="240" w:lineRule="exact"/>
      <w:ind w:left="567"/>
      <w:jc w:val="both"/>
    </w:pPr>
    <w:rPr>
      <w:rFonts w:ascii="Arial" w:hAnsi="Arial"/>
      <w:b/>
      <w:sz w:val="22"/>
      <w:lang w:val="cs-CZ"/>
    </w:rPr>
  </w:style>
  <w:style w:type="paragraph" w:styleId="ListParagraph">
    <w:name w:val="List Paragraph"/>
    <w:basedOn w:val="Normal"/>
    <w:uiPriority w:val="34"/>
    <w:qFormat/>
    <w:rsid w:val="008D79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mbor.rs/" TargetMode="External"/><Relationship Id="rId13" Type="http://schemas.openxmlformats.org/officeDocument/2006/relationships/hyperlink" Target="https://www.sombor.rs/gradska-uprava/javne-nabavke-2/javne-nabavke-u-toku/" TargetMode="External"/><Relationship Id="rId3" Type="http://schemas.openxmlformats.org/officeDocument/2006/relationships/settings" Target="settings.xml"/><Relationship Id="rId7" Type="http://schemas.openxmlformats.org/officeDocument/2006/relationships/hyperlink" Target="mailto:greenwayssombor@gmail.com" TargetMode="External"/><Relationship Id="rId12" Type="http://schemas.openxmlformats.org/officeDocument/2006/relationships/hyperlink" Target="http://www.sombor.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mbor.rs/gradska-uprava/javne-nabavke-2/javne-nabavke-u-tok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greenwayssombor@gmail.com" TargetMode="External"/><Relationship Id="rId4" Type="http://schemas.openxmlformats.org/officeDocument/2006/relationships/webSettings" Target="webSettings.xml"/><Relationship Id="rId9" Type="http://schemas.openxmlformats.org/officeDocument/2006/relationships/hyperlink" Target="https://www.sombor.rs/gradska-uprava/javne-nabavke-2/javne-nabavke-u-tok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Windows User</cp:lastModifiedBy>
  <cp:revision>4</cp:revision>
  <dcterms:created xsi:type="dcterms:W3CDTF">2018-10-28T18:10:00Z</dcterms:created>
  <dcterms:modified xsi:type="dcterms:W3CDTF">2018-10-30T06:58:00Z</dcterms:modified>
</cp:coreProperties>
</file>