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41D25" w14:textId="77777777" w:rsidR="00B15C5D" w:rsidRPr="00400180" w:rsidRDefault="00734CF4" w:rsidP="00400180">
      <w:pPr>
        <w:ind w:right="679"/>
        <w:jc w:val="center"/>
        <w:rPr>
          <w:rFonts w:ascii="Open Sans" w:hAnsi="Open Sans" w:cs="Open Sans"/>
          <w:b/>
          <w:sz w:val="20"/>
        </w:rPr>
      </w:pPr>
      <w:r w:rsidRPr="00400180">
        <w:rPr>
          <w:rFonts w:ascii="Open Sans" w:hAnsi="Open Sans"/>
          <w:b/>
          <w:smallCaps/>
        </w:rPr>
        <w:t>EVALUACIONI IZVEŠTAJ – USLUGE</w:t>
      </w:r>
    </w:p>
    <w:p w14:paraId="6FCEEFDA" w14:textId="2C75ADFF" w:rsidR="001C57B9" w:rsidRDefault="00B15C5D" w:rsidP="00067DDE">
      <w:pPr>
        <w:ind w:right="679"/>
        <w:jc w:val="center"/>
        <w:rPr>
          <w:rFonts w:ascii="Open Sans" w:hAnsi="Open Sans"/>
          <w:b/>
          <w:bCs/>
          <w:sz w:val="20"/>
        </w:rPr>
      </w:pPr>
      <w:r w:rsidRPr="00854148">
        <w:rPr>
          <w:rFonts w:ascii="Open Sans" w:hAnsi="Open Sans"/>
          <w:b/>
          <w:sz w:val="20"/>
        </w:rPr>
        <w:t xml:space="preserve">REF.: </w:t>
      </w:r>
      <w:r w:rsidR="001D1A07" w:rsidRPr="005A76DA">
        <w:rPr>
          <w:rFonts w:ascii="Open Sans" w:hAnsi="Open Sans"/>
          <w:b/>
          <w:smallCaps/>
        </w:rPr>
        <w:t>hu-srb/</w:t>
      </w:r>
      <w:r w:rsidR="001D1A07" w:rsidRPr="005A76DA">
        <w:rPr>
          <w:rFonts w:ascii="Open Sans" w:hAnsi="Open Sans"/>
          <w:b/>
          <w:smallCaps/>
          <w:sz w:val="20"/>
        </w:rPr>
        <w:t>1602/31/0227-4/printing 5.6.1, 5.6.2, 5.6.5, 5.6.6, 5.6.7</w:t>
      </w:r>
    </w:p>
    <w:p w14:paraId="70D46F1C" w14:textId="77777777" w:rsidR="00067DDE" w:rsidRPr="00854148" w:rsidRDefault="00067DDE" w:rsidP="00067DDE">
      <w:pPr>
        <w:ind w:right="679"/>
        <w:jc w:val="center"/>
        <w:rPr>
          <w:rFonts w:ascii="Open Sans" w:hAnsi="Open Sans" w:cs="Open Sans"/>
          <w:b/>
          <w:sz w:val="20"/>
        </w:rPr>
      </w:pPr>
    </w:p>
    <w:p w14:paraId="20B77B30" w14:textId="332BA518" w:rsidR="001B3804" w:rsidRPr="00854148" w:rsidRDefault="001B3804" w:rsidP="00606C52">
      <w:pPr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>Maksimalni</w:t>
      </w:r>
      <w:r w:rsidR="00ED3EB4">
        <w:rPr>
          <w:rFonts w:ascii="Open Sans" w:hAnsi="Open Sans"/>
          <w:sz w:val="20"/>
        </w:rPr>
        <w:t xml:space="preserve"> </w:t>
      </w:r>
      <w:r w:rsidRPr="00854148">
        <w:rPr>
          <w:rFonts w:ascii="Open Sans" w:hAnsi="Open Sans"/>
          <w:sz w:val="20"/>
        </w:rPr>
        <w:t>raspoloživi</w:t>
      </w:r>
      <w:r w:rsidR="00ED3EB4">
        <w:rPr>
          <w:rFonts w:ascii="Open Sans" w:hAnsi="Open Sans"/>
          <w:sz w:val="20"/>
        </w:rPr>
        <w:t xml:space="preserve"> </w:t>
      </w:r>
      <w:r w:rsidRPr="00854148">
        <w:rPr>
          <w:rFonts w:ascii="Open Sans" w:hAnsi="Open Sans"/>
          <w:sz w:val="20"/>
        </w:rPr>
        <w:t xml:space="preserve">budžet: </w:t>
      </w:r>
      <w:r w:rsidR="001D1A07">
        <w:rPr>
          <w:rFonts w:ascii="Open Sans" w:hAnsi="Open Sans"/>
          <w:b/>
          <w:sz w:val="20"/>
        </w:rPr>
        <w:t>5</w:t>
      </w:r>
      <w:r w:rsidR="00F9760A">
        <w:rPr>
          <w:rFonts w:ascii="Open Sans" w:hAnsi="Open Sans"/>
          <w:b/>
          <w:sz w:val="20"/>
        </w:rPr>
        <w:t>.3</w:t>
      </w:r>
      <w:r w:rsidR="001D1A07">
        <w:rPr>
          <w:rFonts w:ascii="Open Sans" w:hAnsi="Open Sans"/>
          <w:b/>
          <w:sz w:val="20"/>
        </w:rPr>
        <w:t>1</w:t>
      </w:r>
      <w:r w:rsidR="00F0002A" w:rsidRPr="00F0002A">
        <w:rPr>
          <w:rFonts w:ascii="Open Sans" w:hAnsi="Open Sans"/>
          <w:b/>
          <w:sz w:val="20"/>
        </w:rPr>
        <w:t>0</w:t>
      </w:r>
      <w:r w:rsidR="00ED3EB4">
        <w:rPr>
          <w:rFonts w:ascii="Open Sans" w:hAnsi="Open Sans"/>
          <w:b/>
          <w:sz w:val="20"/>
        </w:rPr>
        <w:t xml:space="preserve"> </w:t>
      </w:r>
      <w:r w:rsidR="00734CF4" w:rsidRPr="00F0002A">
        <w:rPr>
          <w:rFonts w:ascii="Open Sans" w:hAnsi="Open Sans"/>
          <w:b/>
          <w:sz w:val="20"/>
        </w:rPr>
        <w:t>EUR</w:t>
      </w:r>
      <w:r w:rsidR="00ED3EB4">
        <w:rPr>
          <w:rFonts w:ascii="Open Sans" w:hAnsi="Open Sans"/>
          <w:b/>
          <w:sz w:val="20"/>
        </w:rPr>
        <w:t xml:space="preserve"> </w:t>
      </w:r>
      <w:r w:rsidR="00734CF4" w:rsidRPr="00734CF4">
        <w:rPr>
          <w:rFonts w:ascii="Open Sans" w:hAnsi="Open Sans"/>
          <w:sz w:val="20"/>
        </w:rPr>
        <w:t xml:space="preserve">jednak je </w:t>
      </w:r>
      <w:r w:rsidR="00067DDE" w:rsidRPr="00F0002A">
        <w:rPr>
          <w:rFonts w:ascii="Open Sans" w:hAnsi="Open Sans"/>
          <w:b/>
          <w:sz w:val="20"/>
        </w:rPr>
        <w:t>RSD</w:t>
      </w:r>
      <w:r w:rsidR="00ED3EB4">
        <w:rPr>
          <w:rFonts w:ascii="Open Sans" w:hAnsi="Open Sans"/>
          <w:b/>
          <w:sz w:val="20"/>
        </w:rPr>
        <w:t xml:space="preserve"> </w:t>
      </w:r>
      <w:r w:rsidRPr="00854148">
        <w:rPr>
          <w:rFonts w:ascii="Open Sans" w:hAnsi="Open Sans"/>
          <w:sz w:val="20"/>
        </w:rPr>
        <w:t>izračunat</w:t>
      </w:r>
      <w:r w:rsidR="00ED3EB4">
        <w:rPr>
          <w:rFonts w:ascii="Open Sans" w:hAnsi="Open Sans"/>
          <w:sz w:val="20"/>
        </w:rPr>
        <w:t xml:space="preserve"> </w:t>
      </w:r>
      <w:r w:rsidRPr="00854148">
        <w:rPr>
          <w:rFonts w:ascii="Open Sans" w:hAnsi="Open Sans"/>
          <w:sz w:val="20"/>
        </w:rPr>
        <w:t>koristeći</w:t>
      </w:r>
      <w:r w:rsidR="00ED3EB4">
        <w:rPr>
          <w:rFonts w:ascii="Open Sans" w:hAnsi="Open Sans"/>
          <w:sz w:val="20"/>
        </w:rPr>
        <w:t xml:space="preserve"> </w:t>
      </w:r>
      <w:r w:rsidRPr="00854148">
        <w:rPr>
          <w:rFonts w:ascii="Open Sans" w:hAnsi="Open Sans"/>
          <w:sz w:val="20"/>
        </w:rPr>
        <w:t>Inforeuro</w:t>
      </w:r>
      <w:r w:rsidR="00ED3EB4">
        <w:rPr>
          <w:rFonts w:ascii="Open Sans" w:hAnsi="Open Sans"/>
          <w:sz w:val="20"/>
        </w:rPr>
        <w:t xml:space="preserve"> </w:t>
      </w:r>
      <w:r w:rsidRPr="00854148">
        <w:rPr>
          <w:rFonts w:ascii="Open Sans" w:hAnsi="Open Sans"/>
          <w:sz w:val="20"/>
        </w:rPr>
        <w:t>kurs</w:t>
      </w:r>
      <w:r w:rsidR="00ED3EB4">
        <w:rPr>
          <w:rFonts w:ascii="Open Sans" w:hAnsi="Open Sans"/>
          <w:sz w:val="20"/>
        </w:rPr>
        <w:t xml:space="preserve"> </w:t>
      </w:r>
      <w:r w:rsidR="00734CF4">
        <w:rPr>
          <w:rFonts w:ascii="Open Sans" w:hAnsi="Open Sans"/>
          <w:sz w:val="20"/>
        </w:rPr>
        <w:t>iz</w:t>
      </w:r>
      <w:r w:rsidR="00ED3EB4">
        <w:rPr>
          <w:rFonts w:ascii="Open Sans" w:hAnsi="Open Sans"/>
          <w:sz w:val="20"/>
        </w:rPr>
        <w:t xml:space="preserve"> </w:t>
      </w:r>
      <w:r w:rsidR="00C629D7">
        <w:rPr>
          <w:rFonts w:ascii="Open Sans" w:hAnsi="Open Sans"/>
          <w:b/>
          <w:sz w:val="20"/>
        </w:rPr>
        <w:t>aprila</w:t>
      </w:r>
      <w:bookmarkStart w:id="0" w:name="_GoBack"/>
      <w:bookmarkEnd w:id="0"/>
      <w:r w:rsidR="00EB27F2">
        <w:rPr>
          <w:rFonts w:ascii="Open Sans" w:hAnsi="Open Sans"/>
          <w:b/>
          <w:sz w:val="20"/>
        </w:rPr>
        <w:t xml:space="preserve"> 201</w:t>
      </w:r>
      <w:r w:rsidR="001D1A07">
        <w:rPr>
          <w:rFonts w:ascii="Open Sans" w:hAnsi="Open Sans"/>
          <w:b/>
          <w:sz w:val="20"/>
        </w:rPr>
        <w:t>9</w:t>
      </w:r>
      <w:r w:rsidRPr="005C0EA0">
        <w:rPr>
          <w:rFonts w:ascii="Open Sans" w:hAnsi="Open Sans"/>
          <w:b/>
          <w:sz w:val="20"/>
        </w:rPr>
        <w:t>.</w:t>
      </w:r>
    </w:p>
    <w:p w14:paraId="39FD9736" w14:textId="77777777" w:rsidR="001B3804" w:rsidRPr="00854148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14:paraId="509EC3FD" w14:textId="696741AD" w:rsidR="001B3804" w:rsidRPr="00854148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>Rok</w:t>
      </w:r>
      <w:r w:rsidR="00ED3EB4">
        <w:rPr>
          <w:rFonts w:ascii="Open Sans" w:hAnsi="Open Sans"/>
          <w:sz w:val="20"/>
        </w:rPr>
        <w:t xml:space="preserve"> </w:t>
      </w:r>
      <w:r w:rsidRPr="00854148">
        <w:rPr>
          <w:rFonts w:ascii="Open Sans" w:hAnsi="Open Sans"/>
          <w:sz w:val="20"/>
        </w:rPr>
        <w:t>za</w:t>
      </w:r>
      <w:r w:rsidR="00ED3EB4">
        <w:rPr>
          <w:rFonts w:ascii="Open Sans" w:hAnsi="Open Sans"/>
          <w:sz w:val="20"/>
        </w:rPr>
        <w:t xml:space="preserve"> </w:t>
      </w:r>
      <w:r w:rsidRPr="00854148">
        <w:rPr>
          <w:rFonts w:ascii="Open Sans" w:hAnsi="Open Sans"/>
          <w:sz w:val="20"/>
        </w:rPr>
        <w:t>podnošenje</w:t>
      </w:r>
      <w:r w:rsidR="00ED3EB4">
        <w:rPr>
          <w:rFonts w:ascii="Open Sans" w:hAnsi="Open Sans"/>
          <w:sz w:val="20"/>
        </w:rPr>
        <w:t xml:space="preserve"> </w:t>
      </w:r>
      <w:r w:rsidR="00D634D4">
        <w:rPr>
          <w:rFonts w:ascii="Open Sans" w:hAnsi="Open Sans"/>
          <w:sz w:val="20"/>
        </w:rPr>
        <w:t>tenderske</w:t>
      </w:r>
      <w:r w:rsidR="00ED3EB4">
        <w:rPr>
          <w:rFonts w:ascii="Open Sans" w:hAnsi="Open Sans"/>
          <w:sz w:val="20"/>
        </w:rPr>
        <w:t xml:space="preserve"> </w:t>
      </w:r>
      <w:r w:rsidR="00734CF4">
        <w:rPr>
          <w:rFonts w:ascii="Open Sans" w:hAnsi="Open Sans"/>
          <w:sz w:val="20"/>
        </w:rPr>
        <w:t>ponude</w:t>
      </w:r>
      <w:r w:rsidRPr="00854148">
        <w:rPr>
          <w:rFonts w:ascii="Open Sans" w:hAnsi="Open Sans"/>
          <w:sz w:val="20"/>
        </w:rPr>
        <w:t xml:space="preserve"> je bio </w:t>
      </w:r>
      <w:r w:rsidR="00C629D7">
        <w:rPr>
          <w:rFonts w:ascii="Open Sans" w:hAnsi="Open Sans"/>
          <w:b/>
          <w:sz w:val="20"/>
        </w:rPr>
        <w:t>16</w:t>
      </w:r>
      <w:r w:rsidR="00EB27F2">
        <w:rPr>
          <w:rFonts w:ascii="Open Sans" w:hAnsi="Open Sans"/>
          <w:b/>
          <w:sz w:val="20"/>
        </w:rPr>
        <w:t>.0</w:t>
      </w:r>
      <w:r w:rsidR="001D1A07">
        <w:rPr>
          <w:rFonts w:ascii="Open Sans" w:hAnsi="Open Sans"/>
          <w:b/>
          <w:sz w:val="20"/>
        </w:rPr>
        <w:t>4</w:t>
      </w:r>
      <w:r w:rsidR="00EB27F2">
        <w:rPr>
          <w:rFonts w:ascii="Open Sans" w:hAnsi="Open Sans"/>
          <w:b/>
          <w:sz w:val="20"/>
        </w:rPr>
        <w:t>.201</w:t>
      </w:r>
      <w:r w:rsidR="001D1A07">
        <w:rPr>
          <w:rFonts w:ascii="Open Sans" w:hAnsi="Open Sans"/>
          <w:b/>
          <w:sz w:val="20"/>
        </w:rPr>
        <w:t>9</w:t>
      </w:r>
      <w:r w:rsidR="00F0002A" w:rsidRPr="00A76684">
        <w:rPr>
          <w:rFonts w:ascii="Open Sans" w:hAnsi="Open Sans"/>
          <w:b/>
          <w:sz w:val="20"/>
        </w:rPr>
        <w:t>.</w:t>
      </w:r>
      <w:r w:rsidR="0089413B">
        <w:rPr>
          <w:rFonts w:ascii="Open Sans" w:hAnsi="Open Sans"/>
          <w:b/>
          <w:sz w:val="20"/>
        </w:rPr>
        <w:t xml:space="preserve"> </w:t>
      </w:r>
      <w:r w:rsidRPr="00A76684">
        <w:rPr>
          <w:rFonts w:ascii="Open Sans" w:hAnsi="Open Sans"/>
          <w:sz w:val="20"/>
        </w:rPr>
        <w:t>u</w:t>
      </w:r>
      <w:r w:rsidR="0089413B">
        <w:rPr>
          <w:rFonts w:ascii="Open Sans" w:hAnsi="Open Sans"/>
          <w:sz w:val="20"/>
        </w:rPr>
        <w:t xml:space="preserve"> </w:t>
      </w:r>
      <w:r w:rsidR="00F0002A" w:rsidRPr="00A76684">
        <w:rPr>
          <w:rFonts w:ascii="Open Sans" w:hAnsi="Open Sans"/>
          <w:b/>
          <w:sz w:val="20"/>
        </w:rPr>
        <w:t>12:00</w:t>
      </w:r>
      <w:r w:rsidR="00ED3EB4">
        <w:rPr>
          <w:rFonts w:ascii="Open Sans" w:hAnsi="Open Sans"/>
          <w:b/>
          <w:sz w:val="20"/>
        </w:rPr>
        <w:t xml:space="preserve"> </w:t>
      </w:r>
      <w:r w:rsidRPr="00A76684">
        <w:rPr>
          <w:rFonts w:ascii="Open Sans" w:hAnsi="Open Sans"/>
          <w:sz w:val="20"/>
        </w:rPr>
        <w:t>časova.</w:t>
      </w:r>
    </w:p>
    <w:p w14:paraId="75D1A4C9" w14:textId="77777777" w:rsidR="0087352E" w:rsidRPr="00854148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14:paraId="06ABB819" w14:textId="77777777" w:rsidR="0087352E" w:rsidRPr="00854148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>Evaluaciju</w:t>
      </w:r>
      <w:r w:rsidR="00ED3EB4">
        <w:rPr>
          <w:rFonts w:ascii="Open Sans" w:hAnsi="Open Sans"/>
          <w:sz w:val="20"/>
        </w:rPr>
        <w:t xml:space="preserve"> </w:t>
      </w:r>
      <w:r w:rsidRPr="00854148">
        <w:rPr>
          <w:rFonts w:ascii="Open Sans" w:hAnsi="Open Sans"/>
          <w:sz w:val="20"/>
        </w:rPr>
        <w:t>će</w:t>
      </w:r>
      <w:r w:rsidR="00ED3EB4">
        <w:rPr>
          <w:rFonts w:ascii="Open Sans" w:hAnsi="Open Sans"/>
          <w:sz w:val="20"/>
        </w:rPr>
        <w:t xml:space="preserve"> </w:t>
      </w:r>
      <w:r w:rsidRPr="00854148">
        <w:rPr>
          <w:rFonts w:ascii="Open Sans" w:hAnsi="Open Sans"/>
          <w:sz w:val="20"/>
        </w:rPr>
        <w:t>sprovesti</w:t>
      </w:r>
      <w:r w:rsidR="00ED3EB4">
        <w:rPr>
          <w:rFonts w:ascii="Open Sans" w:hAnsi="Open Sans"/>
          <w:sz w:val="20"/>
        </w:rPr>
        <w:t xml:space="preserve"> </w:t>
      </w:r>
      <w:r w:rsidR="00BC06C3">
        <w:rPr>
          <w:rFonts w:ascii="Open Sans" w:hAnsi="Open Sans"/>
          <w:sz w:val="20"/>
        </w:rPr>
        <w:t>n</w:t>
      </w:r>
      <w:r w:rsidRPr="00854148">
        <w:rPr>
          <w:rFonts w:ascii="Open Sans" w:hAnsi="Open Sans"/>
          <w:sz w:val="20"/>
        </w:rPr>
        <w:t>aručilac</w:t>
      </w:r>
      <w:r w:rsidR="00101475" w:rsidRPr="00854148">
        <w:rPr>
          <w:rFonts w:ascii="Open Sans" w:hAnsi="Open Sans"/>
          <w:sz w:val="20"/>
        </w:rPr>
        <w:t>.</w:t>
      </w:r>
    </w:p>
    <w:p w14:paraId="04C23AFA" w14:textId="77777777" w:rsidR="005E5FA0" w:rsidRPr="00854148" w:rsidRDefault="005E5FA0" w:rsidP="00606C52">
      <w:pPr>
        <w:keepNext/>
        <w:ind w:right="679"/>
        <w:jc w:val="both"/>
        <w:rPr>
          <w:rFonts w:ascii="Open Sans" w:hAnsi="Open Sans" w:cs="Open Sans"/>
          <w:sz w:val="20"/>
        </w:rPr>
      </w:pPr>
    </w:p>
    <w:p w14:paraId="2A5D3C86" w14:textId="39A0DD0A" w:rsidR="005E5FA0" w:rsidRPr="00854148" w:rsidRDefault="005E5FA0" w:rsidP="0032268B">
      <w:pPr>
        <w:keepNext/>
        <w:numPr>
          <w:ilvl w:val="0"/>
          <w:numId w:val="32"/>
        </w:numPr>
        <w:ind w:left="284" w:right="679" w:hanging="284"/>
        <w:jc w:val="both"/>
        <w:rPr>
          <w:rFonts w:ascii="Open Sans" w:hAnsi="Open Sans" w:cs="Open Sans"/>
          <w:b/>
          <w:smallCaps/>
          <w:sz w:val="20"/>
        </w:rPr>
      </w:pPr>
      <w:r w:rsidRPr="00854148">
        <w:rPr>
          <w:rFonts w:ascii="Open Sans" w:hAnsi="Open Sans"/>
          <w:b/>
          <w:smallCaps/>
          <w:sz w:val="20"/>
        </w:rPr>
        <w:t>Administrativna</w:t>
      </w:r>
      <w:r w:rsidR="005A76DA">
        <w:rPr>
          <w:rFonts w:ascii="Open Sans" w:hAnsi="Open Sans"/>
          <w:b/>
          <w:smallCaps/>
          <w:sz w:val="20"/>
        </w:rPr>
        <w:t xml:space="preserve"> </w:t>
      </w:r>
      <w:r w:rsidRPr="00854148">
        <w:rPr>
          <w:rFonts w:ascii="Open Sans" w:hAnsi="Open Sans"/>
          <w:b/>
          <w:smallCaps/>
          <w:sz w:val="20"/>
        </w:rPr>
        <w:t>provera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364"/>
        <w:gridCol w:w="1179"/>
        <w:gridCol w:w="1463"/>
        <w:gridCol w:w="1318"/>
        <w:gridCol w:w="1330"/>
        <w:gridCol w:w="1701"/>
      </w:tblGrid>
      <w:tr w:rsidR="00BC06C3" w:rsidRPr="00854148" w14:paraId="61494B36" w14:textId="77777777" w:rsidTr="0089413B">
        <w:trPr>
          <w:cantSplit/>
          <w:trHeight w:val="1534"/>
          <w:tblHeader/>
        </w:trPr>
        <w:tc>
          <w:tcPr>
            <w:tcW w:w="426" w:type="dxa"/>
            <w:shd w:val="pct12" w:color="auto" w:fill="FFFFFF"/>
            <w:textDirection w:val="btLr"/>
            <w:vAlign w:val="center"/>
          </w:tcPr>
          <w:p w14:paraId="55E7A0E4" w14:textId="77777777" w:rsidR="00BC06C3" w:rsidRPr="00400180" w:rsidRDefault="00BC06C3" w:rsidP="00D07AF4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Broj</w:t>
            </w:r>
            <w:r w:rsidR="0089413B">
              <w:rPr>
                <w:rFonts w:ascii="Open Sans" w:hAnsi="Open Sans" w:cs="Open Sans"/>
                <w:snapToGrid/>
                <w:sz w:val="16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</w:rPr>
              <w:t>ponude</w:t>
            </w:r>
            <w:r w:rsidR="0089413B">
              <w:rPr>
                <w:rFonts w:ascii="Open Sans" w:hAnsi="Open Sans" w:cs="Open Sans"/>
                <w:snapToGrid/>
                <w:sz w:val="16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</w:rPr>
              <w:t>na</w:t>
            </w:r>
            <w:r w:rsidR="0089413B">
              <w:rPr>
                <w:rFonts w:ascii="Open Sans" w:hAnsi="Open Sans" w:cs="Open Sans"/>
                <w:snapToGrid/>
                <w:sz w:val="16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</w:rPr>
              <w:t>koverti</w:t>
            </w:r>
          </w:p>
        </w:tc>
        <w:tc>
          <w:tcPr>
            <w:tcW w:w="2364" w:type="dxa"/>
            <w:shd w:val="pct12" w:color="auto" w:fill="FFFFFF"/>
            <w:vAlign w:val="center"/>
          </w:tcPr>
          <w:p w14:paraId="32143E38" w14:textId="77777777" w:rsidR="00BC06C3" w:rsidRPr="00400180" w:rsidRDefault="00BC06C3" w:rsidP="00606C52">
            <w:pPr>
              <w:widowControl w:val="0"/>
              <w:spacing w:before="60" w:after="60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Imeponuđača</w:t>
            </w:r>
          </w:p>
        </w:tc>
        <w:tc>
          <w:tcPr>
            <w:tcW w:w="1179" w:type="dxa"/>
            <w:shd w:val="pct12" w:color="auto" w:fill="FFFFFF"/>
            <w:vAlign w:val="center"/>
          </w:tcPr>
          <w:p w14:paraId="4DA3B9B1" w14:textId="6B4C9475" w:rsidR="00BC06C3" w:rsidRPr="00400180" w:rsidRDefault="00BC06C3" w:rsidP="00400180">
            <w:pPr>
              <w:widowControl w:val="0"/>
              <w:spacing w:before="60" w:after="60"/>
              <w:ind w:left="-63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Da li je ponuda</w:t>
            </w:r>
            <w:r w:rsidR="005A76DA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podneta u roku? (D/N)</w:t>
            </w:r>
          </w:p>
        </w:tc>
        <w:tc>
          <w:tcPr>
            <w:tcW w:w="1463" w:type="dxa"/>
            <w:shd w:val="pct12" w:color="auto" w:fill="FFFFFF"/>
            <w:vAlign w:val="center"/>
          </w:tcPr>
          <w:p w14:paraId="1D17A2DB" w14:textId="77777777" w:rsidR="00BC06C3" w:rsidRPr="00400180" w:rsidRDefault="00BC06C3" w:rsidP="00400180">
            <w:pPr>
              <w:widowControl w:val="0"/>
              <w:spacing w:before="60" w:after="60"/>
              <w:ind w:left="33" w:right="-63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Da li je tenderska</w:t>
            </w:r>
            <w:r w:rsidR="00ED3EB4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dokumentacija</w:t>
            </w:r>
            <w:r w:rsidR="00ED3EB4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kompletna?</w:t>
            </w:r>
            <w:r w:rsidR="0089413B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(D/N)</w:t>
            </w:r>
          </w:p>
        </w:tc>
        <w:tc>
          <w:tcPr>
            <w:tcW w:w="1318" w:type="dxa"/>
            <w:shd w:val="pct12" w:color="auto" w:fill="FFFFFF"/>
            <w:vAlign w:val="center"/>
          </w:tcPr>
          <w:p w14:paraId="2ECF6016" w14:textId="77777777" w:rsidR="00BC06C3" w:rsidRPr="00400180" w:rsidRDefault="00BC06C3" w:rsidP="00400180">
            <w:pPr>
              <w:widowControl w:val="0"/>
              <w:spacing w:before="60" w:after="60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Da li je nacionalnost</w:t>
            </w:r>
            <w:r w:rsidR="00ED3EB4">
              <w:rPr>
                <w:rFonts w:ascii="Open Sans" w:hAnsi="Open Sans" w:cs="Open Sans"/>
                <w:snapToGrid/>
                <w:sz w:val="16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</w:rPr>
              <w:t>odgovarajuća?</w:t>
            </w:r>
            <w:r w:rsidRPr="00400180">
              <w:rPr>
                <w:rFonts w:ascii="Open Sans" w:hAnsi="Open Sans" w:cs="Open Sans"/>
                <w:sz w:val="16"/>
              </w:rPr>
              <w:t xml:space="preserve"> (D/N)</w:t>
            </w:r>
          </w:p>
        </w:tc>
        <w:tc>
          <w:tcPr>
            <w:tcW w:w="1330" w:type="dxa"/>
            <w:shd w:val="pct12" w:color="auto" w:fill="FFFFFF"/>
            <w:vAlign w:val="center"/>
          </w:tcPr>
          <w:p w14:paraId="64A5EC21" w14:textId="77777777" w:rsidR="00400180" w:rsidRPr="00400180" w:rsidRDefault="00BC06C3" w:rsidP="00400180">
            <w:pPr>
              <w:widowControl w:val="0"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Da li je ponuda</w:t>
            </w:r>
            <w:r w:rsidR="00ED3EB4">
              <w:rPr>
                <w:rFonts w:ascii="Open Sans" w:hAnsi="Open Sans" w:cs="Open Sans"/>
                <w:snapToGrid/>
                <w:sz w:val="16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</w:rPr>
              <w:t>kompletna</w:t>
            </w:r>
            <w:r w:rsidR="0089413B">
              <w:rPr>
                <w:rFonts w:ascii="Open Sans" w:hAnsi="Open Sans" w:cs="Open Sans"/>
                <w:snapToGrid/>
                <w:sz w:val="16"/>
              </w:rPr>
              <w:t xml:space="preserve"> i</w:t>
            </w:r>
            <w:r w:rsidR="00ED3EB4">
              <w:rPr>
                <w:rFonts w:ascii="Open Sans" w:hAnsi="Open Sans" w:cs="Open Sans"/>
                <w:snapToGrid/>
                <w:sz w:val="16"/>
              </w:rPr>
              <w:t xml:space="preserve"> a</w:t>
            </w:r>
            <w:r w:rsidRPr="00400180">
              <w:rPr>
                <w:rFonts w:ascii="Open Sans" w:hAnsi="Open Sans" w:cs="Open Sans"/>
                <w:snapToGrid/>
                <w:sz w:val="16"/>
              </w:rPr>
              <w:t>dministrativno</w:t>
            </w:r>
            <w:r w:rsidR="00ED3EB4">
              <w:rPr>
                <w:rFonts w:ascii="Open Sans" w:hAnsi="Open Sans" w:cs="Open Sans"/>
                <w:snapToGrid/>
                <w:sz w:val="16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</w:rPr>
              <w:t>prihvatljiva?</w:t>
            </w:r>
          </w:p>
          <w:p w14:paraId="4C609A69" w14:textId="77777777" w:rsidR="00BC06C3" w:rsidRPr="00400180" w:rsidRDefault="00BC06C3" w:rsidP="00400180">
            <w:pPr>
              <w:widowControl w:val="0"/>
              <w:spacing w:after="60"/>
              <w:ind w:left="57"/>
              <w:jc w:val="center"/>
              <w:rPr>
                <w:rFonts w:ascii="Open Sans" w:hAnsi="Open Sans" w:cs="Open Sans"/>
                <w:snapToGrid/>
                <w:sz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(D/N)</w:t>
            </w:r>
          </w:p>
        </w:tc>
        <w:tc>
          <w:tcPr>
            <w:tcW w:w="1701" w:type="dxa"/>
            <w:shd w:val="pct12" w:color="auto" w:fill="FFFFFF"/>
            <w:vAlign w:val="center"/>
          </w:tcPr>
          <w:p w14:paraId="3110819E" w14:textId="77777777" w:rsidR="00BC06C3" w:rsidRPr="00400180" w:rsidRDefault="00BC06C3" w:rsidP="00C00247">
            <w:pPr>
              <w:widowControl w:val="0"/>
              <w:spacing w:before="60" w:after="6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Komentar</w:t>
            </w:r>
          </w:p>
        </w:tc>
      </w:tr>
      <w:tr w:rsidR="00C00247" w:rsidRPr="00854148" w14:paraId="71516460" w14:textId="77777777" w:rsidTr="0089413B">
        <w:trPr>
          <w:cantSplit/>
          <w:trHeight w:val="456"/>
        </w:trPr>
        <w:tc>
          <w:tcPr>
            <w:tcW w:w="426" w:type="dxa"/>
            <w:vAlign w:val="center"/>
          </w:tcPr>
          <w:p w14:paraId="53D73507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2364" w:type="dxa"/>
            <w:vAlign w:val="center"/>
          </w:tcPr>
          <w:p w14:paraId="021A224A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79" w:type="dxa"/>
            <w:vAlign w:val="center"/>
          </w:tcPr>
          <w:p w14:paraId="3FA23511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4CDAB242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318" w:type="dxa"/>
            <w:vAlign w:val="center"/>
          </w:tcPr>
          <w:p w14:paraId="7CF559BA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330" w:type="dxa"/>
            <w:vAlign w:val="center"/>
          </w:tcPr>
          <w:p w14:paraId="6B8026E9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14:paraId="2E6199AE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14:paraId="0B4FDF2D" w14:textId="77777777" w:rsidTr="0089413B">
        <w:trPr>
          <w:cantSplit/>
          <w:trHeight w:val="445"/>
        </w:trPr>
        <w:tc>
          <w:tcPr>
            <w:tcW w:w="426" w:type="dxa"/>
            <w:vAlign w:val="center"/>
          </w:tcPr>
          <w:p w14:paraId="5A84B19B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2364" w:type="dxa"/>
            <w:vAlign w:val="center"/>
          </w:tcPr>
          <w:p w14:paraId="2F9E7588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79" w:type="dxa"/>
            <w:vAlign w:val="center"/>
          </w:tcPr>
          <w:p w14:paraId="6D0F9D4C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B1263F9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318" w:type="dxa"/>
            <w:vAlign w:val="center"/>
          </w:tcPr>
          <w:p w14:paraId="5B920892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330" w:type="dxa"/>
            <w:vAlign w:val="center"/>
          </w:tcPr>
          <w:p w14:paraId="0C5F9CF6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14:paraId="4B154DA0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14:paraId="2B3834A3" w14:textId="77777777" w:rsidTr="0089413B">
        <w:trPr>
          <w:cantSplit/>
          <w:trHeight w:val="456"/>
        </w:trPr>
        <w:tc>
          <w:tcPr>
            <w:tcW w:w="426" w:type="dxa"/>
            <w:vAlign w:val="center"/>
          </w:tcPr>
          <w:p w14:paraId="123171FB" w14:textId="77777777" w:rsidR="00C00247" w:rsidRPr="00854148" w:rsidRDefault="00C00247" w:rsidP="00D07AF4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E0229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2364" w:type="dxa"/>
            <w:vAlign w:val="center"/>
          </w:tcPr>
          <w:p w14:paraId="0DEE593E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79" w:type="dxa"/>
            <w:vAlign w:val="center"/>
          </w:tcPr>
          <w:p w14:paraId="0BE255B3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4FE7405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318" w:type="dxa"/>
            <w:vAlign w:val="center"/>
          </w:tcPr>
          <w:p w14:paraId="30B59BF0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330" w:type="dxa"/>
            <w:vAlign w:val="center"/>
          </w:tcPr>
          <w:p w14:paraId="422C21E6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14:paraId="321D5AFC" w14:textId="77777777"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14:paraId="264828CF" w14:textId="77777777" w:rsidR="003B2E3A" w:rsidRPr="00854148" w:rsidRDefault="003B2E3A" w:rsidP="00606C52">
      <w:pPr>
        <w:jc w:val="both"/>
        <w:rPr>
          <w:rFonts w:ascii="Open Sans" w:hAnsi="Open Sans" w:cs="Open Sans"/>
          <w:b/>
          <w:bCs/>
          <w:snapToGrid/>
          <w:sz w:val="20"/>
        </w:rPr>
      </w:pPr>
    </w:p>
    <w:p w14:paraId="39524DA3" w14:textId="77777777" w:rsidR="00441B3B" w:rsidRPr="00854148" w:rsidRDefault="00170462" w:rsidP="0032268B">
      <w:pPr>
        <w:numPr>
          <w:ilvl w:val="0"/>
          <w:numId w:val="32"/>
        </w:numPr>
        <w:ind w:left="284" w:hanging="284"/>
        <w:jc w:val="both"/>
        <w:rPr>
          <w:rFonts w:ascii="Open Sans" w:hAnsi="Open Sans" w:cs="Open Sans"/>
          <w:b/>
          <w:bCs/>
          <w:smallCaps/>
          <w:snapToGrid/>
          <w:sz w:val="20"/>
        </w:rPr>
      </w:pPr>
      <w:r w:rsidRPr="00854148">
        <w:rPr>
          <w:rFonts w:ascii="Open Sans" w:hAnsi="Open Sans"/>
          <w:b/>
          <w:smallCaps/>
          <w:snapToGrid/>
          <w:sz w:val="20"/>
        </w:rPr>
        <w:t>evaluacija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993"/>
        <w:gridCol w:w="850"/>
        <w:gridCol w:w="1134"/>
        <w:gridCol w:w="1134"/>
        <w:gridCol w:w="992"/>
        <w:gridCol w:w="993"/>
        <w:gridCol w:w="850"/>
      </w:tblGrid>
      <w:tr w:rsidR="00C00247" w:rsidRPr="00854148" w14:paraId="21C4BAB5" w14:textId="77777777" w:rsidTr="00400180">
        <w:trPr>
          <w:cantSplit/>
          <w:trHeight w:val="1406"/>
          <w:tblHeader/>
        </w:trPr>
        <w:tc>
          <w:tcPr>
            <w:tcW w:w="426" w:type="dxa"/>
            <w:shd w:val="pct10" w:color="auto" w:fill="FFFFFF"/>
            <w:textDirection w:val="btLr"/>
            <w:vAlign w:val="center"/>
          </w:tcPr>
          <w:p w14:paraId="25794826" w14:textId="77777777" w:rsidR="00C00247" w:rsidRPr="00854148" w:rsidRDefault="000507E6" w:rsidP="00D634D4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0507E6">
              <w:rPr>
                <w:rFonts w:ascii="Open Sans" w:hAnsi="Open Sans"/>
                <w:snapToGrid/>
                <w:sz w:val="16"/>
              </w:rPr>
              <w:t>Brojponudenakoverti</w:t>
            </w:r>
          </w:p>
        </w:tc>
        <w:tc>
          <w:tcPr>
            <w:tcW w:w="2409" w:type="dxa"/>
            <w:shd w:val="pct10" w:color="auto" w:fill="FFFFFF"/>
            <w:vAlign w:val="center"/>
          </w:tcPr>
          <w:p w14:paraId="38D19CCB" w14:textId="77777777" w:rsidR="00C00247" w:rsidRPr="00854148" w:rsidRDefault="00C00247" w:rsidP="009A70A6">
            <w:pPr>
              <w:keepNext/>
              <w:spacing w:before="120" w:after="120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Imeponuđača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C78DA0E" w14:textId="77777777" w:rsidR="00C00247" w:rsidRPr="00854148" w:rsidRDefault="00530D2E" w:rsidP="00400180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Prosečna</w:t>
            </w:r>
            <w:r w:rsidR="00ED3EB4">
              <w:rPr>
                <w:rFonts w:ascii="Open Sans" w:hAnsi="Open Sans"/>
                <w:snapToGrid/>
                <w:sz w:val="16"/>
              </w:rPr>
              <w:t xml:space="preserve"> </w:t>
            </w:r>
            <w:r w:rsidRPr="00854148">
              <w:rPr>
                <w:rFonts w:ascii="Open Sans" w:hAnsi="Open Sans"/>
                <w:snapToGrid/>
                <w:sz w:val="16"/>
              </w:rPr>
              <w:t>tehnička</w:t>
            </w:r>
            <w:r w:rsidR="00ED3EB4">
              <w:rPr>
                <w:rFonts w:ascii="Open Sans" w:hAnsi="Open Sans"/>
                <w:snapToGrid/>
                <w:sz w:val="16"/>
              </w:rPr>
              <w:t xml:space="preserve"> </w:t>
            </w:r>
            <w:r w:rsidRPr="00854148">
              <w:rPr>
                <w:rFonts w:ascii="Open Sans" w:hAnsi="Open Sans"/>
                <w:snapToGrid/>
                <w:sz w:val="16"/>
              </w:rPr>
              <w:t>ocena*</w:t>
            </w:r>
          </w:p>
        </w:tc>
        <w:tc>
          <w:tcPr>
            <w:tcW w:w="850" w:type="dxa"/>
            <w:shd w:val="pct10" w:color="auto" w:fill="FFFFFF"/>
            <w:vAlign w:val="center"/>
          </w:tcPr>
          <w:p w14:paraId="235241C6" w14:textId="77777777"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Tehnička</w:t>
            </w:r>
            <w:r w:rsidR="00ED3EB4">
              <w:rPr>
                <w:rFonts w:ascii="Open Sans" w:hAnsi="Open Sans"/>
                <w:snapToGrid/>
                <w:sz w:val="16"/>
              </w:rPr>
              <w:t xml:space="preserve"> </w:t>
            </w:r>
            <w:r w:rsidRPr="00854148">
              <w:rPr>
                <w:rFonts w:ascii="Open Sans" w:hAnsi="Open Sans"/>
                <w:snapToGrid/>
                <w:sz w:val="16"/>
              </w:rPr>
              <w:t>ocena</w:t>
            </w:r>
          </w:p>
          <w:p w14:paraId="25B217FB" w14:textId="77777777"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(A)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C4EC3DD" w14:textId="77777777"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</w:t>
            </w:r>
            <w:r w:rsidR="00ED3EB4">
              <w:rPr>
                <w:rFonts w:ascii="Open Sans" w:hAnsi="Open Sans"/>
                <w:snapToGrid/>
                <w:sz w:val="16"/>
              </w:rPr>
              <w:t xml:space="preserve"> </w:t>
            </w:r>
            <w:r w:rsidRPr="00854148">
              <w:rPr>
                <w:rFonts w:ascii="Open Sans" w:hAnsi="Open Sans"/>
                <w:snapToGrid/>
                <w:sz w:val="16"/>
              </w:rPr>
              <w:t>ponuda</w:t>
            </w:r>
          </w:p>
          <w:p w14:paraId="34BCBA4C" w14:textId="77777777" w:rsidR="00C00247" w:rsidRPr="00854148" w:rsidRDefault="00C00247" w:rsidP="0089413B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</w:t>
            </w:r>
            <w:r w:rsidR="0089413B">
              <w:rPr>
                <w:rFonts w:ascii="Open Sans" w:hAnsi="Open Sans"/>
                <w:snapToGrid/>
                <w:sz w:val="16"/>
              </w:rPr>
              <w:t>RSD</w:t>
            </w:r>
            <w:r w:rsidRPr="00854148">
              <w:rPr>
                <w:rFonts w:ascii="Open Sans" w:hAnsi="Open Sans"/>
                <w:snapToGrid/>
                <w:sz w:val="16"/>
              </w:rPr>
              <w:t>)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743B440" w14:textId="77777777"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</w:t>
            </w:r>
            <w:r w:rsidR="00ED3EB4">
              <w:rPr>
                <w:rFonts w:ascii="Open Sans" w:hAnsi="Open Sans"/>
                <w:snapToGrid/>
                <w:sz w:val="16"/>
              </w:rPr>
              <w:t xml:space="preserve"> </w:t>
            </w:r>
            <w:r w:rsidRPr="00854148">
              <w:rPr>
                <w:rFonts w:ascii="Open Sans" w:hAnsi="Open Sans"/>
                <w:snapToGrid/>
                <w:sz w:val="16"/>
              </w:rPr>
              <w:t>ponuda je u okviru</w:t>
            </w:r>
            <w:r w:rsidR="00ED3EB4">
              <w:rPr>
                <w:rFonts w:ascii="Open Sans" w:hAnsi="Open Sans"/>
                <w:snapToGrid/>
                <w:sz w:val="16"/>
              </w:rPr>
              <w:t xml:space="preserve"> </w:t>
            </w:r>
            <w:r w:rsidRPr="00854148">
              <w:rPr>
                <w:rFonts w:ascii="Open Sans" w:hAnsi="Open Sans"/>
                <w:snapToGrid/>
                <w:sz w:val="16"/>
              </w:rPr>
              <w:t>raspoloživog</w:t>
            </w:r>
            <w:r w:rsidR="00ED3EB4">
              <w:rPr>
                <w:rFonts w:ascii="Open Sans" w:hAnsi="Open Sans"/>
                <w:snapToGrid/>
                <w:sz w:val="16"/>
              </w:rPr>
              <w:t xml:space="preserve"> </w:t>
            </w:r>
            <w:r w:rsidRPr="00854148">
              <w:rPr>
                <w:rFonts w:ascii="Open Sans" w:hAnsi="Open Sans"/>
                <w:snapToGrid/>
                <w:sz w:val="16"/>
              </w:rPr>
              <w:t>budžeta?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B66CF66" w14:textId="77777777"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</w:t>
            </w:r>
            <w:r w:rsidR="00ED3EB4">
              <w:rPr>
                <w:rFonts w:ascii="Open Sans" w:hAnsi="Open Sans"/>
                <w:snapToGrid/>
                <w:sz w:val="16"/>
              </w:rPr>
              <w:t xml:space="preserve"> </w:t>
            </w:r>
            <w:r w:rsidRPr="00854148">
              <w:rPr>
                <w:rFonts w:ascii="Open Sans" w:hAnsi="Open Sans"/>
                <w:snapToGrid/>
                <w:sz w:val="16"/>
              </w:rPr>
              <w:t>ocena</w:t>
            </w:r>
          </w:p>
          <w:p w14:paraId="022F2EDC" w14:textId="77777777"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(B)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25673D" w14:textId="77777777"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Ukupna</w:t>
            </w:r>
            <w:r w:rsidR="00ED3EB4">
              <w:rPr>
                <w:rFonts w:ascii="Open Sans" w:hAnsi="Open Sans"/>
                <w:snapToGrid/>
                <w:sz w:val="16"/>
              </w:rPr>
              <w:t xml:space="preserve"> </w:t>
            </w:r>
            <w:r w:rsidRPr="00854148">
              <w:rPr>
                <w:rFonts w:ascii="Open Sans" w:hAnsi="Open Sans"/>
                <w:snapToGrid/>
                <w:sz w:val="16"/>
              </w:rPr>
              <w:t>ocena</w:t>
            </w:r>
          </w:p>
          <w:p w14:paraId="20F68DA5" w14:textId="77777777"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(Ax0,80 + Bx0,20)</w:t>
            </w:r>
          </w:p>
        </w:tc>
        <w:tc>
          <w:tcPr>
            <w:tcW w:w="850" w:type="dxa"/>
            <w:shd w:val="pct10" w:color="auto" w:fill="FFFFFF"/>
            <w:vAlign w:val="center"/>
          </w:tcPr>
          <w:p w14:paraId="2DA4AE70" w14:textId="77777777"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Rangiran</w:t>
            </w:r>
            <w:r w:rsidR="001C4E53">
              <w:rPr>
                <w:rFonts w:ascii="Open Sans" w:hAnsi="Open Sans"/>
                <w:snapToGrid/>
                <w:sz w:val="16"/>
              </w:rPr>
              <w:t>j</w:t>
            </w:r>
            <w:r w:rsidRPr="00854148">
              <w:rPr>
                <w:rFonts w:ascii="Open Sans" w:hAnsi="Open Sans"/>
                <w:snapToGrid/>
                <w:sz w:val="16"/>
              </w:rPr>
              <w:t>e</w:t>
            </w:r>
          </w:p>
        </w:tc>
      </w:tr>
      <w:tr w:rsidR="00C00247" w:rsidRPr="00854148" w14:paraId="5C1222DF" w14:textId="77777777" w:rsidTr="00400180">
        <w:trPr>
          <w:cantSplit/>
          <w:trHeight w:val="358"/>
        </w:trPr>
        <w:tc>
          <w:tcPr>
            <w:tcW w:w="426" w:type="dxa"/>
            <w:vAlign w:val="center"/>
          </w:tcPr>
          <w:p w14:paraId="133B7831" w14:textId="77777777"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14:paraId="6B7E9962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14:paraId="72CF3D88" w14:textId="77777777"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14:paraId="13789135" w14:textId="77777777"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14:paraId="1367490A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9D39B" w14:textId="77777777"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2E7CC63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14:paraId="119894CF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14:paraId="25918E70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14:paraId="2A3B8E53" w14:textId="77777777" w:rsidTr="00400180">
        <w:trPr>
          <w:cantSplit/>
        </w:trPr>
        <w:tc>
          <w:tcPr>
            <w:tcW w:w="426" w:type="dxa"/>
            <w:vAlign w:val="center"/>
          </w:tcPr>
          <w:p w14:paraId="3ED0AA17" w14:textId="77777777"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14:paraId="661A0F77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14:paraId="10D043A4" w14:textId="77777777"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14:paraId="20BFA446" w14:textId="77777777"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14:paraId="730DE605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3E50CA" w14:textId="77777777"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CAE42B4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14:paraId="3441CDD5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14:paraId="5B822112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14:paraId="364AA908" w14:textId="77777777" w:rsidTr="00400180">
        <w:trPr>
          <w:cantSplit/>
        </w:trPr>
        <w:tc>
          <w:tcPr>
            <w:tcW w:w="426" w:type="dxa"/>
            <w:vAlign w:val="center"/>
          </w:tcPr>
          <w:p w14:paraId="49CFD760" w14:textId="77777777"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E0229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2409" w:type="dxa"/>
            <w:vAlign w:val="center"/>
          </w:tcPr>
          <w:p w14:paraId="458653D1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14:paraId="4D4A5FE0" w14:textId="77777777"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14:paraId="394D043E" w14:textId="77777777"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14:paraId="5AA89FA1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00CCEA" w14:textId="77777777"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C1F64A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14:paraId="03124117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14:paraId="6E57B86A" w14:textId="77777777"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14:paraId="69435F50" w14:textId="77777777" w:rsidR="0032268B" w:rsidRPr="00854148" w:rsidRDefault="00530D2E" w:rsidP="00606C52">
      <w:pPr>
        <w:keepNext/>
        <w:ind w:right="850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*samo</w:t>
      </w:r>
      <w:r w:rsidR="00ED3EB4">
        <w:rPr>
          <w:rFonts w:ascii="Open Sans" w:hAnsi="Open Sans"/>
          <w:sz w:val="16"/>
        </w:rPr>
        <w:t xml:space="preserve"> </w:t>
      </w:r>
      <w:r w:rsidR="001C4E53">
        <w:rPr>
          <w:rFonts w:ascii="Open Sans" w:hAnsi="Open Sans"/>
          <w:sz w:val="16"/>
        </w:rPr>
        <w:t>ponude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sa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prosečnom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ocenom</w:t>
      </w:r>
      <w:r w:rsidR="00ED3EB4">
        <w:rPr>
          <w:rFonts w:ascii="Open Sans" w:hAnsi="Open Sans"/>
          <w:sz w:val="16"/>
        </w:rPr>
        <w:t xml:space="preserve"> </w:t>
      </w:r>
      <w:r w:rsidR="001C4E53">
        <w:rPr>
          <w:rFonts w:ascii="Open Sans" w:hAnsi="Open Sans"/>
          <w:sz w:val="16"/>
        </w:rPr>
        <w:t>ne manjom od</w:t>
      </w:r>
      <w:r w:rsidRPr="00854148">
        <w:rPr>
          <w:rFonts w:ascii="Open Sans" w:hAnsi="Open Sans"/>
          <w:sz w:val="16"/>
        </w:rPr>
        <w:t xml:space="preserve"> 75 poena</w:t>
      </w:r>
      <w:r w:rsidR="00ED3EB4">
        <w:rPr>
          <w:rFonts w:ascii="Open Sans" w:hAnsi="Open Sans"/>
          <w:sz w:val="16"/>
        </w:rPr>
        <w:t xml:space="preserve"> </w:t>
      </w:r>
      <w:r w:rsidR="00D634D4">
        <w:rPr>
          <w:rFonts w:ascii="Open Sans" w:hAnsi="Open Sans"/>
          <w:sz w:val="16"/>
        </w:rPr>
        <w:t>će</w:t>
      </w:r>
      <w:r w:rsidR="00ED3EB4">
        <w:rPr>
          <w:rFonts w:ascii="Open Sans" w:hAnsi="Open Sans"/>
          <w:sz w:val="16"/>
        </w:rPr>
        <w:t xml:space="preserve"> </w:t>
      </w:r>
      <w:r w:rsidR="00D634D4">
        <w:rPr>
          <w:rFonts w:ascii="Open Sans" w:hAnsi="Open Sans"/>
          <w:sz w:val="16"/>
        </w:rPr>
        <w:t>biti</w:t>
      </w:r>
      <w:r w:rsidR="00ED3EB4">
        <w:rPr>
          <w:rFonts w:ascii="Open Sans" w:hAnsi="Open Sans"/>
          <w:sz w:val="16"/>
        </w:rPr>
        <w:t xml:space="preserve"> </w:t>
      </w:r>
      <w:r w:rsidR="001C4E53">
        <w:rPr>
          <w:rFonts w:ascii="Open Sans" w:hAnsi="Open Sans"/>
          <w:sz w:val="16"/>
        </w:rPr>
        <w:t>uzete u obzir</w:t>
      </w:r>
      <w:r w:rsidR="00ED3EB4">
        <w:rPr>
          <w:rFonts w:ascii="Open Sans" w:hAnsi="Open Sans"/>
          <w:sz w:val="16"/>
        </w:rPr>
        <w:t xml:space="preserve"> </w:t>
      </w:r>
      <w:r w:rsidR="001C4E53">
        <w:rPr>
          <w:rFonts w:ascii="Open Sans" w:hAnsi="Open Sans"/>
          <w:sz w:val="16"/>
        </w:rPr>
        <w:t>za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finansijsku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evaluaciju</w:t>
      </w:r>
    </w:p>
    <w:p w14:paraId="58AC5DDF" w14:textId="77777777" w:rsidR="000D7F28" w:rsidRPr="001E0229" w:rsidRDefault="000D7F28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</w:p>
    <w:p w14:paraId="679A1DBC" w14:textId="77777777" w:rsidR="000D7F28" w:rsidRPr="004826A2" w:rsidRDefault="001C4E53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  <w:r w:rsidRPr="004826A2">
        <w:rPr>
          <w:rFonts w:ascii="Open Sans" w:hAnsi="Open Sans" w:cs="Open Sans"/>
          <w:sz w:val="20"/>
          <w:highlight w:val="lightGray"/>
        </w:rPr>
        <w:t>Ponuda</w:t>
      </w:r>
      <w:r w:rsidR="001F45CF" w:rsidRPr="004826A2">
        <w:rPr>
          <w:rFonts w:ascii="Open Sans" w:hAnsi="Open Sans" w:cs="Open Sans"/>
          <w:sz w:val="20"/>
          <w:highlight w:val="lightGray"/>
        </w:rPr>
        <w:t>br. X je isključen</w:t>
      </w:r>
      <w:r w:rsidRPr="004826A2">
        <w:rPr>
          <w:rFonts w:ascii="Open Sans" w:hAnsi="Open Sans" w:cs="Open Sans"/>
          <w:sz w:val="20"/>
          <w:highlight w:val="lightGray"/>
        </w:rPr>
        <w:t>a</w:t>
      </w:r>
      <w:r w:rsidR="00ED3EB4">
        <w:rPr>
          <w:rFonts w:ascii="Open Sans" w:hAnsi="Open Sans" w:cs="Open Sans"/>
          <w:sz w:val="20"/>
          <w:highlight w:val="lightGray"/>
        </w:rPr>
        <w:t xml:space="preserve"> </w:t>
      </w:r>
      <w:r w:rsidR="001F45CF" w:rsidRPr="004826A2">
        <w:rPr>
          <w:rFonts w:ascii="Open Sans" w:hAnsi="Open Sans" w:cs="Open Sans"/>
          <w:sz w:val="20"/>
          <w:highlight w:val="lightGray"/>
        </w:rPr>
        <w:t>iz</w:t>
      </w:r>
      <w:r w:rsidR="00ED3EB4">
        <w:rPr>
          <w:rFonts w:ascii="Open Sans" w:hAnsi="Open Sans" w:cs="Open Sans"/>
          <w:sz w:val="20"/>
          <w:highlight w:val="lightGray"/>
        </w:rPr>
        <w:t xml:space="preserve"> </w:t>
      </w:r>
      <w:r w:rsidR="001F45CF" w:rsidRPr="004826A2">
        <w:rPr>
          <w:rFonts w:ascii="Open Sans" w:hAnsi="Open Sans" w:cs="Open Sans"/>
          <w:sz w:val="20"/>
          <w:highlight w:val="lightGray"/>
        </w:rPr>
        <w:t>procesa</w:t>
      </w:r>
      <w:r w:rsidR="00ED3EB4">
        <w:rPr>
          <w:rFonts w:ascii="Open Sans" w:hAnsi="Open Sans" w:cs="Open Sans"/>
          <w:sz w:val="20"/>
          <w:highlight w:val="lightGray"/>
        </w:rPr>
        <w:t xml:space="preserve"> </w:t>
      </w:r>
      <w:r w:rsidR="001F45CF" w:rsidRPr="004826A2">
        <w:rPr>
          <w:rFonts w:ascii="Open Sans" w:hAnsi="Open Sans" w:cs="Open Sans"/>
          <w:sz w:val="20"/>
          <w:highlight w:val="lightGray"/>
        </w:rPr>
        <w:t>evaluacije</w:t>
      </w:r>
      <w:r w:rsidR="00ED3EB4">
        <w:rPr>
          <w:rFonts w:ascii="Open Sans" w:hAnsi="Open Sans" w:cs="Open Sans"/>
          <w:sz w:val="20"/>
          <w:highlight w:val="lightGray"/>
        </w:rPr>
        <w:t xml:space="preserve"> </w:t>
      </w:r>
      <w:r w:rsidR="001F45CF" w:rsidRPr="004826A2">
        <w:rPr>
          <w:rFonts w:ascii="Open Sans" w:hAnsi="Open Sans" w:cs="Open Sans"/>
          <w:sz w:val="20"/>
          <w:highlight w:val="lightGray"/>
        </w:rPr>
        <w:t>izs</w:t>
      </w:r>
      <w:r w:rsidR="00ED3EB4">
        <w:rPr>
          <w:rFonts w:ascii="Open Sans" w:hAnsi="Open Sans" w:cs="Open Sans"/>
          <w:sz w:val="20"/>
          <w:highlight w:val="lightGray"/>
        </w:rPr>
        <w:t xml:space="preserve"> </w:t>
      </w:r>
      <w:r w:rsidR="001F45CF" w:rsidRPr="004826A2">
        <w:rPr>
          <w:rFonts w:ascii="Open Sans" w:hAnsi="Open Sans" w:cs="Open Sans"/>
          <w:sz w:val="20"/>
          <w:highlight w:val="lightGray"/>
        </w:rPr>
        <w:t>ledećeg</w:t>
      </w:r>
      <w:r w:rsidR="00D634D4" w:rsidRPr="004826A2">
        <w:rPr>
          <w:rFonts w:ascii="Open Sans" w:hAnsi="Open Sans" w:cs="Open Sans"/>
          <w:sz w:val="20"/>
          <w:highlight w:val="lightGray"/>
        </w:rPr>
        <w:t>/-ih</w:t>
      </w:r>
      <w:r w:rsidR="00ED3EB4">
        <w:rPr>
          <w:rFonts w:ascii="Open Sans" w:hAnsi="Open Sans" w:cs="Open Sans"/>
          <w:sz w:val="20"/>
          <w:highlight w:val="lightGray"/>
        </w:rPr>
        <w:t xml:space="preserve"> </w:t>
      </w:r>
      <w:r w:rsidR="001F45CF" w:rsidRPr="004826A2">
        <w:rPr>
          <w:rFonts w:ascii="Open Sans" w:hAnsi="Open Sans" w:cs="Open Sans"/>
          <w:sz w:val="20"/>
          <w:highlight w:val="lightGray"/>
        </w:rPr>
        <w:t>razloga:</w:t>
      </w:r>
      <w:r w:rsidR="001F45CF" w:rsidRPr="004826A2">
        <w:rPr>
          <w:rFonts w:ascii="Open Sans" w:hAnsi="Open Sans" w:cs="Open Sans"/>
          <w:sz w:val="20"/>
          <w:highlight w:val="lightGray"/>
          <w:vertAlign w:val="superscript"/>
        </w:rPr>
        <w:footnoteReference w:id="1"/>
      </w:r>
    </w:p>
    <w:p w14:paraId="1E739A74" w14:textId="77777777"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  <w:r w:rsidRPr="004826A2">
        <w:rPr>
          <w:rFonts w:ascii="Open Sans" w:hAnsi="Open Sans" w:cs="Open Sans"/>
          <w:sz w:val="20"/>
          <w:highlight w:val="lightGray"/>
        </w:rPr>
        <w:t>…</w:t>
      </w:r>
    </w:p>
    <w:p w14:paraId="53F90FDC" w14:textId="77777777"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</w:p>
    <w:p w14:paraId="14E23BD9" w14:textId="77777777"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  <w:r w:rsidRPr="004826A2">
        <w:rPr>
          <w:rFonts w:ascii="Open Sans" w:hAnsi="Open Sans" w:cs="Open Sans"/>
          <w:sz w:val="20"/>
        </w:rPr>
        <w:t>Pobednička</w:t>
      </w:r>
      <w:r w:rsidR="00ED3EB4">
        <w:rPr>
          <w:rFonts w:ascii="Open Sans" w:hAnsi="Open Sans" w:cs="Open Sans"/>
          <w:sz w:val="20"/>
        </w:rPr>
        <w:t xml:space="preserve"> </w:t>
      </w:r>
      <w:r w:rsidRPr="004826A2">
        <w:rPr>
          <w:rFonts w:ascii="Open Sans" w:hAnsi="Open Sans" w:cs="Open Sans"/>
          <w:sz w:val="20"/>
        </w:rPr>
        <w:t xml:space="preserve">ponuda je </w:t>
      </w:r>
      <w:r w:rsidR="006C3427">
        <w:rPr>
          <w:rFonts w:ascii="Open Sans" w:hAnsi="Open Sans" w:cs="Open Sans"/>
          <w:sz w:val="20"/>
        </w:rPr>
        <w:t xml:space="preserve">…  </w:t>
      </w:r>
      <w:r w:rsidRPr="004826A2">
        <w:rPr>
          <w:rFonts w:ascii="Open Sans" w:hAnsi="Open Sans" w:cs="Open Sans"/>
          <w:sz w:val="20"/>
        </w:rPr>
        <w:t>po</w:t>
      </w:r>
      <w:r w:rsidR="006C3427">
        <w:rPr>
          <w:rFonts w:ascii="Open Sans" w:hAnsi="Open Sans" w:cs="Open Sans"/>
          <w:sz w:val="20"/>
        </w:rPr>
        <w:t xml:space="preserve"> </w:t>
      </w:r>
      <w:r w:rsidRPr="004826A2">
        <w:rPr>
          <w:rFonts w:ascii="Open Sans" w:hAnsi="Open Sans" w:cs="Open Sans"/>
          <w:sz w:val="20"/>
        </w:rPr>
        <w:t xml:space="preserve">ceni od </w:t>
      </w:r>
      <w:r w:rsidR="006C3427">
        <w:rPr>
          <w:rFonts w:ascii="Open Sans" w:hAnsi="Open Sans" w:cs="Open Sans"/>
          <w:b/>
          <w:sz w:val="20"/>
        </w:rPr>
        <w:t xml:space="preserve">…. </w:t>
      </w:r>
      <w:r w:rsidR="0039070D" w:rsidRPr="00ED3EB4">
        <w:rPr>
          <w:rFonts w:ascii="Open Sans" w:hAnsi="Open Sans" w:cs="Open Sans"/>
          <w:b/>
          <w:sz w:val="20"/>
        </w:rPr>
        <w:t>RSD</w:t>
      </w:r>
      <w:r w:rsidRPr="00F0002A">
        <w:rPr>
          <w:rFonts w:ascii="Open Sans" w:hAnsi="Open Sans" w:cs="Open Sans"/>
          <w:sz w:val="20"/>
        </w:rPr>
        <w:t>.</w:t>
      </w:r>
    </w:p>
    <w:p w14:paraId="461EADE7" w14:textId="77777777" w:rsidR="004826A2" w:rsidRPr="004826A2" w:rsidRDefault="004826A2" w:rsidP="004669A3">
      <w:pPr>
        <w:ind w:right="679"/>
        <w:jc w:val="both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</w:tblGrid>
      <w:tr w:rsidR="004826A2" w:rsidRPr="004826A2" w14:paraId="63D4C9FC" w14:textId="77777777" w:rsidTr="00ED3EB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0247FE" w14:textId="77777777" w:rsidR="004826A2" w:rsidRPr="004826A2" w:rsidRDefault="004826A2" w:rsidP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  <w:r w:rsidRPr="004826A2">
              <w:rPr>
                <w:rFonts w:ascii="Open Sans" w:hAnsi="Open Sans" w:cs="Open Sans"/>
                <w:sz w:val="20"/>
                <w:lang w:val="en-GB" w:eastAsia="en-GB"/>
              </w:rPr>
              <w:t>Evaluator(i)</w:t>
            </w:r>
            <w:r w:rsidRPr="004826A2">
              <w:rPr>
                <w:rStyle w:val="FootnoteReference"/>
                <w:rFonts w:ascii="Open Sans" w:hAnsi="Open Sans" w:cs="Open Sans"/>
                <w:sz w:val="20"/>
                <w:lang w:val="en-GB" w:eastAsia="en-GB"/>
              </w:rPr>
              <w:footnoteReference w:id="2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0A347" w14:textId="77777777"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  <w:r w:rsidRPr="004826A2">
              <w:rPr>
                <w:rFonts w:ascii="Open Sans" w:hAnsi="Open Sans" w:cs="Open Sans"/>
                <w:sz w:val="20"/>
              </w:rPr>
              <w:t>Potpis</w:t>
            </w:r>
          </w:p>
        </w:tc>
      </w:tr>
      <w:tr w:rsidR="004826A2" w:rsidRPr="004826A2" w14:paraId="1BEE9CB4" w14:textId="77777777" w:rsidTr="00ED3E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7AA" w14:textId="77777777"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DCE8" w14:textId="77777777"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</w:tr>
      <w:tr w:rsidR="004826A2" w:rsidRPr="004826A2" w14:paraId="297F4262" w14:textId="77777777" w:rsidTr="00ED3E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8F0" w14:textId="77777777"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6F8" w14:textId="77777777"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</w:tr>
      <w:tr w:rsidR="00EB27F2" w:rsidRPr="004826A2" w14:paraId="30F31E7C" w14:textId="77777777" w:rsidTr="00ED3E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EB9" w14:textId="77777777" w:rsidR="00EB27F2" w:rsidRPr="004826A2" w:rsidRDefault="00EB27F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FDF" w14:textId="77777777" w:rsidR="00EB27F2" w:rsidRPr="004826A2" w:rsidRDefault="00EB27F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</w:tr>
    </w:tbl>
    <w:p w14:paraId="79E55808" w14:textId="77777777" w:rsidR="008125D5" w:rsidRPr="00854148" w:rsidRDefault="000D7F28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  <w:r w:rsidRPr="00854148">
        <w:br w:type="page"/>
      </w:r>
      <w:r w:rsidRPr="00854148">
        <w:rPr>
          <w:rFonts w:ascii="Open Sans" w:hAnsi="Open Sans"/>
          <w:b/>
          <w:i/>
          <w:sz w:val="20"/>
        </w:rPr>
        <w:lastRenderedPageBreak/>
        <w:t>Vodiči primer za</w:t>
      </w:r>
      <w:r w:rsidR="00ED3EB4">
        <w:rPr>
          <w:rFonts w:ascii="Open Sans" w:hAnsi="Open Sans"/>
          <w:b/>
          <w:i/>
          <w:sz w:val="20"/>
        </w:rPr>
        <w:t xml:space="preserve"> </w:t>
      </w:r>
      <w:r w:rsidRPr="00854148">
        <w:rPr>
          <w:rFonts w:ascii="Open Sans" w:hAnsi="Open Sans"/>
          <w:b/>
          <w:i/>
          <w:sz w:val="20"/>
        </w:rPr>
        <w:t>ocenjivanje</w:t>
      </w:r>
      <w:r w:rsidR="00ED3EB4">
        <w:rPr>
          <w:rFonts w:ascii="Open Sans" w:hAnsi="Open Sans"/>
          <w:b/>
          <w:i/>
          <w:sz w:val="20"/>
        </w:rPr>
        <w:t xml:space="preserve"> </w:t>
      </w:r>
      <w:r w:rsidRPr="00854148">
        <w:rPr>
          <w:rFonts w:ascii="Open Sans" w:hAnsi="Open Sans"/>
          <w:b/>
          <w:i/>
          <w:sz w:val="20"/>
        </w:rPr>
        <w:t>po</w:t>
      </w:r>
      <w:r w:rsidR="00ED3EB4">
        <w:rPr>
          <w:rFonts w:ascii="Open Sans" w:hAnsi="Open Sans"/>
          <w:b/>
          <w:i/>
          <w:sz w:val="20"/>
        </w:rPr>
        <w:t xml:space="preserve"> </w:t>
      </w:r>
      <w:r w:rsidRPr="00854148">
        <w:rPr>
          <w:rFonts w:ascii="Open Sans" w:hAnsi="Open Sans"/>
          <w:b/>
          <w:i/>
          <w:sz w:val="20"/>
        </w:rPr>
        <w:t>principu "najbolji</w:t>
      </w:r>
      <w:r w:rsidR="00ED3EB4">
        <w:rPr>
          <w:rFonts w:ascii="Open Sans" w:hAnsi="Open Sans"/>
          <w:b/>
          <w:i/>
          <w:sz w:val="20"/>
        </w:rPr>
        <w:t xml:space="preserve"> </w:t>
      </w:r>
      <w:r w:rsidRPr="00854148">
        <w:rPr>
          <w:rFonts w:ascii="Open Sans" w:hAnsi="Open Sans"/>
          <w:b/>
          <w:i/>
          <w:sz w:val="20"/>
        </w:rPr>
        <w:t>odnos</w:t>
      </w:r>
      <w:r w:rsidR="00ED3EB4">
        <w:rPr>
          <w:rFonts w:ascii="Open Sans" w:hAnsi="Open Sans"/>
          <w:b/>
          <w:i/>
          <w:sz w:val="20"/>
        </w:rPr>
        <w:t xml:space="preserve"> </w:t>
      </w:r>
      <w:r w:rsidR="00425385">
        <w:rPr>
          <w:rFonts w:ascii="Open Sans" w:hAnsi="Open Sans"/>
          <w:b/>
          <w:i/>
          <w:sz w:val="20"/>
        </w:rPr>
        <w:t>cene</w:t>
      </w:r>
      <w:r w:rsidR="00ED3EB4">
        <w:rPr>
          <w:rFonts w:ascii="Open Sans" w:hAnsi="Open Sans"/>
          <w:b/>
          <w:i/>
          <w:sz w:val="20"/>
        </w:rPr>
        <w:t xml:space="preserve"> I </w:t>
      </w:r>
      <w:r w:rsidR="00425385">
        <w:rPr>
          <w:rFonts w:ascii="Open Sans" w:hAnsi="Open Sans"/>
          <w:b/>
          <w:i/>
          <w:sz w:val="20"/>
        </w:rPr>
        <w:t>kvaliteta</w:t>
      </w:r>
      <w:r w:rsidRPr="00854148">
        <w:rPr>
          <w:rFonts w:ascii="Open Sans" w:hAnsi="Open Sans"/>
          <w:b/>
          <w:i/>
          <w:sz w:val="20"/>
        </w:rPr>
        <w:t>"</w:t>
      </w:r>
    </w:p>
    <w:p w14:paraId="6E6F14B4" w14:textId="77777777" w:rsidR="00B5002E" w:rsidRPr="00854148" w:rsidRDefault="00B5002E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</w:p>
    <w:p w14:paraId="367A2983" w14:textId="77777777" w:rsidR="00530D2E" w:rsidRPr="00854148" w:rsidRDefault="00E40223" w:rsidP="000D7F28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Tehnička</w:t>
      </w:r>
      <w:r w:rsidR="00ED3EB4">
        <w:rPr>
          <w:rFonts w:ascii="Open Sans" w:hAnsi="Open Sans"/>
          <w:b/>
          <w:sz w:val="16"/>
          <w:u w:val="single"/>
        </w:rPr>
        <w:t xml:space="preserve"> </w:t>
      </w:r>
      <w:r w:rsidRPr="00854148">
        <w:rPr>
          <w:rFonts w:ascii="Open Sans" w:hAnsi="Open Sans"/>
          <w:b/>
          <w:sz w:val="16"/>
          <w:u w:val="single"/>
        </w:rPr>
        <w:t>ocena</w:t>
      </w:r>
    </w:p>
    <w:p w14:paraId="079764A1" w14:textId="77777777" w:rsidR="00E40223" w:rsidRPr="00854148" w:rsidRDefault="00E40223" w:rsidP="000D7F28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14:paraId="55FC2664" w14:textId="77777777" w:rsidR="00530D2E" w:rsidRPr="00854148" w:rsidRDefault="00530D2E" w:rsidP="002215D4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Kada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evaluacion</w:t>
      </w:r>
      <w:r w:rsidR="00425385">
        <w:rPr>
          <w:rFonts w:ascii="Open Sans" w:hAnsi="Open Sans"/>
          <w:sz w:val="16"/>
        </w:rPr>
        <w:t>a</w:t>
      </w:r>
      <w:r w:rsidR="00ED3EB4">
        <w:rPr>
          <w:rFonts w:ascii="Open Sans" w:hAnsi="Open Sans"/>
          <w:sz w:val="16"/>
        </w:rPr>
        <w:t xml:space="preserve"> </w:t>
      </w:r>
      <w:r w:rsidR="00425385">
        <w:rPr>
          <w:rFonts w:ascii="Open Sans" w:hAnsi="Open Sans"/>
          <w:sz w:val="16"/>
        </w:rPr>
        <w:t>komisija</w:t>
      </w:r>
      <w:r w:rsidR="00ED3EB4">
        <w:rPr>
          <w:rFonts w:ascii="Open Sans" w:hAnsi="Open Sans"/>
          <w:sz w:val="16"/>
        </w:rPr>
        <w:t xml:space="preserve"> </w:t>
      </w:r>
      <w:r w:rsidR="00425385">
        <w:rPr>
          <w:rFonts w:ascii="Open Sans" w:hAnsi="Open Sans"/>
          <w:sz w:val="16"/>
        </w:rPr>
        <w:t>za</w:t>
      </w:r>
      <w:r w:rsidR="00ED3EB4">
        <w:rPr>
          <w:rFonts w:ascii="Open Sans" w:hAnsi="Open Sans"/>
          <w:sz w:val="16"/>
        </w:rPr>
        <w:t xml:space="preserve"> </w:t>
      </w:r>
      <w:r w:rsidR="00425385">
        <w:rPr>
          <w:rFonts w:ascii="Open Sans" w:hAnsi="Open Sans"/>
          <w:sz w:val="16"/>
        </w:rPr>
        <w:t>svaku</w:t>
      </w:r>
      <w:r w:rsidR="00ED3EB4">
        <w:rPr>
          <w:rFonts w:ascii="Open Sans" w:hAnsi="Open Sans"/>
          <w:sz w:val="16"/>
        </w:rPr>
        <w:t xml:space="preserve"> </w:t>
      </w:r>
      <w:r w:rsidR="00425385">
        <w:rPr>
          <w:rFonts w:ascii="Open Sans" w:hAnsi="Open Sans"/>
          <w:sz w:val="16"/>
        </w:rPr>
        <w:t>tehničku</w:t>
      </w:r>
      <w:r w:rsidR="00ED3EB4">
        <w:rPr>
          <w:rFonts w:ascii="Open Sans" w:hAnsi="Open Sans"/>
          <w:sz w:val="16"/>
        </w:rPr>
        <w:t xml:space="preserve"> </w:t>
      </w:r>
      <w:r w:rsidR="00425385">
        <w:rPr>
          <w:rFonts w:ascii="Open Sans" w:hAnsi="Open Sans"/>
          <w:sz w:val="16"/>
        </w:rPr>
        <w:t>ponudu</w:t>
      </w:r>
      <w:r w:rsidR="00ED3EB4">
        <w:rPr>
          <w:rFonts w:ascii="Open Sans" w:hAnsi="Open Sans"/>
          <w:sz w:val="16"/>
        </w:rPr>
        <w:t xml:space="preserve"> </w:t>
      </w:r>
      <w:r w:rsidR="00425385">
        <w:rPr>
          <w:rFonts w:ascii="Open Sans" w:hAnsi="Open Sans"/>
          <w:sz w:val="16"/>
        </w:rPr>
        <w:t>utvrdi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prosečnu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ocenu (matematički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prosek</w:t>
      </w:r>
      <w:r w:rsidR="00ED3EB4">
        <w:rPr>
          <w:rFonts w:ascii="Open Sans" w:hAnsi="Open Sans"/>
          <w:sz w:val="16"/>
        </w:rPr>
        <w:t xml:space="preserve"> </w:t>
      </w:r>
      <w:r w:rsidR="00251893">
        <w:rPr>
          <w:rFonts w:ascii="Open Sans" w:hAnsi="Open Sans"/>
          <w:sz w:val="16"/>
        </w:rPr>
        <w:t>konačnih</w:t>
      </w:r>
      <w:r w:rsidR="00ED3EB4">
        <w:rPr>
          <w:rFonts w:ascii="Open Sans" w:hAnsi="Open Sans"/>
          <w:sz w:val="16"/>
        </w:rPr>
        <w:t xml:space="preserve"> ocean </w:t>
      </w:r>
      <w:r w:rsidRPr="00854148">
        <w:rPr>
          <w:rFonts w:ascii="Open Sans" w:hAnsi="Open Sans"/>
          <w:sz w:val="16"/>
        </w:rPr>
        <w:t>koje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su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dodelili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svi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članovi</w:t>
      </w:r>
      <w:r w:rsidR="00ED3EB4">
        <w:rPr>
          <w:rFonts w:ascii="Open Sans" w:hAnsi="Open Sans"/>
          <w:sz w:val="16"/>
        </w:rPr>
        <w:t xml:space="preserve"> </w:t>
      </w:r>
      <w:r w:rsidR="00251893">
        <w:rPr>
          <w:rFonts w:ascii="Open Sans" w:hAnsi="Open Sans"/>
          <w:sz w:val="16"/>
        </w:rPr>
        <w:t>evaluacione</w:t>
      </w:r>
      <w:r w:rsidR="00ED3EB4">
        <w:rPr>
          <w:rFonts w:ascii="Open Sans" w:hAnsi="Open Sans"/>
          <w:sz w:val="16"/>
        </w:rPr>
        <w:t xml:space="preserve"> </w:t>
      </w:r>
      <w:r w:rsidR="00251893">
        <w:rPr>
          <w:rFonts w:ascii="Open Sans" w:hAnsi="Open Sans"/>
          <w:sz w:val="16"/>
        </w:rPr>
        <w:t>komisije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sa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pravom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glasa), sv</w:t>
      </w:r>
      <w:r w:rsidR="00251893">
        <w:rPr>
          <w:rFonts w:ascii="Open Sans" w:hAnsi="Open Sans"/>
          <w:sz w:val="16"/>
        </w:rPr>
        <w:t>e</w:t>
      </w:r>
      <w:r w:rsidR="00ED3EB4">
        <w:rPr>
          <w:rFonts w:ascii="Open Sans" w:hAnsi="Open Sans"/>
          <w:sz w:val="16"/>
        </w:rPr>
        <w:t xml:space="preserve"> </w:t>
      </w:r>
      <w:r w:rsidR="00251893">
        <w:rPr>
          <w:rFonts w:ascii="Open Sans" w:hAnsi="Open Sans"/>
          <w:sz w:val="16"/>
        </w:rPr>
        <w:t>ponude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koji</w:t>
      </w:r>
      <w:r w:rsidR="00251893">
        <w:rPr>
          <w:rFonts w:ascii="Open Sans" w:hAnsi="Open Sans"/>
          <w:sz w:val="16"/>
        </w:rPr>
        <w:t xml:space="preserve">e ne ispunjavaju minimum </w:t>
      </w:r>
      <w:r w:rsidRPr="00854148">
        <w:rPr>
          <w:rFonts w:ascii="Open Sans" w:hAnsi="Open Sans"/>
          <w:sz w:val="16"/>
        </w:rPr>
        <w:t>od 75 poena</w:t>
      </w:r>
      <w:r w:rsidR="00ED3EB4">
        <w:rPr>
          <w:rFonts w:ascii="Open Sans" w:hAnsi="Open Sans"/>
          <w:sz w:val="16"/>
        </w:rPr>
        <w:t xml:space="preserve"> </w:t>
      </w:r>
      <w:r w:rsidR="00251893">
        <w:rPr>
          <w:rFonts w:ascii="Open Sans" w:hAnsi="Open Sans"/>
          <w:sz w:val="16"/>
        </w:rPr>
        <w:t>biće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automatski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odbijen</w:t>
      </w:r>
      <w:r w:rsidR="00251893">
        <w:rPr>
          <w:rFonts w:ascii="Open Sans" w:hAnsi="Open Sans"/>
          <w:sz w:val="16"/>
        </w:rPr>
        <w:t>e</w:t>
      </w:r>
      <w:r w:rsidRPr="00854148">
        <w:rPr>
          <w:rFonts w:ascii="Open Sans" w:hAnsi="Open Sans"/>
          <w:sz w:val="16"/>
        </w:rPr>
        <w:t xml:space="preserve">.  </w:t>
      </w:r>
      <w:r w:rsidR="002215D4" w:rsidRPr="002215D4">
        <w:rPr>
          <w:rFonts w:ascii="Open Sans" w:hAnsi="Open Sans"/>
          <w:i/>
          <w:sz w:val="16"/>
        </w:rPr>
        <w:t>Napominjemo da nije</w:t>
      </w:r>
      <w:r w:rsidR="00ED3EB4">
        <w:rPr>
          <w:rFonts w:ascii="Open Sans" w:hAnsi="Open Sans"/>
          <w:i/>
          <w:sz w:val="16"/>
        </w:rPr>
        <w:t xml:space="preserve"> </w:t>
      </w:r>
      <w:r w:rsidR="002215D4" w:rsidRPr="002215D4">
        <w:rPr>
          <w:rFonts w:ascii="Open Sans" w:hAnsi="Open Sans"/>
          <w:i/>
          <w:sz w:val="16"/>
        </w:rPr>
        <w:t>obavezno</w:t>
      </w:r>
      <w:r w:rsidR="00ED3EB4">
        <w:rPr>
          <w:rFonts w:ascii="Open Sans" w:hAnsi="Open Sans"/>
          <w:i/>
          <w:sz w:val="16"/>
        </w:rPr>
        <w:t xml:space="preserve"> </w:t>
      </w:r>
      <w:r w:rsidR="002215D4" w:rsidRPr="002215D4">
        <w:rPr>
          <w:rFonts w:ascii="Open Sans" w:hAnsi="Open Sans"/>
          <w:i/>
          <w:sz w:val="16"/>
        </w:rPr>
        <w:t>formirati</w:t>
      </w:r>
      <w:r w:rsidR="00ED3EB4">
        <w:rPr>
          <w:rFonts w:ascii="Open Sans" w:hAnsi="Open Sans"/>
          <w:i/>
          <w:sz w:val="16"/>
        </w:rPr>
        <w:t xml:space="preserve"> </w:t>
      </w:r>
      <w:r w:rsidR="002215D4" w:rsidRPr="002215D4">
        <w:rPr>
          <w:rFonts w:ascii="Open Sans" w:hAnsi="Open Sans"/>
          <w:i/>
          <w:sz w:val="16"/>
        </w:rPr>
        <w:t>komisiju</w:t>
      </w:r>
      <w:r w:rsidR="00ED3EB4">
        <w:rPr>
          <w:rFonts w:ascii="Open Sans" w:hAnsi="Open Sans"/>
          <w:i/>
          <w:sz w:val="16"/>
        </w:rPr>
        <w:t xml:space="preserve"> </w:t>
      </w:r>
      <w:r w:rsidR="002215D4" w:rsidRPr="002215D4">
        <w:rPr>
          <w:rFonts w:ascii="Open Sans" w:hAnsi="Open Sans"/>
          <w:i/>
          <w:sz w:val="16"/>
        </w:rPr>
        <w:t>za</w:t>
      </w:r>
      <w:r w:rsidR="00ED3EB4">
        <w:rPr>
          <w:rFonts w:ascii="Open Sans" w:hAnsi="Open Sans"/>
          <w:i/>
          <w:sz w:val="16"/>
        </w:rPr>
        <w:t xml:space="preserve"> </w:t>
      </w:r>
      <w:r w:rsidR="002215D4" w:rsidRPr="002215D4">
        <w:rPr>
          <w:rFonts w:ascii="Open Sans" w:hAnsi="Open Sans"/>
          <w:i/>
          <w:sz w:val="16"/>
        </w:rPr>
        <w:t>ocenjivanje (evaluacije). Evaluaciju</w:t>
      </w:r>
      <w:r w:rsidR="00ED3EB4">
        <w:rPr>
          <w:rFonts w:ascii="Open Sans" w:hAnsi="Open Sans"/>
          <w:i/>
          <w:sz w:val="16"/>
        </w:rPr>
        <w:t xml:space="preserve"> </w:t>
      </w:r>
      <w:r w:rsidR="002215D4" w:rsidRPr="002215D4">
        <w:rPr>
          <w:rFonts w:ascii="Open Sans" w:hAnsi="Open Sans"/>
          <w:i/>
          <w:sz w:val="16"/>
        </w:rPr>
        <w:t>može da se sp</w:t>
      </w:r>
      <w:r w:rsidR="00ED3EB4">
        <w:rPr>
          <w:rFonts w:ascii="Open Sans" w:hAnsi="Open Sans"/>
          <w:i/>
          <w:sz w:val="16"/>
        </w:rPr>
        <w:t>r</w:t>
      </w:r>
      <w:r w:rsidR="002215D4" w:rsidRPr="002215D4">
        <w:rPr>
          <w:rFonts w:ascii="Open Sans" w:hAnsi="Open Sans"/>
          <w:i/>
          <w:sz w:val="16"/>
        </w:rPr>
        <w:t>ovodi</w:t>
      </w:r>
      <w:r w:rsidR="00ED3EB4">
        <w:rPr>
          <w:rFonts w:ascii="Open Sans" w:hAnsi="Open Sans"/>
          <w:i/>
          <w:sz w:val="16"/>
        </w:rPr>
        <w:t xml:space="preserve"> </w:t>
      </w:r>
      <w:r w:rsidR="002215D4" w:rsidRPr="002215D4">
        <w:rPr>
          <w:rFonts w:ascii="Open Sans" w:hAnsi="Open Sans"/>
          <w:i/>
          <w:sz w:val="16"/>
        </w:rPr>
        <w:t>jedan evaluator.</w:t>
      </w:r>
    </w:p>
    <w:p w14:paraId="4559A31E" w14:textId="77777777"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14:paraId="1AD3991B" w14:textId="77777777"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Ukoliko</w:t>
      </w:r>
      <w:r w:rsidR="00ED3EB4">
        <w:rPr>
          <w:rFonts w:ascii="Open Sans" w:hAnsi="Open Sans"/>
          <w:sz w:val="16"/>
        </w:rPr>
        <w:t xml:space="preserve"> </w:t>
      </w:r>
      <w:r w:rsidR="00251893">
        <w:rPr>
          <w:rFonts w:ascii="Open Sans" w:hAnsi="Open Sans"/>
          <w:sz w:val="16"/>
        </w:rPr>
        <w:t>nijedna</w:t>
      </w:r>
      <w:r w:rsidR="00ED3EB4">
        <w:rPr>
          <w:rFonts w:ascii="Open Sans" w:hAnsi="Open Sans"/>
          <w:sz w:val="16"/>
        </w:rPr>
        <w:t xml:space="preserve"> </w:t>
      </w:r>
      <w:r w:rsidR="00251893">
        <w:rPr>
          <w:rFonts w:ascii="Open Sans" w:hAnsi="Open Sans"/>
          <w:sz w:val="16"/>
        </w:rPr>
        <w:t>ponuda ne ispuni minimum od</w:t>
      </w:r>
      <w:r w:rsidRPr="00854148">
        <w:rPr>
          <w:rFonts w:ascii="Open Sans" w:hAnsi="Open Sans"/>
          <w:sz w:val="16"/>
        </w:rPr>
        <w:t xml:space="preserve"> 75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ili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više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poena, tenderska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procedura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će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biti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 xml:space="preserve">poništena. </w:t>
      </w:r>
    </w:p>
    <w:p w14:paraId="42A5672B" w14:textId="77777777"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14:paraId="5E73A59A" w14:textId="77777777"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Od </w:t>
      </w:r>
      <w:r w:rsidR="00251893">
        <w:rPr>
          <w:rFonts w:ascii="Open Sans" w:hAnsi="Open Sans"/>
          <w:sz w:val="16"/>
        </w:rPr>
        <w:t>ponuda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koj</w:t>
      </w:r>
      <w:r w:rsidR="00251893">
        <w:rPr>
          <w:rFonts w:ascii="Open Sans" w:hAnsi="Open Sans"/>
          <w:sz w:val="16"/>
        </w:rPr>
        <w:t>e</w:t>
      </w:r>
      <w:r w:rsidR="00ED3EB4">
        <w:rPr>
          <w:rFonts w:ascii="Open Sans" w:hAnsi="Open Sans"/>
          <w:sz w:val="16"/>
        </w:rPr>
        <w:t xml:space="preserve"> </w:t>
      </w:r>
      <w:r w:rsidR="00251893">
        <w:rPr>
          <w:rFonts w:ascii="Open Sans" w:hAnsi="Open Sans"/>
          <w:sz w:val="16"/>
        </w:rPr>
        <w:t>ispunjavaju minimum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od 75 poena, ono</w:t>
      </w:r>
      <w:r w:rsidR="00251893">
        <w:rPr>
          <w:rFonts w:ascii="Open Sans" w:hAnsi="Open Sans"/>
          <w:sz w:val="16"/>
        </w:rPr>
        <w:t>j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sa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najboljom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tehničkom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ponudom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će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biti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 xml:space="preserve">dodeljeno 100 poena. </w:t>
      </w:r>
    </w:p>
    <w:p w14:paraId="15A4DBA4" w14:textId="77777777"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14:paraId="708ADC1F" w14:textId="77777777"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Ostal</w:t>
      </w:r>
      <w:r w:rsidR="00251893">
        <w:rPr>
          <w:rFonts w:ascii="Open Sans" w:hAnsi="Open Sans"/>
          <w:sz w:val="16"/>
        </w:rPr>
        <w:t>e</w:t>
      </w:r>
      <w:r w:rsidR="00ED3EB4">
        <w:rPr>
          <w:rFonts w:ascii="Open Sans" w:hAnsi="Open Sans"/>
          <w:sz w:val="16"/>
        </w:rPr>
        <w:t xml:space="preserve"> </w:t>
      </w:r>
      <w:r w:rsidR="00251893">
        <w:rPr>
          <w:rFonts w:ascii="Open Sans" w:hAnsi="Open Sans"/>
          <w:sz w:val="16"/>
        </w:rPr>
        <w:t>ponude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će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dobiti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poene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koji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će se obračunavati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po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sledećoj</w:t>
      </w:r>
      <w:r w:rsidR="00ED3EB4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 xml:space="preserve">formuli: </w:t>
      </w:r>
    </w:p>
    <w:p w14:paraId="1A2B7E49" w14:textId="77777777" w:rsidR="00530D2E" w:rsidRPr="00854148" w:rsidRDefault="00530D2E" w:rsidP="00530D2E">
      <w:pPr>
        <w:pStyle w:val="ListParagraph"/>
        <w:rPr>
          <w:rFonts w:ascii="Open Sans" w:hAnsi="Open Sans" w:cs="Open Sans"/>
          <w:sz w:val="16"/>
          <w:szCs w:val="16"/>
        </w:rPr>
      </w:pPr>
    </w:p>
    <w:p w14:paraId="11987516" w14:textId="77777777" w:rsidR="00B5002E" w:rsidRPr="002215D4" w:rsidRDefault="00530D2E" w:rsidP="002215D4">
      <w:pPr>
        <w:keepNext/>
        <w:spacing w:after="120"/>
        <w:ind w:left="720" w:right="-754"/>
        <w:jc w:val="both"/>
        <w:rPr>
          <w:rFonts w:ascii="Open Sans" w:hAnsi="Open Sans" w:cs="Open Sans"/>
          <w:i/>
          <w:sz w:val="16"/>
          <w:szCs w:val="16"/>
        </w:rPr>
      </w:pPr>
      <w:r w:rsidRPr="00854148">
        <w:rPr>
          <w:rFonts w:ascii="Open Sans" w:hAnsi="Open Sans"/>
          <w:i/>
          <w:sz w:val="16"/>
        </w:rPr>
        <w:t>Tehnička</w:t>
      </w:r>
      <w:r w:rsidR="00ED3EB4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ocena = (</w:t>
      </w:r>
      <w:r w:rsidR="00251893">
        <w:rPr>
          <w:rFonts w:ascii="Open Sans" w:hAnsi="Open Sans"/>
          <w:i/>
          <w:sz w:val="16"/>
        </w:rPr>
        <w:t>konačna</w:t>
      </w:r>
      <w:r w:rsidR="00ED3EB4">
        <w:rPr>
          <w:rFonts w:ascii="Open Sans" w:hAnsi="Open Sans"/>
          <w:i/>
          <w:sz w:val="16"/>
        </w:rPr>
        <w:t xml:space="preserve"> ocean </w:t>
      </w:r>
      <w:r w:rsidRPr="00854148">
        <w:rPr>
          <w:rFonts w:ascii="Open Sans" w:hAnsi="Open Sans"/>
          <w:i/>
          <w:sz w:val="16"/>
        </w:rPr>
        <w:t>za</w:t>
      </w:r>
      <w:r w:rsidR="00ED3EB4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relevantnu</w:t>
      </w:r>
      <w:r w:rsidR="00ED3EB4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tehničku</w:t>
      </w:r>
      <w:r w:rsidR="00ED3EB4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ponudu/</w:t>
      </w:r>
      <w:r w:rsidR="00251893">
        <w:rPr>
          <w:rFonts w:ascii="Open Sans" w:hAnsi="Open Sans"/>
          <w:i/>
          <w:sz w:val="16"/>
        </w:rPr>
        <w:t>konačna</w:t>
      </w:r>
      <w:r w:rsidR="00ED3EB4">
        <w:rPr>
          <w:rFonts w:ascii="Open Sans" w:hAnsi="Open Sans"/>
          <w:i/>
          <w:sz w:val="16"/>
        </w:rPr>
        <w:t xml:space="preserve"> ocean </w:t>
      </w:r>
      <w:r w:rsidRPr="00854148">
        <w:rPr>
          <w:rFonts w:ascii="Open Sans" w:hAnsi="Open Sans"/>
          <w:i/>
          <w:sz w:val="16"/>
        </w:rPr>
        <w:t>za</w:t>
      </w:r>
      <w:r w:rsidR="00ED3EB4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najbolju</w:t>
      </w:r>
      <w:r w:rsidR="00ED3EB4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tehničku</w:t>
      </w:r>
      <w:r w:rsidR="00ED3EB4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ponudu) x 100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190"/>
        <w:gridCol w:w="1415"/>
        <w:gridCol w:w="1644"/>
        <w:gridCol w:w="1416"/>
      </w:tblGrid>
      <w:tr w:rsidR="00272716" w:rsidRPr="00854148" w14:paraId="275188E1" w14:textId="77777777" w:rsidTr="00272716">
        <w:tc>
          <w:tcPr>
            <w:tcW w:w="2551" w:type="dxa"/>
            <w:shd w:val="clear" w:color="auto" w:fill="auto"/>
          </w:tcPr>
          <w:p w14:paraId="20D09A2C" w14:textId="77777777" w:rsidR="00530D2E" w:rsidRPr="00854148" w:rsidRDefault="00530D2E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B740E7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Maksimalna</w:t>
            </w:r>
            <w:r w:rsidR="00ED3EB4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moguća</w:t>
            </w:r>
            <w:r w:rsidR="00ED3EB4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ocena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1E396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CC4F37E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E084F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272716" w:rsidRPr="00854148" w14:paraId="78C2977A" w14:textId="77777777" w:rsidTr="00272716">
        <w:tc>
          <w:tcPr>
            <w:tcW w:w="2551" w:type="dxa"/>
            <w:shd w:val="clear" w:color="auto" w:fill="auto"/>
          </w:tcPr>
          <w:p w14:paraId="7DFCF2D5" w14:textId="77777777"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FCC013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18BEA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55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B418950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DC530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</w:t>
            </w:r>
          </w:p>
        </w:tc>
      </w:tr>
      <w:tr w:rsidR="00272716" w:rsidRPr="00854148" w14:paraId="22C2A009" w14:textId="77777777" w:rsidTr="00272716">
        <w:tc>
          <w:tcPr>
            <w:tcW w:w="2551" w:type="dxa"/>
            <w:shd w:val="clear" w:color="auto" w:fill="auto"/>
          </w:tcPr>
          <w:p w14:paraId="5C3A29BE" w14:textId="77777777"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032C5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8873C1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60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CCD71D5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4AD21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82</w:t>
            </w:r>
          </w:p>
        </w:tc>
      </w:tr>
      <w:tr w:rsidR="00272716" w:rsidRPr="00854148" w14:paraId="03B55711" w14:textId="77777777" w:rsidTr="00272716">
        <w:tc>
          <w:tcPr>
            <w:tcW w:w="2551" w:type="dxa"/>
            <w:shd w:val="clear" w:color="auto" w:fill="auto"/>
          </w:tcPr>
          <w:p w14:paraId="1F8232F7" w14:textId="77777777"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A0253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806C4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59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DD8542A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18342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90</w:t>
            </w:r>
          </w:p>
        </w:tc>
      </w:tr>
      <w:tr w:rsidR="00272716" w:rsidRPr="00854148" w14:paraId="6675A54A" w14:textId="77777777" w:rsidTr="00272716">
        <w:tc>
          <w:tcPr>
            <w:tcW w:w="2551" w:type="dxa"/>
            <w:shd w:val="clear" w:color="auto" w:fill="auto"/>
          </w:tcPr>
          <w:p w14:paraId="5ED9E3B7" w14:textId="77777777"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Ukupno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1DAB0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2F91C4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174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DF7E165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ECDB0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256</w:t>
            </w:r>
          </w:p>
        </w:tc>
      </w:tr>
      <w:tr w:rsidR="00272716" w:rsidRPr="00854148" w14:paraId="395F11E1" w14:textId="77777777" w:rsidTr="00272716">
        <w:tc>
          <w:tcPr>
            <w:tcW w:w="2551" w:type="dxa"/>
            <w:shd w:val="clear" w:color="auto" w:fill="auto"/>
          </w:tcPr>
          <w:p w14:paraId="4A52E53E" w14:textId="77777777" w:rsidR="00530D2E" w:rsidRPr="00854148" w:rsidRDefault="00530D2E" w:rsidP="00272716">
            <w:pPr>
              <w:ind w:right="57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Prosečna</w:t>
            </w:r>
            <w:r w:rsidR="00ED3EB4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ocena (matematičk</w:t>
            </w:r>
            <w:r w:rsidR="00ED3EB4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iprosek)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161CC" w14:textId="77777777" w:rsidR="00530D2E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81CCFE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174/3 = 58,00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CA1E5BE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254/3=84,67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F79013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256/3=85,33</w:t>
            </w:r>
          </w:p>
        </w:tc>
      </w:tr>
      <w:tr w:rsidR="00272716" w:rsidRPr="00854148" w14:paraId="563BC54B" w14:textId="77777777" w:rsidTr="00272716">
        <w:tc>
          <w:tcPr>
            <w:tcW w:w="2551" w:type="dxa"/>
            <w:shd w:val="clear" w:color="auto" w:fill="auto"/>
          </w:tcPr>
          <w:p w14:paraId="0F3DAA93" w14:textId="77777777" w:rsidR="00530D2E" w:rsidRPr="00854148" w:rsidRDefault="00530D2E" w:rsidP="00965740">
            <w:pPr>
              <w:tabs>
                <w:tab w:val="left" w:pos="1560"/>
              </w:tabs>
              <w:ind w:right="115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Tehnička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ocena (</w:t>
            </w:r>
            <w:r w:rsidR="00965740">
              <w:rPr>
                <w:rFonts w:ascii="Open Sans" w:hAnsi="Open Sans"/>
                <w:sz w:val="18"/>
              </w:rPr>
              <w:t>konačni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="00965740">
              <w:rPr>
                <w:rFonts w:ascii="Open Sans" w:hAnsi="Open Sans"/>
                <w:sz w:val="18"/>
              </w:rPr>
              <w:t>rezultat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="00965740">
              <w:rPr>
                <w:rFonts w:ascii="Open Sans" w:hAnsi="Open Sans"/>
                <w:sz w:val="18"/>
              </w:rPr>
              <w:t>ponude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="00965740">
              <w:rPr>
                <w:rFonts w:ascii="Open Sans" w:hAnsi="Open Sans"/>
                <w:sz w:val="18"/>
              </w:rPr>
              <w:t>koja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="00CE3D02">
              <w:rPr>
                <w:rFonts w:ascii="Open Sans" w:hAnsi="Open Sans"/>
                <w:sz w:val="18"/>
              </w:rPr>
              <w:t>se razmatra</w:t>
            </w:r>
            <w:r w:rsidRPr="00965740">
              <w:rPr>
                <w:rFonts w:ascii="Open Sans" w:hAnsi="Open Sans"/>
                <w:sz w:val="18"/>
              </w:rPr>
              <w:t>/</w:t>
            </w:r>
            <w:r w:rsidR="00965740" w:rsidRPr="00400180">
              <w:rPr>
                <w:rFonts w:ascii="Open Sans" w:hAnsi="Open Sans"/>
                <w:sz w:val="18"/>
              </w:rPr>
              <w:t>konačni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="00965740" w:rsidRPr="00400180">
              <w:rPr>
                <w:rFonts w:ascii="Open Sans" w:hAnsi="Open Sans"/>
                <w:sz w:val="18"/>
              </w:rPr>
              <w:t>rezultat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="00965740" w:rsidRPr="00400180">
              <w:rPr>
                <w:rFonts w:ascii="Open Sans" w:hAnsi="Open Sans"/>
                <w:sz w:val="18"/>
              </w:rPr>
              <w:t>najbolje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="00965740" w:rsidRPr="00400180">
              <w:rPr>
                <w:rFonts w:ascii="Open Sans" w:hAnsi="Open Sans"/>
                <w:sz w:val="18"/>
              </w:rPr>
              <w:t>tehničke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="00965740" w:rsidRPr="00400180">
              <w:rPr>
                <w:rFonts w:ascii="Open Sans" w:hAnsi="Open Sans"/>
                <w:sz w:val="18"/>
              </w:rPr>
              <w:t>ponude</w:t>
            </w:r>
            <w:r w:rsidRPr="00965740">
              <w:rPr>
                <w:rFonts w:ascii="Open Sans" w:hAnsi="Open Sans"/>
                <w:sz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587F8" w14:textId="77777777" w:rsidR="00530D2E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FE0244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Eliminisani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2A9EE59" w14:textId="77777777" w:rsidR="00E40223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84,67/85,33x100</w:t>
            </w:r>
          </w:p>
          <w:p w14:paraId="7C29D213" w14:textId="77777777" w:rsidR="00530D2E" w:rsidRPr="00854148" w:rsidRDefault="00E40223" w:rsidP="001E522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=</w:t>
            </w:r>
            <w:r w:rsidRPr="00854148">
              <w:rPr>
                <w:rFonts w:ascii="Open Sans" w:hAnsi="Open Sans"/>
                <w:b/>
                <w:sz w:val="18"/>
              </w:rPr>
              <w:t>9</w:t>
            </w:r>
            <w:r w:rsidR="001E5226">
              <w:rPr>
                <w:rFonts w:ascii="Open Sans" w:hAnsi="Open Sans"/>
                <w:b/>
                <w:sz w:val="18"/>
              </w:rPr>
              <w:t>9</w:t>
            </w:r>
            <w:r w:rsidRPr="00854148">
              <w:rPr>
                <w:rFonts w:ascii="Open Sans" w:hAnsi="Open Sans"/>
                <w:b/>
                <w:sz w:val="18"/>
              </w:rPr>
              <w:t>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6D2BF2" w14:textId="77777777"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100,00</w:t>
            </w:r>
          </w:p>
        </w:tc>
      </w:tr>
    </w:tbl>
    <w:p w14:paraId="4E0CBB1E" w14:textId="77777777" w:rsidR="00530D2E" w:rsidRPr="00854148" w:rsidRDefault="00530D2E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</w:p>
    <w:p w14:paraId="597344D0" w14:textId="77777777"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Finansijska</w:t>
      </w:r>
      <w:r w:rsidR="006C1026">
        <w:rPr>
          <w:rFonts w:ascii="Open Sans" w:hAnsi="Open Sans"/>
          <w:b/>
          <w:sz w:val="16"/>
          <w:u w:val="single"/>
        </w:rPr>
        <w:t xml:space="preserve"> </w:t>
      </w:r>
      <w:r w:rsidRPr="00854148">
        <w:rPr>
          <w:rFonts w:ascii="Open Sans" w:hAnsi="Open Sans"/>
          <w:b/>
          <w:sz w:val="16"/>
          <w:u w:val="single"/>
        </w:rPr>
        <w:t>ocena</w:t>
      </w:r>
    </w:p>
    <w:p w14:paraId="3623D460" w14:textId="77777777" w:rsidR="00E40223" w:rsidRPr="00854148" w:rsidRDefault="00E40223" w:rsidP="002215D4">
      <w:pPr>
        <w:keepNext/>
        <w:numPr>
          <w:ilvl w:val="0"/>
          <w:numId w:val="35"/>
        </w:numPr>
        <w:spacing w:before="120"/>
        <w:ind w:left="714" w:right="-754" w:hanging="357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U slučaju da ponude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budu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podnesene u valuti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koja</w:t>
      </w:r>
      <w:r w:rsidR="006C1026">
        <w:rPr>
          <w:rFonts w:ascii="Open Sans" w:hAnsi="Open Sans"/>
          <w:sz w:val="16"/>
        </w:rPr>
        <w:t xml:space="preserve"> </w:t>
      </w:r>
      <w:r w:rsidR="00965740">
        <w:rPr>
          <w:rFonts w:ascii="Open Sans" w:hAnsi="Open Sans"/>
          <w:sz w:val="16"/>
        </w:rPr>
        <w:t>se razlikuje</w:t>
      </w:r>
      <w:r w:rsidR="006C1026">
        <w:rPr>
          <w:rFonts w:ascii="Open Sans" w:hAnsi="Open Sans"/>
          <w:sz w:val="16"/>
        </w:rPr>
        <w:t xml:space="preserve"> </w:t>
      </w:r>
      <w:r w:rsidR="00965740">
        <w:rPr>
          <w:rFonts w:ascii="Open Sans" w:hAnsi="Open Sans"/>
          <w:sz w:val="16"/>
        </w:rPr>
        <w:t>od</w:t>
      </w:r>
      <w:r w:rsidR="006C1026">
        <w:rPr>
          <w:rFonts w:ascii="Open Sans" w:hAnsi="Open Sans"/>
          <w:sz w:val="16"/>
        </w:rPr>
        <w:t xml:space="preserve"> </w:t>
      </w:r>
      <w:r w:rsidR="00965740">
        <w:rPr>
          <w:rFonts w:ascii="Open Sans" w:hAnsi="Open Sans"/>
          <w:sz w:val="16"/>
        </w:rPr>
        <w:t>valute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kojom je određen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maksimalni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raspoloživi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budžet,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definisan u tački 3 Zahteva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za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 xml:space="preserve">ponudama, </w:t>
      </w:r>
      <w:r w:rsidR="00965740">
        <w:rPr>
          <w:rFonts w:ascii="Open Sans" w:hAnsi="Open Sans"/>
          <w:sz w:val="16"/>
        </w:rPr>
        <w:t>biće</w:t>
      </w:r>
      <w:r w:rsidR="006C1026">
        <w:rPr>
          <w:rFonts w:ascii="Open Sans" w:hAnsi="Open Sans"/>
          <w:sz w:val="16"/>
        </w:rPr>
        <w:t xml:space="preserve"> </w:t>
      </w:r>
      <w:r w:rsidR="00965740">
        <w:rPr>
          <w:rFonts w:ascii="Open Sans" w:hAnsi="Open Sans"/>
          <w:sz w:val="16"/>
        </w:rPr>
        <w:t>korišćen</w:t>
      </w:r>
      <w:r w:rsidR="006C1026">
        <w:rPr>
          <w:rFonts w:ascii="Open Sans" w:hAnsi="Open Sans"/>
          <w:sz w:val="16"/>
        </w:rPr>
        <w:t xml:space="preserve"> </w:t>
      </w:r>
      <w:r w:rsidR="00965740" w:rsidRPr="00854148">
        <w:rPr>
          <w:rFonts w:ascii="Open Sans" w:hAnsi="Open Sans"/>
          <w:sz w:val="16"/>
        </w:rPr>
        <w:t>InforEuro</w:t>
      </w:r>
      <w:r w:rsidR="006C1026">
        <w:rPr>
          <w:rFonts w:ascii="Open Sans" w:hAnsi="Open Sans"/>
          <w:sz w:val="16"/>
        </w:rPr>
        <w:t xml:space="preserve"> </w:t>
      </w:r>
      <w:r w:rsidR="00965740" w:rsidRPr="00854148">
        <w:rPr>
          <w:rFonts w:ascii="Open Sans" w:hAnsi="Open Sans"/>
          <w:sz w:val="16"/>
        </w:rPr>
        <w:t>kurs</w:t>
      </w:r>
      <w:r w:rsidR="006C1026">
        <w:rPr>
          <w:rFonts w:ascii="Open Sans" w:hAnsi="Open Sans"/>
          <w:sz w:val="16"/>
        </w:rPr>
        <w:t xml:space="preserve"> </w:t>
      </w:r>
      <w:r w:rsidR="00965740" w:rsidRPr="00854148">
        <w:rPr>
          <w:rFonts w:ascii="Open Sans" w:hAnsi="Open Sans"/>
          <w:sz w:val="16"/>
        </w:rPr>
        <w:t>za</w:t>
      </w:r>
      <w:r w:rsidR="006C1026">
        <w:rPr>
          <w:rFonts w:ascii="Open Sans" w:hAnsi="Open Sans"/>
          <w:sz w:val="16"/>
        </w:rPr>
        <w:t xml:space="preserve"> </w:t>
      </w:r>
      <w:r w:rsidR="00965740" w:rsidRPr="00854148">
        <w:rPr>
          <w:rFonts w:ascii="Open Sans" w:hAnsi="Open Sans"/>
          <w:sz w:val="16"/>
        </w:rPr>
        <w:t>mesec</w:t>
      </w:r>
      <w:r w:rsidR="0074201E">
        <w:rPr>
          <w:rFonts w:ascii="Open Sans" w:hAnsi="Open Sans"/>
          <w:sz w:val="16"/>
        </w:rPr>
        <w:t>u kom</w:t>
      </w:r>
      <w:r w:rsidR="00965740" w:rsidRPr="00854148">
        <w:rPr>
          <w:rFonts w:ascii="Open Sans" w:hAnsi="Open Sans"/>
          <w:sz w:val="16"/>
        </w:rPr>
        <w:t xml:space="preserve"> je tender</w:t>
      </w:r>
      <w:r w:rsidR="0074201E">
        <w:rPr>
          <w:rFonts w:ascii="Open Sans" w:hAnsi="Open Sans"/>
          <w:sz w:val="16"/>
        </w:rPr>
        <w:t>ska</w:t>
      </w:r>
      <w:r w:rsidR="006C1026">
        <w:rPr>
          <w:rFonts w:ascii="Open Sans" w:hAnsi="Open Sans"/>
          <w:sz w:val="16"/>
        </w:rPr>
        <w:t xml:space="preserve"> </w:t>
      </w:r>
      <w:r w:rsidR="0074201E">
        <w:rPr>
          <w:rFonts w:ascii="Open Sans" w:hAnsi="Open Sans"/>
          <w:sz w:val="16"/>
        </w:rPr>
        <w:t>procedura</w:t>
      </w:r>
      <w:r w:rsidR="006C1026">
        <w:rPr>
          <w:rFonts w:ascii="Open Sans" w:hAnsi="Open Sans"/>
          <w:sz w:val="16"/>
        </w:rPr>
        <w:t xml:space="preserve"> </w:t>
      </w:r>
      <w:r w:rsidR="0074201E">
        <w:rPr>
          <w:rFonts w:ascii="Open Sans" w:hAnsi="Open Sans"/>
          <w:sz w:val="16"/>
        </w:rPr>
        <w:t>raspisana</w:t>
      </w:r>
      <w:r w:rsidR="00965740">
        <w:rPr>
          <w:rFonts w:ascii="Open Sans" w:hAnsi="Open Sans"/>
          <w:sz w:val="16"/>
        </w:rPr>
        <w:t>, kojim</w:t>
      </w:r>
      <w:r w:rsidR="006C1026">
        <w:rPr>
          <w:rFonts w:ascii="Open Sans" w:hAnsi="Open Sans"/>
          <w:sz w:val="16"/>
        </w:rPr>
        <w:t xml:space="preserve"> </w:t>
      </w:r>
      <w:r w:rsidR="00965740">
        <w:rPr>
          <w:rFonts w:ascii="Open Sans" w:hAnsi="Open Sans"/>
          <w:sz w:val="16"/>
        </w:rPr>
        <w:t xml:space="preserve">će se </w:t>
      </w:r>
      <w:r w:rsidRPr="00854148">
        <w:rPr>
          <w:rFonts w:ascii="Open Sans" w:hAnsi="Open Sans"/>
          <w:sz w:val="16"/>
        </w:rPr>
        <w:t>prover</w:t>
      </w:r>
      <w:r w:rsidR="00965740">
        <w:rPr>
          <w:rFonts w:ascii="Open Sans" w:hAnsi="Open Sans"/>
          <w:sz w:val="16"/>
        </w:rPr>
        <w:t>avati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finansijsk</w:t>
      </w:r>
      <w:r w:rsidR="00965740">
        <w:rPr>
          <w:rFonts w:ascii="Open Sans" w:hAnsi="Open Sans"/>
          <w:sz w:val="16"/>
        </w:rPr>
        <w:t>a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usklađenost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sa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raspoloživim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budžetom</w:t>
      </w:r>
      <w:r w:rsidR="00965740">
        <w:rPr>
          <w:rFonts w:ascii="Open Sans" w:hAnsi="Open Sans"/>
          <w:sz w:val="16"/>
        </w:rPr>
        <w:t>.</w:t>
      </w:r>
      <w:r w:rsidRPr="00854148">
        <w:rPr>
          <w:rFonts w:ascii="Open Sans" w:hAnsi="Open Sans"/>
          <w:sz w:val="16"/>
        </w:rPr>
        <w:t>.</w:t>
      </w:r>
    </w:p>
    <w:p w14:paraId="17974789" w14:textId="77777777" w:rsidR="00E40223" w:rsidRPr="00854148" w:rsidRDefault="00E40223" w:rsidP="00E40223">
      <w:pPr>
        <w:keepNext/>
        <w:ind w:left="720" w:right="-755"/>
        <w:jc w:val="both"/>
        <w:rPr>
          <w:rFonts w:ascii="Open Sans" w:hAnsi="Open Sans" w:cs="Open Sans"/>
          <w:sz w:val="16"/>
          <w:szCs w:val="16"/>
        </w:rPr>
      </w:pPr>
    </w:p>
    <w:p w14:paraId="21A01263" w14:textId="77777777" w:rsidR="00E40223" w:rsidRPr="00854148" w:rsidRDefault="00E40223" w:rsidP="00E40223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Tenderu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sa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najnižom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finansijskom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ponudom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će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biti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dodeljeno 100 poena. Ostalim</w:t>
      </w:r>
      <w:r w:rsidR="006C1026">
        <w:rPr>
          <w:rFonts w:ascii="Open Sans" w:hAnsi="Open Sans"/>
          <w:sz w:val="16"/>
        </w:rPr>
        <w:t xml:space="preserve"> </w:t>
      </w:r>
      <w:r w:rsidR="00F30BFB">
        <w:rPr>
          <w:rFonts w:ascii="Open Sans" w:hAnsi="Open Sans"/>
          <w:sz w:val="16"/>
        </w:rPr>
        <w:t>ponudama</w:t>
      </w:r>
      <w:r w:rsidR="006C1026">
        <w:rPr>
          <w:rFonts w:ascii="Open Sans" w:hAnsi="Open Sans"/>
          <w:sz w:val="16"/>
        </w:rPr>
        <w:t xml:space="preserve"> </w:t>
      </w:r>
      <w:r w:rsidR="00F30BFB">
        <w:rPr>
          <w:rFonts w:ascii="Open Sans" w:hAnsi="Open Sans"/>
          <w:sz w:val="16"/>
        </w:rPr>
        <w:t>poeni se dodeljuju</w:t>
      </w:r>
      <w:r w:rsidR="006C1026">
        <w:rPr>
          <w:rFonts w:ascii="Open Sans" w:hAnsi="Open Sans"/>
          <w:sz w:val="16"/>
        </w:rPr>
        <w:t xml:space="preserve"> I </w:t>
      </w:r>
      <w:r w:rsidRPr="00854148">
        <w:rPr>
          <w:rFonts w:ascii="Open Sans" w:hAnsi="Open Sans"/>
          <w:sz w:val="16"/>
        </w:rPr>
        <w:t>koristeći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sledeću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formulu:</w:t>
      </w:r>
    </w:p>
    <w:p w14:paraId="14EE1B9C" w14:textId="77777777" w:rsidR="00E40223" w:rsidRPr="00854148" w:rsidRDefault="00E40223" w:rsidP="00E40223">
      <w:pPr>
        <w:pStyle w:val="ListParagraph"/>
        <w:rPr>
          <w:rFonts w:ascii="Open Sans" w:hAnsi="Open Sans" w:cs="Open Sans"/>
          <w:sz w:val="16"/>
          <w:szCs w:val="16"/>
        </w:rPr>
      </w:pPr>
    </w:p>
    <w:p w14:paraId="0DA5F9A1" w14:textId="77777777" w:rsidR="00E40223" w:rsidRPr="00854148" w:rsidRDefault="00E40223" w:rsidP="00E40223">
      <w:pPr>
        <w:keepNext/>
        <w:ind w:left="709" w:right="-755"/>
        <w:jc w:val="both"/>
        <w:rPr>
          <w:rFonts w:ascii="Open Sans" w:hAnsi="Open Sans" w:cs="Open Sans"/>
          <w:i/>
          <w:sz w:val="16"/>
          <w:szCs w:val="16"/>
        </w:rPr>
      </w:pPr>
      <w:r w:rsidRPr="00854148">
        <w:rPr>
          <w:rFonts w:ascii="Open Sans" w:hAnsi="Open Sans"/>
          <w:i/>
          <w:sz w:val="16"/>
        </w:rPr>
        <w:t>Finansijska</w:t>
      </w:r>
      <w:r w:rsidR="006C1026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ocena = (najniža</w:t>
      </w:r>
      <w:r w:rsidR="006C1026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finansijs</w:t>
      </w:r>
      <w:r w:rsidR="006C1026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kaponuda / finansijska</w:t>
      </w:r>
      <w:r w:rsidR="006C1026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ponuda</w:t>
      </w:r>
      <w:r w:rsidR="006C1026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tendera</w:t>
      </w:r>
      <w:r w:rsidR="006C1026">
        <w:rPr>
          <w:rFonts w:ascii="Open Sans" w:hAnsi="Open Sans"/>
          <w:i/>
          <w:sz w:val="16"/>
        </w:rPr>
        <w:t xml:space="preserve"> </w:t>
      </w:r>
      <w:r w:rsidRPr="00854148">
        <w:rPr>
          <w:rFonts w:ascii="Open Sans" w:hAnsi="Open Sans"/>
          <w:i/>
          <w:sz w:val="16"/>
        </w:rPr>
        <w:t>koji se razmatra) x 100</w:t>
      </w:r>
    </w:p>
    <w:p w14:paraId="336653AE" w14:textId="77777777"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1843"/>
        <w:gridCol w:w="1843"/>
      </w:tblGrid>
      <w:tr w:rsidR="00E40223" w:rsidRPr="00854148" w14:paraId="50A4454B" w14:textId="77777777" w:rsidTr="00272716">
        <w:tc>
          <w:tcPr>
            <w:tcW w:w="2551" w:type="dxa"/>
            <w:shd w:val="clear" w:color="auto" w:fill="auto"/>
          </w:tcPr>
          <w:p w14:paraId="77A50AE8" w14:textId="77777777" w:rsidR="00E40223" w:rsidRPr="00854148" w:rsidRDefault="00E40223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A0582D" w14:textId="77777777"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636D6B" w14:textId="77777777"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698F1E" w14:textId="77777777"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D61CEB" w:rsidRPr="00854148" w14:paraId="52306519" w14:textId="77777777" w:rsidTr="00272716">
        <w:tc>
          <w:tcPr>
            <w:tcW w:w="2551" w:type="dxa"/>
            <w:shd w:val="clear" w:color="auto" w:fill="auto"/>
          </w:tcPr>
          <w:p w14:paraId="49032E74" w14:textId="77777777"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Finansijska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ponuda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A19FAAD" w14:textId="77777777" w:rsidR="00D61CEB" w:rsidRPr="00854148" w:rsidRDefault="00D61CEB" w:rsidP="00400180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Eliminisani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tokom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tehničke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evaluacije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B26CDA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4 000 EUR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06D543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4 800 EUR</w:t>
            </w:r>
          </w:p>
        </w:tc>
      </w:tr>
      <w:tr w:rsidR="00D61CEB" w:rsidRPr="00854148" w14:paraId="542CEB89" w14:textId="77777777" w:rsidTr="00272716">
        <w:tc>
          <w:tcPr>
            <w:tcW w:w="2551" w:type="dxa"/>
            <w:shd w:val="clear" w:color="auto" w:fill="auto"/>
          </w:tcPr>
          <w:p w14:paraId="25A3504B" w14:textId="77777777"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Finansijska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ocena</w:t>
            </w:r>
          </w:p>
          <w:p w14:paraId="054C096B" w14:textId="77777777" w:rsidR="00D61CEB" w:rsidRPr="00854148" w:rsidRDefault="00D61CEB" w:rsidP="006C1026">
            <w:pPr>
              <w:ind w:right="57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t>(</w:t>
            </w:r>
            <w:r w:rsidRPr="00400180">
              <w:rPr>
                <w:rFonts w:ascii="Open Sans" w:hAnsi="Open Sans"/>
                <w:sz w:val="18"/>
              </w:rPr>
              <w:t>najniža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400180">
              <w:rPr>
                <w:rFonts w:ascii="Open Sans" w:hAnsi="Open Sans"/>
                <w:sz w:val="18"/>
              </w:rPr>
              <w:t>finansijska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400180">
              <w:rPr>
                <w:rFonts w:ascii="Open Sans" w:hAnsi="Open Sans"/>
                <w:sz w:val="18"/>
              </w:rPr>
              <w:t xml:space="preserve">ponuda / </w:t>
            </w:r>
            <w:r w:rsidR="006C1026">
              <w:rPr>
                <w:rFonts w:ascii="Open Sans" w:hAnsi="Open Sans"/>
                <w:sz w:val="18"/>
              </w:rPr>
              <w:t>fi</w:t>
            </w:r>
            <w:r w:rsidRPr="00400180">
              <w:rPr>
                <w:rFonts w:ascii="Open Sans" w:hAnsi="Open Sans"/>
                <w:sz w:val="18"/>
              </w:rPr>
              <w:t>nansijska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400180">
              <w:rPr>
                <w:rFonts w:ascii="Open Sans" w:hAnsi="Open Sans"/>
                <w:sz w:val="18"/>
              </w:rPr>
              <w:t>ponuda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="00CE3D02">
              <w:rPr>
                <w:rFonts w:ascii="Open Sans" w:hAnsi="Open Sans"/>
                <w:sz w:val="18"/>
              </w:rPr>
              <w:t>koja se razmatra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400180">
              <w:rPr>
                <w:rFonts w:ascii="Open Sans" w:hAnsi="Open Sans"/>
                <w:sz w:val="18"/>
              </w:rPr>
              <w:t>x 100)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11FBE0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F8AE72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91EBD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 xml:space="preserve">4 000/4 800 = </w:t>
            </w:r>
            <w:r w:rsidRPr="00854148">
              <w:rPr>
                <w:rFonts w:ascii="Open Sans" w:hAnsi="Open Sans"/>
                <w:b/>
                <w:sz w:val="18"/>
              </w:rPr>
              <w:t>83,33</w:t>
            </w:r>
          </w:p>
        </w:tc>
      </w:tr>
    </w:tbl>
    <w:p w14:paraId="5A54CD6C" w14:textId="77777777"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p w14:paraId="02597C3C" w14:textId="77777777" w:rsidR="00F41223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Konačno</w:t>
      </w:r>
      <w:r w:rsidR="006C1026">
        <w:rPr>
          <w:rFonts w:ascii="Open Sans" w:hAnsi="Open Sans"/>
          <w:b/>
          <w:sz w:val="16"/>
          <w:u w:val="single"/>
        </w:rPr>
        <w:t xml:space="preserve"> </w:t>
      </w:r>
      <w:r w:rsidRPr="00854148">
        <w:rPr>
          <w:rFonts w:ascii="Open Sans" w:hAnsi="Open Sans"/>
          <w:b/>
          <w:sz w:val="16"/>
          <w:u w:val="single"/>
        </w:rPr>
        <w:t>rangiranje</w:t>
      </w:r>
    </w:p>
    <w:p w14:paraId="3DFFAEA9" w14:textId="77777777" w:rsidR="00F41223" w:rsidRPr="00854148" w:rsidRDefault="00F41223" w:rsidP="002215D4">
      <w:pPr>
        <w:keepNext/>
        <w:numPr>
          <w:ilvl w:val="0"/>
          <w:numId w:val="35"/>
        </w:numPr>
        <w:spacing w:before="120"/>
        <w:ind w:left="714" w:right="-754" w:hanging="357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Tehnička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 xml:space="preserve">ponuda mora nositi 80% </w:t>
      </w:r>
      <w:r w:rsidR="0074201E">
        <w:rPr>
          <w:rFonts w:ascii="Open Sans" w:hAnsi="Open Sans"/>
          <w:sz w:val="16"/>
        </w:rPr>
        <w:t xml:space="preserve">, a </w:t>
      </w:r>
      <w:r w:rsidRPr="00854148">
        <w:rPr>
          <w:rFonts w:ascii="Open Sans" w:hAnsi="Open Sans"/>
          <w:sz w:val="16"/>
        </w:rPr>
        <w:t>finansijska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 xml:space="preserve">ponuda 20% </w:t>
      </w:r>
      <w:r w:rsidR="0074201E">
        <w:rPr>
          <w:rFonts w:ascii="Open Sans" w:hAnsi="Open Sans"/>
          <w:sz w:val="16"/>
        </w:rPr>
        <w:t>poena</w:t>
      </w:r>
      <w:r w:rsidR="006C1026">
        <w:rPr>
          <w:rFonts w:ascii="Open Sans" w:hAnsi="Open Sans"/>
          <w:sz w:val="16"/>
        </w:rPr>
        <w:t xml:space="preserve"> </w:t>
      </w:r>
      <w:r w:rsidR="00CE3D02">
        <w:rPr>
          <w:rFonts w:ascii="Open Sans" w:hAnsi="Open Sans"/>
          <w:sz w:val="16"/>
        </w:rPr>
        <w:t>dodeljenih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tokom</w:t>
      </w:r>
      <w:r w:rsidR="006C1026">
        <w:rPr>
          <w:rFonts w:ascii="Open Sans" w:hAnsi="Open Sans"/>
          <w:sz w:val="16"/>
        </w:rPr>
        <w:t xml:space="preserve"> </w:t>
      </w:r>
      <w:r w:rsidR="0074201E">
        <w:rPr>
          <w:rFonts w:ascii="Open Sans" w:hAnsi="Open Sans"/>
          <w:sz w:val="16"/>
        </w:rPr>
        <w:t>procesa</w:t>
      </w:r>
      <w:r w:rsidR="006C1026">
        <w:rPr>
          <w:rFonts w:ascii="Open Sans" w:hAnsi="Open Sans"/>
          <w:sz w:val="16"/>
        </w:rPr>
        <w:t xml:space="preserve"> </w:t>
      </w:r>
      <w:r w:rsidRPr="00854148">
        <w:rPr>
          <w:rFonts w:ascii="Open Sans" w:hAnsi="Open Sans"/>
          <w:sz w:val="16"/>
        </w:rPr>
        <w:t>evaluacije.</w:t>
      </w:r>
    </w:p>
    <w:p w14:paraId="14DC7153" w14:textId="77777777" w:rsidR="00D61CEB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1827"/>
        <w:gridCol w:w="1827"/>
      </w:tblGrid>
      <w:tr w:rsidR="00D61CEB" w:rsidRPr="00854148" w14:paraId="53074C3E" w14:textId="77777777" w:rsidTr="00272716">
        <w:tc>
          <w:tcPr>
            <w:tcW w:w="2551" w:type="dxa"/>
            <w:shd w:val="clear" w:color="auto" w:fill="auto"/>
          </w:tcPr>
          <w:p w14:paraId="67F44528" w14:textId="77777777" w:rsidR="00D61CEB" w:rsidRPr="00854148" w:rsidRDefault="00D61CEB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0DFEBA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0F1EE54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50CE4D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D61CEB" w:rsidRPr="00854148" w14:paraId="3D6F468D" w14:textId="77777777" w:rsidTr="00272716">
        <w:tc>
          <w:tcPr>
            <w:tcW w:w="2551" w:type="dxa"/>
            <w:shd w:val="clear" w:color="auto" w:fill="auto"/>
          </w:tcPr>
          <w:p w14:paraId="5A04D26B" w14:textId="77777777"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Tehnička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ocena</w:t>
            </w:r>
          </w:p>
          <w:p w14:paraId="0609424B" w14:textId="77777777"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x 0,80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40EE8B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Eliminisani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tokom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tehničke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evaluacije</w:t>
            </w:r>
          </w:p>
          <w:p w14:paraId="520C2648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3725858D" w14:textId="77777777" w:rsidR="00D61CEB" w:rsidRPr="00854148" w:rsidRDefault="00D61CEB" w:rsidP="00E67C80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9</w:t>
            </w:r>
            <w:r w:rsidR="001E5226">
              <w:rPr>
                <w:rFonts w:ascii="Open Sans" w:hAnsi="Open Sans"/>
                <w:sz w:val="18"/>
              </w:rPr>
              <w:t>9</w:t>
            </w:r>
            <w:r w:rsidRPr="00854148">
              <w:rPr>
                <w:rFonts w:ascii="Open Sans" w:hAnsi="Open Sans"/>
                <w:sz w:val="18"/>
              </w:rPr>
              <w:t>,22x0,80=7</w:t>
            </w:r>
            <w:r w:rsidR="00E67C80">
              <w:rPr>
                <w:rFonts w:ascii="Open Sans" w:hAnsi="Open Sans"/>
                <w:sz w:val="18"/>
              </w:rPr>
              <w:t>9</w:t>
            </w:r>
            <w:r w:rsidRPr="00854148">
              <w:rPr>
                <w:rFonts w:ascii="Open Sans" w:hAnsi="Open Sans"/>
                <w:sz w:val="18"/>
              </w:rPr>
              <w:t>,</w:t>
            </w:r>
            <w:r w:rsidR="00E67C80">
              <w:rPr>
                <w:rFonts w:ascii="Open Sans" w:hAnsi="Open Sans"/>
                <w:sz w:val="18"/>
              </w:rPr>
              <w:t>3</w:t>
            </w:r>
            <w:r w:rsidRPr="00854148">
              <w:rPr>
                <w:rFonts w:ascii="Open Sans" w:hAnsi="Open Sans"/>
                <w:sz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1538E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100,00x0,80=80,00</w:t>
            </w:r>
          </w:p>
        </w:tc>
      </w:tr>
      <w:tr w:rsidR="00D61CEB" w:rsidRPr="00854148" w14:paraId="0E29A6C6" w14:textId="77777777" w:rsidTr="00272716">
        <w:tc>
          <w:tcPr>
            <w:tcW w:w="2551" w:type="dxa"/>
            <w:shd w:val="clear" w:color="auto" w:fill="auto"/>
          </w:tcPr>
          <w:p w14:paraId="70F27280" w14:textId="77777777"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Finansijska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ocena</w:t>
            </w:r>
          </w:p>
          <w:p w14:paraId="201F8C31" w14:textId="77777777"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x 0,20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51F8A8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4BD4276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100,00x0,20=20,00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AB8567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83,33x0,20=16,67</w:t>
            </w:r>
          </w:p>
        </w:tc>
      </w:tr>
      <w:tr w:rsidR="00D61CEB" w:rsidRPr="00854148" w14:paraId="5CBCC15A" w14:textId="77777777" w:rsidTr="00272716">
        <w:tc>
          <w:tcPr>
            <w:tcW w:w="2551" w:type="dxa"/>
            <w:shd w:val="clear" w:color="auto" w:fill="auto"/>
          </w:tcPr>
          <w:p w14:paraId="6EEFB20C" w14:textId="77777777"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Ukupna</w:t>
            </w:r>
            <w:r w:rsidR="006C1026">
              <w:rPr>
                <w:rFonts w:ascii="Open Sans" w:hAnsi="Open Sans"/>
                <w:sz w:val="18"/>
              </w:rPr>
              <w:t xml:space="preserve"> </w:t>
            </w:r>
            <w:r w:rsidRPr="00854148">
              <w:rPr>
                <w:rFonts w:ascii="Open Sans" w:hAnsi="Open Sans"/>
                <w:sz w:val="18"/>
              </w:rPr>
              <w:t>ocena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8E786E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00AF20C1" w14:textId="77777777" w:rsidR="00D61CEB" w:rsidRPr="00854148" w:rsidRDefault="00D61CEB" w:rsidP="001E522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9</w:t>
            </w:r>
            <w:r w:rsidR="001E5226">
              <w:rPr>
                <w:rFonts w:ascii="Open Sans" w:hAnsi="Open Sans"/>
                <w:b/>
                <w:sz w:val="18"/>
              </w:rPr>
              <w:t>9</w:t>
            </w:r>
            <w:r w:rsidRPr="00854148">
              <w:rPr>
                <w:rFonts w:ascii="Open Sans" w:hAnsi="Open Sans"/>
                <w:b/>
                <w:sz w:val="18"/>
              </w:rPr>
              <w:t>,</w:t>
            </w:r>
            <w:r w:rsidR="001E5226">
              <w:rPr>
                <w:rFonts w:ascii="Open Sans" w:hAnsi="Open Sans"/>
                <w:b/>
                <w:sz w:val="18"/>
              </w:rPr>
              <w:t>3</w:t>
            </w:r>
            <w:r w:rsidRPr="00854148">
              <w:rPr>
                <w:rFonts w:ascii="Open Sans" w:hAnsi="Open San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84B47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96,67</w:t>
            </w:r>
          </w:p>
        </w:tc>
      </w:tr>
      <w:tr w:rsidR="00D61CEB" w:rsidRPr="00854148" w14:paraId="7204BD8A" w14:textId="77777777" w:rsidTr="00272716">
        <w:tc>
          <w:tcPr>
            <w:tcW w:w="2551" w:type="dxa"/>
            <w:shd w:val="clear" w:color="auto" w:fill="auto"/>
          </w:tcPr>
          <w:p w14:paraId="505287D7" w14:textId="77777777"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Konačno</w:t>
            </w:r>
            <w:r w:rsidR="006C1026">
              <w:rPr>
                <w:rFonts w:ascii="Open Sans" w:hAnsi="Open Sans"/>
                <w:b/>
                <w:sz w:val="18"/>
              </w:rPr>
              <w:t xml:space="preserve"> </w:t>
            </w:r>
            <w:r w:rsidRPr="00854148">
              <w:rPr>
                <w:rFonts w:ascii="Open Sans" w:hAnsi="Open Sans"/>
                <w:b/>
                <w:sz w:val="18"/>
              </w:rPr>
              <w:t>rangiranje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9321D66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629E80CF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C06C39" w14:textId="77777777"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2.</w:t>
            </w:r>
          </w:p>
        </w:tc>
      </w:tr>
    </w:tbl>
    <w:p w14:paraId="3AE85AA2" w14:textId="77777777" w:rsidR="00D61CEB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sectPr w:rsidR="00D61CEB" w:rsidRPr="00854148" w:rsidSect="0032268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1440" w:bottom="1135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9C761" w14:textId="77777777" w:rsidR="00D33F76" w:rsidRDefault="00D33F76">
      <w:r>
        <w:separator/>
      </w:r>
    </w:p>
  </w:endnote>
  <w:endnote w:type="continuationSeparator" w:id="0">
    <w:p w14:paraId="7C2A2710" w14:textId="77777777" w:rsidR="00D33F76" w:rsidRDefault="00D3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E4E6" w14:textId="77777777" w:rsidR="009226AA" w:rsidRDefault="00D96C9F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26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6AA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550912" w14:textId="77777777" w:rsidR="009226AA" w:rsidRDefault="009226AA" w:rsidP="00CF2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1F81" w14:textId="26DAD12C" w:rsidR="009226AA" w:rsidRPr="00F44B99" w:rsidRDefault="009226AA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>Strana</w:t>
    </w:r>
    <w:r w:rsidR="00D96C9F"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="00D96C9F"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DA1912">
      <w:rPr>
        <w:rFonts w:ascii="Open Sans" w:hAnsi="Open Sans" w:cs="Open Sans"/>
        <w:b/>
        <w:bCs/>
        <w:noProof/>
        <w:sz w:val="18"/>
        <w:szCs w:val="18"/>
      </w:rPr>
      <w:t>2</w:t>
    </w:r>
    <w:r w:rsidR="00D96C9F" w:rsidRPr="00F44B99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="00D96C9F"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="00D96C9F"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DA1912">
      <w:rPr>
        <w:rFonts w:ascii="Open Sans" w:hAnsi="Open Sans" w:cs="Open Sans"/>
        <w:b/>
        <w:bCs/>
        <w:noProof/>
        <w:sz w:val="18"/>
        <w:szCs w:val="18"/>
      </w:rPr>
      <w:t>2</w:t>
    </w:r>
    <w:r w:rsidR="00D96C9F" w:rsidRPr="00F44B99">
      <w:rPr>
        <w:rFonts w:ascii="Open Sans" w:hAnsi="Open Sans" w:cs="Open Sans"/>
        <w:b/>
        <w:bCs/>
        <w:sz w:val="18"/>
        <w:szCs w:val="18"/>
      </w:rPr>
      <w:fldChar w:fldCharType="end"/>
    </w:r>
  </w:p>
  <w:p w14:paraId="7B9E71EC" w14:textId="77777777" w:rsidR="009226AA" w:rsidRPr="00BB0CC0" w:rsidRDefault="009226AA" w:rsidP="00CF24C6">
    <w:pPr>
      <w:pStyle w:val="Footer"/>
      <w:ind w:right="360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77EA7" w14:textId="77777777" w:rsidR="009226AA" w:rsidRDefault="00D96C9F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26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6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629893" w14:textId="77777777" w:rsidR="009226AA" w:rsidRDefault="009226AA" w:rsidP="00CF24C6">
    <w:pPr>
      <w:pStyle w:val="Footer"/>
      <w:ind w:right="360"/>
      <w:rPr>
        <w:rFonts w:ascii="Arial" w:hAnsi="Arial"/>
        <w:sz w:val="20"/>
      </w:rPr>
    </w:pPr>
    <w:r>
      <w:rPr>
        <w:rFonts w:ascii="Arial" w:hAnsi="Arial"/>
        <w:sz w:val="20"/>
      </w:rPr>
      <w:t>2006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2587B" w14:textId="77777777" w:rsidR="00D33F76" w:rsidRDefault="00D33F76">
      <w:r>
        <w:separator/>
      </w:r>
    </w:p>
  </w:footnote>
  <w:footnote w:type="continuationSeparator" w:id="0">
    <w:p w14:paraId="51F4AC19" w14:textId="77777777" w:rsidR="00D33F76" w:rsidRDefault="00D33F76">
      <w:r>
        <w:continuationSeparator/>
      </w:r>
    </w:p>
  </w:footnote>
  <w:footnote w:id="1">
    <w:p w14:paraId="68E3C67F" w14:textId="77777777" w:rsidR="000D7F28" w:rsidRPr="004826A2" w:rsidRDefault="000D7F28">
      <w:pPr>
        <w:pStyle w:val="FootnoteText"/>
        <w:rPr>
          <w:rFonts w:ascii="Open Sans" w:hAnsi="Open Sans" w:cs="Open Sans"/>
          <w:sz w:val="16"/>
          <w:szCs w:val="16"/>
          <w:lang w:val="hu-HU"/>
        </w:rPr>
      </w:pPr>
      <w:r w:rsidRPr="004826A2">
        <w:rPr>
          <w:rFonts w:ascii="Open Sans" w:hAnsi="Open Sans" w:cs="Open Sans"/>
          <w:sz w:val="16"/>
          <w:szCs w:val="16"/>
          <w:vertAlign w:val="superscript"/>
        </w:rPr>
        <w:footnoteRef/>
      </w:r>
      <w:r w:rsidR="00405721" w:rsidRPr="004826A2">
        <w:rPr>
          <w:rFonts w:ascii="Open Sans" w:hAnsi="Open Sans" w:cs="Open Sans"/>
          <w:sz w:val="16"/>
          <w:szCs w:val="16"/>
        </w:rPr>
        <w:t>O</w:t>
      </w:r>
      <w:r w:rsidRPr="004826A2">
        <w:rPr>
          <w:rFonts w:ascii="Open Sans" w:hAnsi="Open Sans" w:cs="Open Sans"/>
          <w:sz w:val="16"/>
          <w:szCs w:val="16"/>
        </w:rPr>
        <w:t>obrisati</w:t>
      </w:r>
      <w:r w:rsidR="00ED3EB4">
        <w:rPr>
          <w:rFonts w:ascii="Open Sans" w:hAnsi="Open Sans" w:cs="Open Sans"/>
          <w:sz w:val="16"/>
          <w:szCs w:val="16"/>
        </w:rPr>
        <w:t xml:space="preserve"> </w:t>
      </w:r>
      <w:r w:rsidRPr="004826A2">
        <w:rPr>
          <w:rFonts w:ascii="Open Sans" w:hAnsi="Open Sans" w:cs="Open Sans"/>
          <w:sz w:val="16"/>
          <w:szCs w:val="16"/>
        </w:rPr>
        <w:t>ukoliko</w:t>
      </w:r>
      <w:r w:rsidR="00ED3EB4">
        <w:rPr>
          <w:rFonts w:ascii="Open Sans" w:hAnsi="Open Sans" w:cs="Open Sans"/>
          <w:sz w:val="16"/>
          <w:szCs w:val="16"/>
        </w:rPr>
        <w:t xml:space="preserve"> </w:t>
      </w:r>
      <w:r w:rsidRPr="004826A2">
        <w:rPr>
          <w:rFonts w:ascii="Open Sans" w:hAnsi="Open Sans" w:cs="Open Sans"/>
          <w:sz w:val="16"/>
          <w:szCs w:val="16"/>
        </w:rPr>
        <w:t>nije</w:t>
      </w:r>
      <w:r w:rsidR="00ED3EB4">
        <w:rPr>
          <w:rFonts w:ascii="Open Sans" w:hAnsi="Open Sans" w:cs="Open Sans"/>
          <w:sz w:val="16"/>
          <w:szCs w:val="16"/>
        </w:rPr>
        <w:t xml:space="preserve"> </w:t>
      </w:r>
      <w:r w:rsidRPr="004826A2">
        <w:rPr>
          <w:rFonts w:ascii="Open Sans" w:hAnsi="Open Sans" w:cs="Open Sans"/>
          <w:sz w:val="16"/>
          <w:szCs w:val="16"/>
        </w:rPr>
        <w:t>primenjivo</w:t>
      </w:r>
    </w:p>
  </w:footnote>
  <w:footnote w:id="2">
    <w:p w14:paraId="0542F226" w14:textId="77777777" w:rsidR="004826A2" w:rsidRDefault="004826A2" w:rsidP="004826A2">
      <w:pPr>
        <w:pStyle w:val="FootnoteText"/>
        <w:rPr>
          <w:lang w:val="hu-HU"/>
        </w:rPr>
      </w:pPr>
      <w:r w:rsidRPr="004826A2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Pr="004826A2">
        <w:rPr>
          <w:rFonts w:ascii="Open Sans" w:hAnsi="Open Sans" w:cs="Open Sans"/>
          <w:sz w:val="16"/>
          <w:szCs w:val="16"/>
          <w:lang w:val="en-GB"/>
        </w:rPr>
        <w:t>Number of evaluators is decided by the Contracting Authority.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CF4F4" w14:textId="77777777" w:rsidR="009226AA" w:rsidRDefault="009226AA">
    <w:pPr>
      <w:pStyle w:val="titlefront"/>
      <w:spacing w:before="0"/>
      <w:ind w:left="0"/>
      <w:jc w:val="center"/>
      <w:outlineLvl w:val="0"/>
    </w:pPr>
    <w:r>
      <w:rPr>
        <w:rFonts w:ascii="Arial" w:hAnsi="Arial"/>
        <w:b w:val="0"/>
      </w:rPr>
      <w:t>&lt;Zaglavljenaručioca&gt;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934E6"/>
    <w:multiLevelType w:val="hybridMultilevel"/>
    <w:tmpl w:val="B41AF42C"/>
    <w:lvl w:ilvl="0" w:tplc="96E8C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66F"/>
    <w:multiLevelType w:val="hybridMultilevel"/>
    <w:tmpl w:val="1332C184"/>
    <w:lvl w:ilvl="0" w:tplc="A38C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2D0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65E1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74D93"/>
    <w:multiLevelType w:val="multilevel"/>
    <w:tmpl w:val="AF723D36"/>
    <w:lvl w:ilvl="0">
      <w:start w:val="1"/>
      <w:numFmt w:val="decimal"/>
      <w:lvlText w:val="%1."/>
      <w:lvlJc w:val="left"/>
      <w:pPr>
        <w:ind w:left="2268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4F4A71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04E2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E5F48"/>
    <w:multiLevelType w:val="hybridMultilevel"/>
    <w:tmpl w:val="F2CA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6E3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2D329C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EE351B"/>
    <w:multiLevelType w:val="hybridMultilevel"/>
    <w:tmpl w:val="F8A0B4D4"/>
    <w:lvl w:ilvl="0" w:tplc="4C08297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06B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8D5BFA"/>
    <w:multiLevelType w:val="hybridMultilevel"/>
    <w:tmpl w:val="AB740F0C"/>
    <w:lvl w:ilvl="0" w:tplc="F9D298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2E5A"/>
    <w:multiLevelType w:val="multilevel"/>
    <w:tmpl w:val="FED48F50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D6075"/>
    <w:multiLevelType w:val="hybridMultilevel"/>
    <w:tmpl w:val="ED36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F6DB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482686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C004A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FA7731"/>
    <w:multiLevelType w:val="hybridMultilevel"/>
    <w:tmpl w:val="DBCA4F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242F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762E6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4F02F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8"/>
  </w:num>
  <w:num w:numId="5">
    <w:abstractNumId w:val="17"/>
  </w:num>
  <w:num w:numId="6">
    <w:abstractNumId w:val="7"/>
  </w:num>
  <w:num w:numId="7">
    <w:abstractNumId w:val="3"/>
  </w:num>
  <w:num w:numId="8">
    <w:abstractNumId w:val="22"/>
  </w:num>
  <w:num w:numId="9">
    <w:abstractNumId w:val="6"/>
  </w:num>
  <w:num w:numId="10">
    <w:abstractNumId w:val="4"/>
  </w:num>
  <w:num w:numId="11">
    <w:abstractNumId w:val="20"/>
  </w:num>
  <w:num w:numId="12">
    <w:abstractNumId w:val="0"/>
    <w:lvlOverride w:ilvl="0">
      <w:lvl w:ilvl="0">
        <w:start w:val="1"/>
        <w:numFmt w:val="bullet"/>
        <w:lvlText w:val="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ind w:left="2268" w:hanging="567"/>
        </w:p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%1.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21"/>
  </w:num>
  <w:num w:numId="28">
    <w:abstractNumId w:val="16"/>
  </w:num>
  <w:num w:numId="29">
    <w:abstractNumId w:val="1"/>
  </w:num>
  <w:num w:numId="30">
    <w:abstractNumId w:val="2"/>
  </w:num>
  <w:num w:numId="31">
    <w:abstractNumId w:val="15"/>
  </w:num>
  <w:num w:numId="32">
    <w:abstractNumId w:val="8"/>
  </w:num>
  <w:num w:numId="33">
    <w:abstractNumId w:val="11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45CD4"/>
    <w:rsid w:val="00002A24"/>
    <w:rsid w:val="00021B57"/>
    <w:rsid w:val="00021C63"/>
    <w:rsid w:val="00033886"/>
    <w:rsid w:val="00036A3F"/>
    <w:rsid w:val="00043566"/>
    <w:rsid w:val="00046A7E"/>
    <w:rsid w:val="000507E6"/>
    <w:rsid w:val="000509C0"/>
    <w:rsid w:val="000522B9"/>
    <w:rsid w:val="00053BF5"/>
    <w:rsid w:val="00067DDE"/>
    <w:rsid w:val="0007136C"/>
    <w:rsid w:val="000724BA"/>
    <w:rsid w:val="00074175"/>
    <w:rsid w:val="00080B2E"/>
    <w:rsid w:val="00086A36"/>
    <w:rsid w:val="00092F09"/>
    <w:rsid w:val="00095106"/>
    <w:rsid w:val="000A7D28"/>
    <w:rsid w:val="000B33A7"/>
    <w:rsid w:val="000D1075"/>
    <w:rsid w:val="000D33DB"/>
    <w:rsid w:val="000D7F28"/>
    <w:rsid w:val="000E32FE"/>
    <w:rsid w:val="000E4EE8"/>
    <w:rsid w:val="000F540A"/>
    <w:rsid w:val="000F577F"/>
    <w:rsid w:val="00101475"/>
    <w:rsid w:val="00102DE2"/>
    <w:rsid w:val="00120B88"/>
    <w:rsid w:val="00123FC4"/>
    <w:rsid w:val="00137F74"/>
    <w:rsid w:val="00164BE6"/>
    <w:rsid w:val="001657ED"/>
    <w:rsid w:val="00170462"/>
    <w:rsid w:val="00171853"/>
    <w:rsid w:val="001A14A1"/>
    <w:rsid w:val="001B31D8"/>
    <w:rsid w:val="001B3804"/>
    <w:rsid w:val="001C275B"/>
    <w:rsid w:val="001C4E53"/>
    <w:rsid w:val="001C57B9"/>
    <w:rsid w:val="001C5AD8"/>
    <w:rsid w:val="001D1A07"/>
    <w:rsid w:val="001E0229"/>
    <w:rsid w:val="001E5226"/>
    <w:rsid w:val="001F45CF"/>
    <w:rsid w:val="00214405"/>
    <w:rsid w:val="00214481"/>
    <w:rsid w:val="002215D4"/>
    <w:rsid w:val="0022765E"/>
    <w:rsid w:val="00251893"/>
    <w:rsid w:val="00255AC9"/>
    <w:rsid w:val="00261593"/>
    <w:rsid w:val="0026342A"/>
    <w:rsid w:val="002655B8"/>
    <w:rsid w:val="00272716"/>
    <w:rsid w:val="00282040"/>
    <w:rsid w:val="00282423"/>
    <w:rsid w:val="0028637C"/>
    <w:rsid w:val="00293DE5"/>
    <w:rsid w:val="002A0692"/>
    <w:rsid w:val="002C4007"/>
    <w:rsid w:val="002D2B88"/>
    <w:rsid w:val="002D2DB3"/>
    <w:rsid w:val="002E1E55"/>
    <w:rsid w:val="002F51FD"/>
    <w:rsid w:val="00306D77"/>
    <w:rsid w:val="00307EE1"/>
    <w:rsid w:val="00315B98"/>
    <w:rsid w:val="00317AD7"/>
    <w:rsid w:val="0032268B"/>
    <w:rsid w:val="00324FD2"/>
    <w:rsid w:val="00345251"/>
    <w:rsid w:val="0035450D"/>
    <w:rsid w:val="00355CEC"/>
    <w:rsid w:val="003621D0"/>
    <w:rsid w:val="00372D9C"/>
    <w:rsid w:val="00376805"/>
    <w:rsid w:val="00381BFD"/>
    <w:rsid w:val="0039070D"/>
    <w:rsid w:val="00397C76"/>
    <w:rsid w:val="003B2E3A"/>
    <w:rsid w:val="003B77EB"/>
    <w:rsid w:val="003C38BA"/>
    <w:rsid w:val="003D3C07"/>
    <w:rsid w:val="003D508D"/>
    <w:rsid w:val="003F75C1"/>
    <w:rsid w:val="00400180"/>
    <w:rsid w:val="00403360"/>
    <w:rsid w:val="00405721"/>
    <w:rsid w:val="004214E3"/>
    <w:rsid w:val="00425385"/>
    <w:rsid w:val="00441B3B"/>
    <w:rsid w:val="004669A3"/>
    <w:rsid w:val="00471E17"/>
    <w:rsid w:val="00481A37"/>
    <w:rsid w:val="004826A2"/>
    <w:rsid w:val="004858C8"/>
    <w:rsid w:val="0049478B"/>
    <w:rsid w:val="004E47E4"/>
    <w:rsid w:val="004E5FBC"/>
    <w:rsid w:val="004F0C37"/>
    <w:rsid w:val="00530D2E"/>
    <w:rsid w:val="00541E3A"/>
    <w:rsid w:val="005435DE"/>
    <w:rsid w:val="00555B64"/>
    <w:rsid w:val="005622F1"/>
    <w:rsid w:val="005924C2"/>
    <w:rsid w:val="005976C1"/>
    <w:rsid w:val="005A1305"/>
    <w:rsid w:val="005A3F63"/>
    <w:rsid w:val="005A76DA"/>
    <w:rsid w:val="005B4B90"/>
    <w:rsid w:val="005B6AB8"/>
    <w:rsid w:val="005C0EA0"/>
    <w:rsid w:val="005C271D"/>
    <w:rsid w:val="005E5FA0"/>
    <w:rsid w:val="005E6F45"/>
    <w:rsid w:val="00602229"/>
    <w:rsid w:val="00606C52"/>
    <w:rsid w:val="00622E9F"/>
    <w:rsid w:val="006402C3"/>
    <w:rsid w:val="00666C07"/>
    <w:rsid w:val="006679B2"/>
    <w:rsid w:val="00670497"/>
    <w:rsid w:val="00673207"/>
    <w:rsid w:val="006749F2"/>
    <w:rsid w:val="00685FBE"/>
    <w:rsid w:val="00686E6E"/>
    <w:rsid w:val="00690B0C"/>
    <w:rsid w:val="006933D4"/>
    <w:rsid w:val="006A1F16"/>
    <w:rsid w:val="006B4552"/>
    <w:rsid w:val="006C1026"/>
    <w:rsid w:val="006C3427"/>
    <w:rsid w:val="006D5DCE"/>
    <w:rsid w:val="006E4B9A"/>
    <w:rsid w:val="00726A81"/>
    <w:rsid w:val="00734CF4"/>
    <w:rsid w:val="0073667F"/>
    <w:rsid w:val="0074201E"/>
    <w:rsid w:val="00743706"/>
    <w:rsid w:val="0079118F"/>
    <w:rsid w:val="00792FF8"/>
    <w:rsid w:val="00794417"/>
    <w:rsid w:val="0079586C"/>
    <w:rsid w:val="007B7A40"/>
    <w:rsid w:val="007C39E6"/>
    <w:rsid w:val="007D3908"/>
    <w:rsid w:val="007D4D66"/>
    <w:rsid w:val="007F4BCD"/>
    <w:rsid w:val="00805182"/>
    <w:rsid w:val="00806921"/>
    <w:rsid w:val="00811496"/>
    <w:rsid w:val="008125D5"/>
    <w:rsid w:val="008209D9"/>
    <w:rsid w:val="00821DE3"/>
    <w:rsid w:val="008473A0"/>
    <w:rsid w:val="00851633"/>
    <w:rsid w:val="00854148"/>
    <w:rsid w:val="00865521"/>
    <w:rsid w:val="0087352E"/>
    <w:rsid w:val="00886887"/>
    <w:rsid w:val="0089413B"/>
    <w:rsid w:val="008A0B15"/>
    <w:rsid w:val="008B2650"/>
    <w:rsid w:val="008B4952"/>
    <w:rsid w:val="008B695A"/>
    <w:rsid w:val="008C72C9"/>
    <w:rsid w:val="008E2D42"/>
    <w:rsid w:val="00906E0B"/>
    <w:rsid w:val="009226AA"/>
    <w:rsid w:val="00950579"/>
    <w:rsid w:val="00965740"/>
    <w:rsid w:val="00974CBB"/>
    <w:rsid w:val="00984105"/>
    <w:rsid w:val="009A3579"/>
    <w:rsid w:val="009A70A6"/>
    <w:rsid w:val="009A797A"/>
    <w:rsid w:val="009B7613"/>
    <w:rsid w:val="009B764A"/>
    <w:rsid w:val="009C25AE"/>
    <w:rsid w:val="009C78CC"/>
    <w:rsid w:val="00A0117C"/>
    <w:rsid w:val="00A022D9"/>
    <w:rsid w:val="00A0353B"/>
    <w:rsid w:val="00A32617"/>
    <w:rsid w:val="00A5109A"/>
    <w:rsid w:val="00A61EC4"/>
    <w:rsid w:val="00A76684"/>
    <w:rsid w:val="00A80AC6"/>
    <w:rsid w:val="00A84054"/>
    <w:rsid w:val="00A9008D"/>
    <w:rsid w:val="00AB13AE"/>
    <w:rsid w:val="00AB488F"/>
    <w:rsid w:val="00AD6A5B"/>
    <w:rsid w:val="00AE28C6"/>
    <w:rsid w:val="00B110E5"/>
    <w:rsid w:val="00B15C5D"/>
    <w:rsid w:val="00B23BC2"/>
    <w:rsid w:val="00B5002E"/>
    <w:rsid w:val="00B52C47"/>
    <w:rsid w:val="00B63499"/>
    <w:rsid w:val="00B918A6"/>
    <w:rsid w:val="00BA2B2C"/>
    <w:rsid w:val="00BA3C31"/>
    <w:rsid w:val="00BB0CC0"/>
    <w:rsid w:val="00BB6731"/>
    <w:rsid w:val="00BC06C3"/>
    <w:rsid w:val="00BE0B89"/>
    <w:rsid w:val="00BE10B1"/>
    <w:rsid w:val="00BF1566"/>
    <w:rsid w:val="00C00247"/>
    <w:rsid w:val="00C1062E"/>
    <w:rsid w:val="00C23158"/>
    <w:rsid w:val="00C6065D"/>
    <w:rsid w:val="00C629D7"/>
    <w:rsid w:val="00C8717C"/>
    <w:rsid w:val="00CB4E87"/>
    <w:rsid w:val="00CB65D9"/>
    <w:rsid w:val="00CB709E"/>
    <w:rsid w:val="00CC104F"/>
    <w:rsid w:val="00CC3B01"/>
    <w:rsid w:val="00CE1816"/>
    <w:rsid w:val="00CE3D02"/>
    <w:rsid w:val="00CF1FB7"/>
    <w:rsid w:val="00CF24C6"/>
    <w:rsid w:val="00D0236A"/>
    <w:rsid w:val="00D03437"/>
    <w:rsid w:val="00D07920"/>
    <w:rsid w:val="00D07AF4"/>
    <w:rsid w:val="00D1668A"/>
    <w:rsid w:val="00D21B5A"/>
    <w:rsid w:val="00D33F76"/>
    <w:rsid w:val="00D3497F"/>
    <w:rsid w:val="00D35070"/>
    <w:rsid w:val="00D558E5"/>
    <w:rsid w:val="00D61CEB"/>
    <w:rsid w:val="00D634D4"/>
    <w:rsid w:val="00D71C4E"/>
    <w:rsid w:val="00D734B6"/>
    <w:rsid w:val="00D8022B"/>
    <w:rsid w:val="00D96C9F"/>
    <w:rsid w:val="00D97832"/>
    <w:rsid w:val="00DA1912"/>
    <w:rsid w:val="00DA24C6"/>
    <w:rsid w:val="00DB3BD8"/>
    <w:rsid w:val="00DF4C6D"/>
    <w:rsid w:val="00E12DBE"/>
    <w:rsid w:val="00E355C7"/>
    <w:rsid w:val="00E36F68"/>
    <w:rsid w:val="00E40223"/>
    <w:rsid w:val="00E423D2"/>
    <w:rsid w:val="00E53148"/>
    <w:rsid w:val="00E536D4"/>
    <w:rsid w:val="00E65D48"/>
    <w:rsid w:val="00E67C80"/>
    <w:rsid w:val="00EA7377"/>
    <w:rsid w:val="00EB0B30"/>
    <w:rsid w:val="00EB27F2"/>
    <w:rsid w:val="00EB515F"/>
    <w:rsid w:val="00EC1676"/>
    <w:rsid w:val="00ED3EB4"/>
    <w:rsid w:val="00EF5A31"/>
    <w:rsid w:val="00F0002A"/>
    <w:rsid w:val="00F21AED"/>
    <w:rsid w:val="00F30BFB"/>
    <w:rsid w:val="00F41223"/>
    <w:rsid w:val="00F44B99"/>
    <w:rsid w:val="00F45CD4"/>
    <w:rsid w:val="00F50382"/>
    <w:rsid w:val="00F50A02"/>
    <w:rsid w:val="00F67789"/>
    <w:rsid w:val="00F72708"/>
    <w:rsid w:val="00F74784"/>
    <w:rsid w:val="00F8475C"/>
    <w:rsid w:val="00F90527"/>
    <w:rsid w:val="00F9760A"/>
    <w:rsid w:val="00FA0F4D"/>
    <w:rsid w:val="00FA3BF8"/>
    <w:rsid w:val="00FA7297"/>
    <w:rsid w:val="00FB46F5"/>
    <w:rsid w:val="00FC2C7C"/>
    <w:rsid w:val="00FE2288"/>
    <w:rsid w:val="00FF2F1B"/>
    <w:rsid w:val="00FF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37805"/>
  <w15:docId w15:val="{EE2150F8-DFD2-4371-BFA7-C542E31E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566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BF156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Heading1"/>
    <w:next w:val="Normal"/>
    <w:qFormat/>
    <w:rsid w:val="00BF1566"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ront">
    <w:name w:val="title_front"/>
    <w:basedOn w:val="Normal"/>
    <w:rsid w:val="00BF1566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Header">
    <w:name w:val="header"/>
    <w:basedOn w:val="Normal"/>
    <w:rsid w:val="00BF15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1566"/>
    <w:pPr>
      <w:tabs>
        <w:tab w:val="center" w:pos="4320"/>
        <w:tab w:val="right" w:pos="8640"/>
      </w:tabs>
    </w:pPr>
  </w:style>
  <w:style w:type="paragraph" w:customStyle="1" w:styleId="Lista1">
    <w:name w:val="Lista1"/>
    <w:basedOn w:val="Normal"/>
    <w:rsid w:val="00BF1566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al"/>
    <w:rsid w:val="00BF1566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al"/>
    <w:rsid w:val="00BF1566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al"/>
    <w:rsid w:val="00BF1566"/>
    <w:pPr>
      <w:spacing w:before="120" w:after="120"/>
      <w:jc w:val="both"/>
    </w:pPr>
    <w:rPr>
      <w:rFonts w:ascii="Optima" w:hAnsi="Optima"/>
      <w:sz w:val="22"/>
    </w:rPr>
  </w:style>
  <w:style w:type="paragraph" w:styleId="FootnoteText">
    <w:name w:val="footnote text"/>
    <w:basedOn w:val="Normal"/>
    <w:link w:val="FootnoteTextChar"/>
    <w:semiHidden/>
    <w:rsid w:val="00BF1566"/>
    <w:rPr>
      <w:sz w:val="20"/>
    </w:rPr>
  </w:style>
  <w:style w:type="character" w:styleId="FootnoteReference">
    <w:name w:val="footnote reference"/>
    <w:uiPriority w:val="99"/>
    <w:semiHidden/>
    <w:rsid w:val="00BF1566"/>
    <w:rPr>
      <w:vertAlign w:val="superscript"/>
    </w:rPr>
  </w:style>
  <w:style w:type="paragraph" w:styleId="DocumentMap">
    <w:name w:val="Document Map"/>
    <w:basedOn w:val="Normal"/>
    <w:semiHidden/>
    <w:rsid w:val="00BF1566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BF1566"/>
  </w:style>
  <w:style w:type="character" w:styleId="CommentReference">
    <w:name w:val="annotation reference"/>
    <w:semiHidden/>
    <w:rsid w:val="00317AD7"/>
    <w:rPr>
      <w:sz w:val="16"/>
      <w:szCs w:val="16"/>
    </w:rPr>
  </w:style>
  <w:style w:type="paragraph" w:styleId="CommentText">
    <w:name w:val="annotation text"/>
    <w:basedOn w:val="Normal"/>
    <w:semiHidden/>
    <w:rsid w:val="00317AD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17AD7"/>
    <w:rPr>
      <w:b/>
      <w:bCs/>
    </w:rPr>
  </w:style>
  <w:style w:type="paragraph" w:styleId="BalloonText">
    <w:name w:val="Balloon Text"/>
    <w:basedOn w:val="Normal"/>
    <w:semiHidden/>
    <w:rsid w:val="0031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C39E6"/>
    <w:rPr>
      <w:snapToGrid w:val="0"/>
      <w:sz w:val="24"/>
    </w:rPr>
  </w:style>
  <w:style w:type="paragraph" w:customStyle="1" w:styleId="StyleHeading1TimesNewRoman">
    <w:name w:val="Style Heading 1 + Times New Roman"/>
    <w:basedOn w:val="Heading1"/>
    <w:rsid w:val="00A0353B"/>
    <w:pPr>
      <w:tabs>
        <w:tab w:val="num" w:pos="432"/>
      </w:tabs>
      <w:spacing w:after="120"/>
      <w:ind w:left="431" w:hanging="431"/>
    </w:pPr>
    <w:rPr>
      <w:rFonts w:ascii="Times New Roman" w:hAnsi="Times New Roman"/>
      <w:bCs/>
      <w:snapToGrid/>
    </w:rPr>
  </w:style>
  <w:style w:type="paragraph" w:styleId="ListParagraph">
    <w:name w:val="List Paragraph"/>
    <w:basedOn w:val="Normal"/>
    <w:uiPriority w:val="34"/>
    <w:qFormat/>
    <w:rsid w:val="00530D2E"/>
    <w:pPr>
      <w:ind w:left="708"/>
    </w:pPr>
  </w:style>
  <w:style w:type="character" w:customStyle="1" w:styleId="FootnoteTextChar">
    <w:name w:val="Footnote Text Char"/>
    <w:basedOn w:val="DefaultParagraphFont"/>
    <w:link w:val="FootnoteText"/>
    <w:semiHidden/>
    <w:rsid w:val="004826A2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E48B-28D7-49E4-942E-338B30DC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EVALUATION OF WORKS TENDER</vt:lpstr>
      <vt:lpstr>EVALUATION OF WORKS TENDER</vt:lpstr>
    </vt:vector>
  </TitlesOfParts>
  <Company>Hewlett-Packard Company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creator>kaiser helmut</dc:creator>
  <cp:lastModifiedBy>Zoran</cp:lastModifiedBy>
  <cp:revision>2</cp:revision>
  <cp:lastPrinted>2008-10-14T14:53:00Z</cp:lastPrinted>
  <dcterms:created xsi:type="dcterms:W3CDTF">2019-04-05T11:15:00Z</dcterms:created>
  <dcterms:modified xsi:type="dcterms:W3CDTF">2019-04-05T11:15:00Z</dcterms:modified>
</cp:coreProperties>
</file>