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480"/>
      </w:tblGrid>
      <w:tr w:rsidR="00292673" w:rsidRPr="00292673" w:rsidTr="00292673">
        <w:trPr>
          <w:tblCellSpacing w:w="15" w:type="dxa"/>
        </w:trPr>
        <w:tc>
          <w:tcPr>
            <w:tcW w:w="0" w:type="auto"/>
            <w:shd w:val="clear" w:color="auto" w:fill="A41E1C"/>
            <w:vAlign w:val="center"/>
            <w:hideMark/>
          </w:tcPr>
          <w:p w:rsidR="00292673" w:rsidRPr="00292673" w:rsidRDefault="00292673" w:rsidP="00292673">
            <w:pPr>
              <w:spacing w:after="0" w:line="384" w:lineRule="auto"/>
              <w:ind w:right="488"/>
              <w:jc w:val="center"/>
              <w:outlineLvl w:val="3"/>
              <w:rPr>
                <w:rFonts w:ascii="Arial" w:eastAsia="Times New Roman" w:hAnsi="Arial" w:cs="Arial"/>
                <w:b/>
                <w:bCs/>
                <w:color w:val="FFE8BF"/>
                <w:sz w:val="36"/>
                <w:szCs w:val="36"/>
              </w:rPr>
            </w:pPr>
            <w:r w:rsidRPr="00292673">
              <w:rPr>
                <w:rFonts w:ascii="Arial" w:eastAsia="Times New Roman" w:hAnsi="Arial" w:cs="Arial"/>
                <w:b/>
                <w:bCs/>
                <w:color w:val="FFE8BF"/>
                <w:sz w:val="36"/>
                <w:szCs w:val="36"/>
              </w:rPr>
              <w:t>ODLUKA</w:t>
            </w:r>
          </w:p>
          <w:p w:rsidR="00292673" w:rsidRPr="00292673" w:rsidRDefault="00292673" w:rsidP="00292673">
            <w:pPr>
              <w:spacing w:after="0" w:line="240" w:lineRule="auto"/>
              <w:ind w:right="488"/>
              <w:jc w:val="center"/>
              <w:outlineLvl w:val="3"/>
              <w:rPr>
                <w:rFonts w:ascii="Arial" w:eastAsia="Times New Roman" w:hAnsi="Arial" w:cs="Arial"/>
                <w:b/>
                <w:bCs/>
                <w:color w:val="FFFFFF"/>
                <w:sz w:val="34"/>
                <w:szCs w:val="34"/>
              </w:rPr>
            </w:pPr>
            <w:r w:rsidRPr="00292673">
              <w:rPr>
                <w:rFonts w:ascii="Arial" w:eastAsia="Times New Roman" w:hAnsi="Arial" w:cs="Arial"/>
                <w:b/>
                <w:bCs/>
                <w:color w:val="FFFFFF"/>
                <w:sz w:val="34"/>
                <w:szCs w:val="34"/>
              </w:rPr>
              <w:t>O ODREĐIVANJU AKUSTIČKIH ZONA NA TERITORIJI GRADA SOMBORA</w:t>
            </w:r>
          </w:p>
          <w:p w:rsidR="00292673" w:rsidRPr="00292673" w:rsidRDefault="00292673" w:rsidP="00292673">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292673">
              <w:rPr>
                <w:rFonts w:ascii="Arial" w:eastAsia="Times New Roman" w:hAnsi="Arial" w:cs="Arial"/>
                <w:i/>
                <w:iCs/>
                <w:color w:val="FFE8BF"/>
                <w:sz w:val="26"/>
                <w:szCs w:val="26"/>
              </w:rPr>
              <w:t>("Sl. list Grada Sombora", br. 8/2018)</w:t>
            </w:r>
          </w:p>
        </w:tc>
      </w:tr>
    </w:tbl>
    <w:p w:rsidR="00292673" w:rsidRPr="00292673" w:rsidRDefault="00292673" w:rsidP="00292673">
      <w:pPr>
        <w:spacing w:after="0" w:line="240" w:lineRule="auto"/>
        <w:rPr>
          <w:rFonts w:ascii="Arial" w:eastAsia="Times New Roman" w:hAnsi="Arial" w:cs="Arial"/>
          <w:sz w:val="26"/>
          <w:szCs w:val="26"/>
        </w:rPr>
      </w:pPr>
      <w:r w:rsidRPr="00292673">
        <w:rPr>
          <w:rFonts w:ascii="Arial" w:eastAsia="Times New Roman" w:hAnsi="Arial" w:cs="Arial"/>
          <w:sz w:val="26"/>
          <w:szCs w:val="26"/>
        </w:rPr>
        <w:t> </w:t>
      </w:r>
    </w:p>
    <w:p w:rsidR="00292673" w:rsidRPr="00292673" w:rsidRDefault="00292673" w:rsidP="00292673">
      <w:pPr>
        <w:spacing w:after="0" w:line="240" w:lineRule="auto"/>
        <w:jc w:val="center"/>
        <w:rPr>
          <w:rFonts w:ascii="Arial" w:eastAsia="Times New Roman" w:hAnsi="Arial" w:cs="Arial"/>
          <w:sz w:val="31"/>
          <w:szCs w:val="31"/>
        </w:rPr>
      </w:pPr>
      <w:bookmarkStart w:id="0" w:name="str_1"/>
      <w:bookmarkEnd w:id="0"/>
      <w:r w:rsidRPr="00292673">
        <w:rPr>
          <w:rFonts w:ascii="Arial" w:eastAsia="Times New Roman" w:hAnsi="Arial" w:cs="Arial"/>
          <w:sz w:val="31"/>
          <w:szCs w:val="31"/>
        </w:rPr>
        <w:t xml:space="preserve">I OPŠTE ODREDBE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1" w:name="clan_1"/>
      <w:bookmarkEnd w:id="1"/>
      <w:r w:rsidRPr="00292673">
        <w:rPr>
          <w:rFonts w:ascii="Arial" w:eastAsia="Times New Roman" w:hAnsi="Arial" w:cs="Arial"/>
          <w:b/>
          <w:bCs/>
          <w:sz w:val="24"/>
          <w:szCs w:val="24"/>
        </w:rPr>
        <w:t xml:space="preserve">Član 1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Ovom odlukom određuju se akustičke zone za područje teritorije Grada Sombora obuhvaćenog Generalnog plana grada Sombora od 2007. - 2027. ("Sl. list opštine Sombor", br. 5/2007) i određuju mere zabrane i ograničenja u skladu sa Zakonom o zaštiti od buke u životnoj sredini (u daljem tekstu: Zakon).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Odredbe ove odluke ne odnose se na buku koja nastaje na radnom mestu i u radnoj okolini, buku koja nastaje u prevoznom sredstvu, buku koja potiče od vojnih aktivnosti na armijskim poligonima i aktivnostima na zaštiti od elementarnih nepogoda, prirodnih i drugih udesa, buku od aktivnosti u domaćinstvu ili buku iz susednog domaćinstva, kao i na buku kojoj su izloženi oni koji je stvaraju.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2" w:name="clan_2"/>
      <w:bookmarkEnd w:id="2"/>
      <w:r w:rsidRPr="00292673">
        <w:rPr>
          <w:rFonts w:ascii="Arial" w:eastAsia="Times New Roman" w:hAnsi="Arial" w:cs="Arial"/>
          <w:b/>
          <w:bCs/>
          <w:sz w:val="24"/>
          <w:szCs w:val="24"/>
        </w:rPr>
        <w:t xml:space="preserve">Član 2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Buka u životnoj sredini jeste neželjeni ili štetan zvuk (u daljem tekstu: buka).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Pravna i fizička lica koja obavljanjem svojih delatnosti utiču ili mogu uticati na izloženost buci dužna su da obezbede: učešće u troškovima zaštite od buke u životnoj sredini u okviru investicionih, tekućih i proizvodnih troškova; praćenje uticaja svoje delatnosti na buku; sprovođenje odgovarajućih mera zaštite od buke, u skladu sa Zakonom.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3" w:name="clan_3"/>
      <w:bookmarkEnd w:id="3"/>
      <w:r w:rsidRPr="00292673">
        <w:rPr>
          <w:rFonts w:ascii="Arial" w:eastAsia="Times New Roman" w:hAnsi="Arial" w:cs="Arial"/>
          <w:b/>
          <w:bCs/>
          <w:sz w:val="24"/>
          <w:szCs w:val="24"/>
        </w:rPr>
        <w:t xml:space="preserve">Član 3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Odredbe ove odluke ne odnose se na održavanje javnih skupova i javnih manifestacija za koje je aktom Gradskog veća grada Sombora ili drugog nadležnog organa utvrđeno da su od značaja za Grad Sombor.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4" w:name="clan_4"/>
      <w:bookmarkEnd w:id="4"/>
      <w:r w:rsidRPr="00292673">
        <w:rPr>
          <w:rFonts w:ascii="Arial" w:eastAsia="Times New Roman" w:hAnsi="Arial" w:cs="Arial"/>
          <w:b/>
          <w:bCs/>
          <w:sz w:val="24"/>
          <w:szCs w:val="24"/>
        </w:rPr>
        <w:t xml:space="preserve">Član 4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Izvor buke jeste svaki emiter neželjenog ili štetnog zvuka koji nastaje kao posledica aktivnosti ljudi.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Izvorima buke smatraju se: uređaji, sredstva za rad, saobraćajna sredstva, instalacije postrojenja, tehnološki postupci, elektroakustički uređaji, audio i video uređaji.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Izvorima zvuka smatraju se: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lastRenderedPageBreak/>
        <w:t xml:space="preserve">- pokretni i nepokretni objekti koji pod određenim okolnostima generišu zvuk,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 otvoreni i zatvoreni prostori za sport, igru, ples, predstave, koncerte, slušanje muzike i sl., i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 ugostiteljski objekti, garaže, parking prostori i dr. </w:t>
      </w:r>
    </w:p>
    <w:p w:rsidR="00292673" w:rsidRPr="00292673" w:rsidRDefault="00292673" w:rsidP="00292673">
      <w:pPr>
        <w:spacing w:after="0" w:line="240" w:lineRule="auto"/>
        <w:jc w:val="center"/>
        <w:rPr>
          <w:rFonts w:ascii="Arial" w:eastAsia="Times New Roman" w:hAnsi="Arial" w:cs="Arial"/>
          <w:sz w:val="31"/>
          <w:szCs w:val="31"/>
        </w:rPr>
      </w:pPr>
      <w:bookmarkStart w:id="5" w:name="str_2"/>
      <w:bookmarkEnd w:id="5"/>
      <w:r w:rsidRPr="00292673">
        <w:rPr>
          <w:rFonts w:ascii="Arial" w:eastAsia="Times New Roman" w:hAnsi="Arial" w:cs="Arial"/>
          <w:sz w:val="31"/>
          <w:szCs w:val="31"/>
        </w:rPr>
        <w:t xml:space="preserve">II AKUSTIČKO ZONIRANJE DELA TERITORIJE GRADA SOMBORA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6" w:name="clan_5"/>
      <w:bookmarkEnd w:id="6"/>
      <w:r w:rsidRPr="00292673">
        <w:rPr>
          <w:rFonts w:ascii="Arial" w:eastAsia="Times New Roman" w:hAnsi="Arial" w:cs="Arial"/>
          <w:b/>
          <w:bCs/>
          <w:sz w:val="24"/>
          <w:szCs w:val="24"/>
        </w:rPr>
        <w:t xml:space="preserve">Član 5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Akustičko zoniranje jeste određivanje granične vrednosti indikatora buke za različita područja prema njihovoj nameni.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Akustička zona jeste područje na čijoj je celoj površini propisana jedinstvena granična vrednost indikatora buke.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Određivanje akustičkih zona vrši se u zavisnosti od namene prostora.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Akustičke zone se određuju prema postojećem stanju izgrađenosti, načinu korišćenja zemljišta, kao i prema planiranim namenama prostora i definišu se graničnim vrednostima indikatora buke (za dan, veče i noć) izraženim u decibelima.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7" w:name="clan_6"/>
      <w:bookmarkEnd w:id="7"/>
      <w:r w:rsidRPr="00292673">
        <w:rPr>
          <w:rFonts w:ascii="Arial" w:eastAsia="Times New Roman" w:hAnsi="Arial" w:cs="Arial"/>
          <w:b/>
          <w:bCs/>
          <w:sz w:val="24"/>
          <w:szCs w:val="24"/>
        </w:rPr>
        <w:t xml:space="preserve">Član 6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Prema maksimalno dopuštenom nivou buke, teritorija grada Sombora obuhvaćena Generalnim planom grada Sombora podeljena je na šest akustičkih zona i to: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b/>
          <w:bCs/>
        </w:rPr>
        <w:t>I Zona:</w:t>
      </w:r>
      <w:r w:rsidRPr="00292673">
        <w:rPr>
          <w:rFonts w:ascii="Arial" w:eastAsia="Times New Roman" w:hAnsi="Arial" w:cs="Arial"/>
        </w:rPr>
        <w:t xml:space="preserve"> Područje za odmor i rekreaciju, bolničke zone i oporavilišta, kulturno-istorijski lokaliteti, veliki parkovi - blok broj: 84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b/>
          <w:bCs/>
        </w:rPr>
        <w:t>II Zona:</w:t>
      </w:r>
      <w:r w:rsidRPr="00292673">
        <w:rPr>
          <w:rFonts w:ascii="Arial" w:eastAsia="Times New Roman" w:hAnsi="Arial" w:cs="Arial"/>
        </w:rPr>
        <w:t xml:space="preserve"> Turistička područja, kampovi i školske zone - blokovi broj: 16, 83, 91, 99, 107, 109 i 118.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b/>
          <w:bCs/>
        </w:rPr>
        <w:t>III Zona:</w:t>
      </w:r>
      <w:r w:rsidRPr="00292673">
        <w:rPr>
          <w:rFonts w:ascii="Arial" w:eastAsia="Times New Roman" w:hAnsi="Arial" w:cs="Arial"/>
        </w:rPr>
        <w:t xml:space="preserve"> Čisto stambena područja - blokovi broj: 18, 20, 23, 28, 30, 31, 32, 33, 34, 35, 36, 38, 39, 40, 41, 42, 44, 45, 46, 48, 51, 53, 54, 55, 57, 58, 59, 60, 61, 62, 65, 66, 67, 68, 71, 72, 75, 77, 88, 89, 90, 92, 93, 97, 98, 110, 119, 120, 126, 129, 138, 139, 141 i 142.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b/>
          <w:bCs/>
        </w:rPr>
        <w:t xml:space="preserve">IV Zona: </w:t>
      </w:r>
      <w:r w:rsidRPr="00292673">
        <w:rPr>
          <w:rFonts w:ascii="Arial" w:eastAsia="Times New Roman" w:hAnsi="Arial" w:cs="Arial"/>
        </w:rPr>
        <w:t xml:space="preserve">Poslovno-stambena područja, trgovačko-stambena područja i dečja igrališta - blokovi broj: 4, 5, 6, 7, 8, 9, 10, 11, 12, 13, 14, 15, 17, 19, 21, 22, 24, 25, 26, 27, 29, 37, 43, 47, 49, 50, 52, 56, 63, 64, 70, 73, 74, 85, 94, 96, 101, 104, 105, 106, 112, 113, 116, 121, 122, 123, 124, 125, 128, 130, 131, 132, 133, 134, 135, 136, 137, 140 i 144.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b/>
          <w:bCs/>
        </w:rPr>
        <w:t>V Zona:</w:t>
      </w:r>
      <w:r w:rsidRPr="00292673">
        <w:rPr>
          <w:rFonts w:ascii="Arial" w:eastAsia="Times New Roman" w:hAnsi="Arial" w:cs="Arial"/>
        </w:rPr>
        <w:t xml:space="preserve"> Gradski centar, zanatska, trgovačka, administrativno-upravna zona sa stanovima, zona duž saobraćajnica, magistralnih i gradskih saobraćajnica - blokovi broj: 1, 2 i 3.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b/>
          <w:bCs/>
        </w:rPr>
        <w:lastRenderedPageBreak/>
        <w:t>VI Zona:</w:t>
      </w:r>
      <w:r w:rsidRPr="00292673">
        <w:rPr>
          <w:rFonts w:ascii="Arial" w:eastAsia="Times New Roman" w:hAnsi="Arial" w:cs="Arial"/>
        </w:rPr>
        <w:t xml:space="preserve"> Industrijska, skladišna i servisna područja i transportni terminali bez stambenih zgrada - blokovi broj: 69, 76, 78, 79, 80, 81, 82, 86, 87, 95, 100, 102, 103, 108, 111, 114, 115, 117, 127 i 143.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8" w:name="clan_7"/>
      <w:bookmarkEnd w:id="8"/>
      <w:r w:rsidRPr="00292673">
        <w:rPr>
          <w:rFonts w:ascii="Arial" w:eastAsia="Times New Roman" w:hAnsi="Arial" w:cs="Arial"/>
          <w:b/>
          <w:bCs/>
          <w:sz w:val="24"/>
          <w:szCs w:val="24"/>
        </w:rPr>
        <w:t xml:space="preserve">Član 7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Akustičke zone Grada Sombora sa graničnim vrednostima indikatora buke na otvorenom prostoru po zonama su: </w:t>
      </w:r>
    </w:p>
    <w:tbl>
      <w:tblPr>
        <w:tblW w:w="5000" w:type="pct"/>
        <w:tblCellSpacing w:w="0" w:type="dxa"/>
        <w:tblBorders>
          <w:top w:val="inset" w:sz="2" w:space="0" w:color="000000"/>
          <w:left w:val="inset" w:sz="2" w:space="0" w:color="000000"/>
          <w:bottom w:val="inset" w:sz="2" w:space="0" w:color="000000"/>
          <w:right w:val="inset" w:sz="2" w:space="0" w:color="000000"/>
        </w:tblBorders>
        <w:tblCellMar>
          <w:top w:w="15" w:type="dxa"/>
          <w:left w:w="15" w:type="dxa"/>
          <w:bottom w:w="15" w:type="dxa"/>
          <w:right w:w="15" w:type="dxa"/>
        </w:tblCellMar>
        <w:tblLook w:val="04A0"/>
      </w:tblPr>
      <w:tblGrid>
        <w:gridCol w:w="562"/>
        <w:gridCol w:w="6620"/>
        <w:gridCol w:w="1393"/>
        <w:gridCol w:w="845"/>
      </w:tblGrid>
      <w:tr w:rsidR="00292673" w:rsidRPr="00292673" w:rsidTr="0029267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Zona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Namena prostora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nivo buke u dB(A) </w:t>
            </w:r>
          </w:p>
        </w:tc>
      </w:tr>
      <w:tr w:rsidR="00292673" w:rsidRPr="00292673" w:rsidTr="0029267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za dan (6-18č) i veče (18-22č) </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za noć (22-6č) </w:t>
            </w:r>
          </w:p>
        </w:tc>
      </w:tr>
      <w:tr w:rsidR="00292673" w:rsidRPr="00292673" w:rsidTr="002926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jc w:val="center"/>
              <w:rPr>
                <w:rFonts w:ascii="Arial" w:eastAsia="Times New Roman" w:hAnsi="Arial" w:cs="Arial"/>
                <w:b/>
                <w:bCs/>
              </w:rPr>
            </w:pPr>
            <w:r w:rsidRPr="00292673">
              <w:rPr>
                <w:rFonts w:ascii="Arial" w:eastAsia="Times New Roman" w:hAnsi="Arial" w:cs="Arial"/>
                <w:b/>
                <w:bC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Područje za odmor i rekreaciju, bolničke zone i oporavilišta, kulturno-istorijski lokaliteti, veliki parkovi - blok broj: </w:t>
            </w:r>
            <w:r w:rsidRPr="00292673">
              <w:rPr>
                <w:rFonts w:ascii="Arial" w:eastAsia="Times New Roman" w:hAnsi="Arial" w:cs="Arial"/>
                <w:b/>
                <w:bCs/>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40 </w:t>
            </w:r>
          </w:p>
        </w:tc>
      </w:tr>
      <w:tr w:rsidR="00292673" w:rsidRPr="00292673" w:rsidTr="002926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jc w:val="center"/>
              <w:rPr>
                <w:rFonts w:ascii="Arial" w:eastAsia="Times New Roman" w:hAnsi="Arial" w:cs="Arial"/>
                <w:b/>
                <w:bCs/>
              </w:rPr>
            </w:pPr>
            <w:r w:rsidRPr="00292673">
              <w:rPr>
                <w:rFonts w:ascii="Arial" w:eastAsia="Times New Roman" w:hAnsi="Arial" w:cs="Arial"/>
                <w:b/>
                <w:bCs/>
              </w:rPr>
              <w:t xml:space="preserve">II </w:t>
            </w:r>
          </w:p>
        </w:tc>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Turistička područja, kampovi i školske zone - blokovi broj: </w:t>
            </w:r>
            <w:r w:rsidRPr="00292673">
              <w:rPr>
                <w:rFonts w:ascii="Arial" w:eastAsia="Times New Roman" w:hAnsi="Arial" w:cs="Arial"/>
                <w:b/>
                <w:bCs/>
              </w:rPr>
              <w:t>16, 83, 91, 99, 107, 109, 118.</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45 </w:t>
            </w:r>
          </w:p>
        </w:tc>
      </w:tr>
      <w:tr w:rsidR="00292673" w:rsidRPr="00292673" w:rsidTr="002926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jc w:val="center"/>
              <w:rPr>
                <w:rFonts w:ascii="Arial" w:eastAsia="Times New Roman" w:hAnsi="Arial" w:cs="Arial"/>
                <w:b/>
                <w:bCs/>
              </w:rPr>
            </w:pPr>
            <w:r w:rsidRPr="00292673">
              <w:rPr>
                <w:rFonts w:ascii="Arial" w:eastAsia="Times New Roman" w:hAnsi="Arial" w:cs="Arial"/>
                <w:b/>
                <w:bCs/>
              </w:rPr>
              <w:t xml:space="preserve">III </w:t>
            </w:r>
          </w:p>
        </w:tc>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Čisto stambena područja - blokovi broj: </w:t>
            </w:r>
            <w:r w:rsidRPr="00292673">
              <w:rPr>
                <w:rFonts w:ascii="Arial" w:eastAsia="Times New Roman" w:hAnsi="Arial" w:cs="Arial"/>
                <w:b/>
                <w:bCs/>
              </w:rPr>
              <w:t>18, 20, 23, 28, 30, 31, 32, 33, 34, 35, 36, 38, 39, 40, 41, 42, 44, 45, 46, 48, 51, 53, 54, 55, 57, 58, 59, 60, 61, 62, 65, 66, 67, 68, 71, 72, 75, 77, 88, 89, 90, 92, 93, 97, 98, 110, 119, 120, 126, 129, 138, 139, 141, 142.</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55 </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45 </w:t>
            </w:r>
          </w:p>
        </w:tc>
      </w:tr>
      <w:tr w:rsidR="00292673" w:rsidRPr="00292673" w:rsidTr="002926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jc w:val="center"/>
              <w:rPr>
                <w:rFonts w:ascii="Arial" w:eastAsia="Times New Roman" w:hAnsi="Arial" w:cs="Arial"/>
                <w:b/>
                <w:bCs/>
              </w:rPr>
            </w:pPr>
            <w:r w:rsidRPr="00292673">
              <w:rPr>
                <w:rFonts w:ascii="Arial" w:eastAsia="Times New Roman" w:hAnsi="Arial" w:cs="Arial"/>
                <w:b/>
                <w:bCs/>
              </w:rPr>
              <w:t xml:space="preserve">IV </w:t>
            </w:r>
          </w:p>
        </w:tc>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Poslovno-stambena područja, trgovačko- stambena područja i dečja igrališta - blokovi broj: </w:t>
            </w:r>
            <w:r w:rsidRPr="00292673">
              <w:rPr>
                <w:rFonts w:ascii="Arial" w:eastAsia="Times New Roman" w:hAnsi="Arial" w:cs="Arial"/>
                <w:b/>
                <w:bCs/>
              </w:rPr>
              <w:t>4, 5, 6, 7, 8, 9, 10, 11, 12, 13, 14, 15, 17, 19, 21, 22, 24, 25, 26, 27, 29, 37, 43, 47, 49, 50, 52, 56, 63, 64, 70, 73, 74, 85, 94, 96, 101, 104, 105, 106, 112, 113, 116, 121, 122, 123, 124, 125, 128, 130, 131, 132, 133, 134, 135, 136, 137, 140, 144.</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60 </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50 </w:t>
            </w:r>
          </w:p>
        </w:tc>
      </w:tr>
      <w:tr w:rsidR="00292673" w:rsidRPr="00292673" w:rsidTr="002926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jc w:val="center"/>
              <w:rPr>
                <w:rFonts w:ascii="Arial" w:eastAsia="Times New Roman" w:hAnsi="Arial" w:cs="Arial"/>
                <w:b/>
                <w:bCs/>
              </w:rPr>
            </w:pPr>
            <w:r w:rsidRPr="00292673">
              <w:rPr>
                <w:rFonts w:ascii="Arial" w:eastAsia="Times New Roman" w:hAnsi="Arial" w:cs="Arial"/>
                <w:b/>
                <w:bCs/>
              </w:rPr>
              <w:t xml:space="preserve">V </w:t>
            </w:r>
          </w:p>
        </w:tc>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Gradski centar, zanatska, trgovačka, administrativno-upravna zona sa stanovima, zona duž saobraćajnica, magistralnih i gradskih saobraćajnica - blokovi broj: </w:t>
            </w:r>
            <w:r w:rsidRPr="00292673">
              <w:rPr>
                <w:rFonts w:ascii="Arial" w:eastAsia="Times New Roman" w:hAnsi="Arial" w:cs="Arial"/>
                <w:b/>
                <w:bCs/>
              </w:rPr>
              <w:t>1, 2, 3.</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65 </w:t>
            </w:r>
          </w:p>
        </w:tc>
        <w:tc>
          <w:tcPr>
            <w:tcW w:w="0" w:type="auto"/>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55 </w:t>
            </w:r>
          </w:p>
        </w:tc>
      </w:tr>
      <w:tr w:rsidR="00292673" w:rsidRPr="00292673" w:rsidTr="0029267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jc w:val="center"/>
              <w:rPr>
                <w:rFonts w:ascii="Arial" w:eastAsia="Times New Roman" w:hAnsi="Arial" w:cs="Arial"/>
                <w:b/>
                <w:bCs/>
              </w:rPr>
            </w:pPr>
            <w:r w:rsidRPr="00292673">
              <w:rPr>
                <w:rFonts w:ascii="Arial" w:eastAsia="Times New Roman" w:hAnsi="Arial" w:cs="Arial"/>
                <w:b/>
                <w:bCs/>
              </w:rPr>
              <w:t xml:space="preserve">VI </w:t>
            </w:r>
          </w:p>
        </w:tc>
        <w:tc>
          <w:tcPr>
            <w:tcW w:w="0" w:type="auto"/>
            <w:tcBorders>
              <w:top w:val="outset" w:sz="6" w:space="0" w:color="auto"/>
              <w:left w:val="outset" w:sz="6" w:space="0" w:color="auto"/>
              <w:bottom w:val="outset" w:sz="6" w:space="0" w:color="auto"/>
              <w:right w:val="outset" w:sz="6" w:space="0" w:color="auto"/>
            </w:tcBorders>
            <w:hideMark/>
          </w:tcPr>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Industrijska, skladišna i servisna područja i transportni terminali bez stambenih zgrada - blokovi broj: </w:t>
            </w:r>
            <w:r w:rsidRPr="00292673">
              <w:rPr>
                <w:rFonts w:ascii="Arial" w:eastAsia="Times New Roman" w:hAnsi="Arial" w:cs="Arial"/>
                <w:b/>
                <w:bCs/>
              </w:rPr>
              <w:t>69,76, 78, 79, 80, 81, 82, 86, 87, 95, 100, 102, 103, 108, 111, 114, 115, 117, 127, 143.</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92673" w:rsidRPr="00292673" w:rsidRDefault="00292673" w:rsidP="00292673">
            <w:pPr>
              <w:spacing w:before="100" w:beforeAutospacing="1" w:after="100" w:afterAutospacing="1" w:line="240" w:lineRule="auto"/>
              <w:jc w:val="center"/>
              <w:rPr>
                <w:rFonts w:ascii="Arial" w:eastAsia="Times New Roman" w:hAnsi="Arial" w:cs="Arial"/>
              </w:rPr>
            </w:pPr>
            <w:r w:rsidRPr="00292673">
              <w:rPr>
                <w:rFonts w:ascii="Arial" w:eastAsia="Times New Roman" w:hAnsi="Arial" w:cs="Arial"/>
              </w:rPr>
              <w:t xml:space="preserve">Na granici ove zone buka ne sme prelaziti graničnu vrednost u zoni sa kojom se graniči </w:t>
            </w:r>
          </w:p>
        </w:tc>
      </w:tr>
    </w:tbl>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Ukoliko se objekat svojim gabaritima nalazi na granici dve akustičke zone primenjivaće se granične vrednosti one zone koja propisuje viši nivo buke. </w:t>
      </w:r>
    </w:p>
    <w:p w:rsidR="00292673" w:rsidRPr="00292673" w:rsidRDefault="00292673" w:rsidP="00292673">
      <w:pPr>
        <w:spacing w:after="0" w:line="240" w:lineRule="auto"/>
        <w:jc w:val="center"/>
        <w:rPr>
          <w:rFonts w:ascii="Arial" w:eastAsia="Times New Roman" w:hAnsi="Arial" w:cs="Arial"/>
          <w:sz w:val="31"/>
          <w:szCs w:val="31"/>
        </w:rPr>
      </w:pPr>
      <w:bookmarkStart w:id="9" w:name="str_3"/>
      <w:bookmarkEnd w:id="9"/>
      <w:r w:rsidRPr="00292673">
        <w:rPr>
          <w:rFonts w:ascii="Arial" w:eastAsia="Times New Roman" w:hAnsi="Arial" w:cs="Arial"/>
          <w:sz w:val="31"/>
          <w:szCs w:val="31"/>
        </w:rPr>
        <w:t xml:space="preserve">III MERE ZABRANE I OGRANIČENJA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10" w:name="clan_8"/>
      <w:bookmarkEnd w:id="10"/>
      <w:r w:rsidRPr="00292673">
        <w:rPr>
          <w:rFonts w:ascii="Arial" w:eastAsia="Times New Roman" w:hAnsi="Arial" w:cs="Arial"/>
          <w:b/>
          <w:bCs/>
          <w:sz w:val="24"/>
          <w:szCs w:val="24"/>
        </w:rPr>
        <w:t xml:space="preserve">Član 8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Pravno lice ili preduzetnik koje je vlasnik, odnosno korisnik izvora buke dužno je da se pridržava propisanih nivoa buke iz člana 7. ove Odluke i da na propisan način obezbedi merenje buke i izradu izveštaja o merenju buke kao i da snosi troškove merenja buke u zoni uticaja, u skladu sa Zakonom i ovom odlukom.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lastRenderedPageBreak/>
        <w:t xml:space="preserve">Lice koje u obavljanju delatnosti koristi izvore buke, mora posedovati Izveštaj izrađen od strane stručne organizacije ovlašćene od nadležnog ministarstva, usklađen sa graničnim vrednostima indikatora buke na otvorenom prostoru u određenoj akustičkoj zoni (u daljem tekstu: Izveštaj).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Pravno lice ili preduzetnik dužno je da čuva Izveštaj u prostoriji, odnosno mestu gde se izvor buke nalazi.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11" w:name="clan_9"/>
      <w:bookmarkEnd w:id="11"/>
      <w:r w:rsidRPr="00292673">
        <w:rPr>
          <w:rFonts w:ascii="Arial" w:eastAsia="Times New Roman" w:hAnsi="Arial" w:cs="Arial"/>
          <w:b/>
          <w:bCs/>
          <w:sz w:val="24"/>
          <w:szCs w:val="24"/>
        </w:rPr>
        <w:t xml:space="preserve">Član 9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Zabranjeno je držati otvorena vrata i/ili prozore prilikom obavljanja delatnosti u zanatskim i drugim radionicama i pogonima za obradu metala, drveta, kamena, plastike i sl., u kojima se obavljaju bučne radne operacije: kovanje, zakivanje, rezanje, brušenje, drobljenje, mlevenje, zavarivanje, farbanje i sl., u akustičkim zonama od I do V iz člana 6. ove Odluke, ukoliko su bukom ugroženi ljudi na mestima na kojima uobičajeno borave.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12" w:name="clan_10"/>
      <w:bookmarkEnd w:id="12"/>
      <w:r w:rsidRPr="00292673">
        <w:rPr>
          <w:rFonts w:ascii="Arial" w:eastAsia="Times New Roman" w:hAnsi="Arial" w:cs="Arial"/>
          <w:b/>
          <w:bCs/>
          <w:sz w:val="24"/>
          <w:szCs w:val="24"/>
        </w:rPr>
        <w:t xml:space="preserve">Član 10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Vanredno merenje buke u zonama iz člana 6. ove Odluke može da se vrši prema ukazanoj potrebi, a prema proceni inspektora za zaštitu životne sredine o potrebi za merenjem.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Vanredno merenje buke vršiće organizacija koja je ovlašćena od strane ministarstva nadležnog za poslove zaštite životne sredine.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13" w:name="clan_11"/>
      <w:bookmarkEnd w:id="13"/>
      <w:r w:rsidRPr="00292673">
        <w:rPr>
          <w:rFonts w:ascii="Arial" w:eastAsia="Times New Roman" w:hAnsi="Arial" w:cs="Arial"/>
          <w:b/>
          <w:bCs/>
          <w:sz w:val="24"/>
          <w:szCs w:val="24"/>
        </w:rPr>
        <w:t xml:space="preserve">Član 11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Troškove vanrednog merenja buke iz člana 10. ove Odluke snosi imalac, odnosno korisnik, izvora buke ukoliko ona prelazi nivo propisan ovom Odlukom, a ukoliko je nivo u dozvoljenim granicama, troškovi merenja buke padaju na teret budžeta Grada Sombora. </w:t>
      </w:r>
    </w:p>
    <w:p w:rsidR="00292673" w:rsidRPr="00292673" w:rsidRDefault="00292673" w:rsidP="00292673">
      <w:pPr>
        <w:spacing w:after="0" w:line="240" w:lineRule="auto"/>
        <w:jc w:val="center"/>
        <w:rPr>
          <w:rFonts w:ascii="Arial" w:eastAsia="Times New Roman" w:hAnsi="Arial" w:cs="Arial"/>
          <w:sz w:val="31"/>
          <w:szCs w:val="31"/>
        </w:rPr>
      </w:pPr>
      <w:bookmarkStart w:id="14" w:name="str_4"/>
      <w:bookmarkEnd w:id="14"/>
      <w:r w:rsidRPr="00292673">
        <w:rPr>
          <w:rFonts w:ascii="Arial" w:eastAsia="Times New Roman" w:hAnsi="Arial" w:cs="Arial"/>
          <w:sz w:val="31"/>
          <w:szCs w:val="31"/>
        </w:rPr>
        <w:t xml:space="preserve">IV NADZOR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15" w:name="clan_12"/>
      <w:bookmarkEnd w:id="15"/>
      <w:r w:rsidRPr="00292673">
        <w:rPr>
          <w:rFonts w:ascii="Arial" w:eastAsia="Times New Roman" w:hAnsi="Arial" w:cs="Arial"/>
          <w:b/>
          <w:bCs/>
          <w:sz w:val="24"/>
          <w:szCs w:val="24"/>
        </w:rPr>
        <w:t xml:space="preserve">Član 12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Nadzor nad sprovođenjem odredaba ove odluke koje se odnose na akustičko zoniranje vrši Odeljenje za komunalne delatnosti, imovinsko-pravne i stambene poslove Gradske uprave grada Sombora, a nadzor nad sprovođenjem ostalih odredbi ove odluke vrši Odeljenje za poljoprivredu i zaštitu životne sredine Gradske uprave grada Sombora.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16" w:name="clan_13"/>
      <w:bookmarkEnd w:id="16"/>
      <w:r w:rsidRPr="00292673">
        <w:rPr>
          <w:rFonts w:ascii="Arial" w:eastAsia="Times New Roman" w:hAnsi="Arial" w:cs="Arial"/>
          <w:b/>
          <w:bCs/>
          <w:sz w:val="24"/>
          <w:szCs w:val="24"/>
        </w:rPr>
        <w:t xml:space="preserve">Član 13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Inspekcijski nadzor nad primenom odredaba ove odluke vrši Odeljenje inspekcije i komunalne policije putem inspektora za zaštitu životne sredine, u skladu sa Zakonom. </w:t>
      </w:r>
    </w:p>
    <w:p w:rsidR="00292673" w:rsidRPr="00292673" w:rsidRDefault="00292673" w:rsidP="00292673">
      <w:pPr>
        <w:spacing w:after="0" w:line="240" w:lineRule="auto"/>
        <w:jc w:val="center"/>
        <w:rPr>
          <w:rFonts w:ascii="Arial" w:eastAsia="Times New Roman" w:hAnsi="Arial" w:cs="Arial"/>
          <w:sz w:val="31"/>
          <w:szCs w:val="31"/>
        </w:rPr>
      </w:pPr>
      <w:bookmarkStart w:id="17" w:name="str_5"/>
      <w:bookmarkEnd w:id="17"/>
      <w:r w:rsidRPr="00292673">
        <w:rPr>
          <w:rFonts w:ascii="Arial" w:eastAsia="Times New Roman" w:hAnsi="Arial" w:cs="Arial"/>
          <w:sz w:val="31"/>
          <w:szCs w:val="31"/>
        </w:rPr>
        <w:t xml:space="preserve">V KAZNENE ODREDBE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18" w:name="clan_14"/>
      <w:bookmarkEnd w:id="18"/>
      <w:r w:rsidRPr="00292673">
        <w:rPr>
          <w:rFonts w:ascii="Arial" w:eastAsia="Times New Roman" w:hAnsi="Arial" w:cs="Arial"/>
          <w:b/>
          <w:bCs/>
          <w:sz w:val="24"/>
          <w:szCs w:val="24"/>
        </w:rPr>
        <w:t xml:space="preserve">Član 14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lastRenderedPageBreak/>
        <w:t>Novčanom kaznom u iznosu od 150.000,00 dinara kazniće se za prekršaj privredno društvo i drugo pravno lice ako obavlja bučne radne operacije suprotno članu 9. ove Odluke.</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Za prekršaj iz stava 1. ovog člana kazniće se odgovorno lice u pravnom licu novčanom kaznom u iznosu od 25.000,00 dinara.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Za prekršaj iz stava 1. ovog člana kazniće se preduzetnik novčanom kaznom u iznosu od 75.000,00 dinara.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Protiv vlasnika, odnosno korisnika, izvora buke koji se ne pridržava propisanih nivoa buke iz člana 7. ove Odluke ili ne poseduje Izveštaj iz člana 8. stav 2. ove Odluke, inspektor za zaštitu životne sredine podnosi zahtev za pokretanje prekršajnog postupka u skladu sa Zakonom o zaštiti od buke u životnoj sredini. </w:t>
      </w:r>
    </w:p>
    <w:p w:rsidR="00292673" w:rsidRPr="00292673" w:rsidRDefault="00292673" w:rsidP="00292673">
      <w:pPr>
        <w:spacing w:after="0" w:line="240" w:lineRule="auto"/>
        <w:jc w:val="center"/>
        <w:rPr>
          <w:rFonts w:ascii="Arial" w:eastAsia="Times New Roman" w:hAnsi="Arial" w:cs="Arial"/>
          <w:sz w:val="31"/>
          <w:szCs w:val="31"/>
        </w:rPr>
      </w:pPr>
      <w:bookmarkStart w:id="19" w:name="str_6"/>
      <w:bookmarkEnd w:id="19"/>
      <w:r w:rsidRPr="00292673">
        <w:rPr>
          <w:rFonts w:ascii="Arial" w:eastAsia="Times New Roman" w:hAnsi="Arial" w:cs="Arial"/>
          <w:sz w:val="31"/>
          <w:szCs w:val="31"/>
        </w:rPr>
        <w:t xml:space="preserve">VI PRELAZNE I ZAVRŠNE ODREDBE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20" w:name="clan_15"/>
      <w:bookmarkEnd w:id="20"/>
      <w:r w:rsidRPr="00292673">
        <w:rPr>
          <w:rFonts w:ascii="Arial" w:eastAsia="Times New Roman" w:hAnsi="Arial" w:cs="Arial"/>
          <w:b/>
          <w:bCs/>
          <w:sz w:val="24"/>
          <w:szCs w:val="24"/>
        </w:rPr>
        <w:t xml:space="preserve">Član 15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Pravna lica i preduzetnici dužni su da usklade svoje poslovanje, odnosno da pribave Izveštaj iz člana 8. stav 2. Ove odluke u roku od 90 dana od dana stupanja na snagu ove odluke. </w:t>
      </w:r>
    </w:p>
    <w:p w:rsidR="00292673" w:rsidRPr="00292673" w:rsidRDefault="00292673" w:rsidP="00292673">
      <w:pPr>
        <w:spacing w:before="240" w:after="120" w:line="240" w:lineRule="auto"/>
        <w:jc w:val="center"/>
        <w:rPr>
          <w:rFonts w:ascii="Arial" w:eastAsia="Times New Roman" w:hAnsi="Arial" w:cs="Arial"/>
          <w:b/>
          <w:bCs/>
          <w:sz w:val="24"/>
          <w:szCs w:val="24"/>
        </w:rPr>
      </w:pPr>
      <w:bookmarkStart w:id="21" w:name="clan_16"/>
      <w:bookmarkEnd w:id="21"/>
      <w:r w:rsidRPr="00292673">
        <w:rPr>
          <w:rFonts w:ascii="Arial" w:eastAsia="Times New Roman" w:hAnsi="Arial" w:cs="Arial"/>
          <w:b/>
          <w:bCs/>
          <w:sz w:val="24"/>
          <w:szCs w:val="24"/>
        </w:rPr>
        <w:t xml:space="preserve">Član 16 </w:t>
      </w:r>
    </w:p>
    <w:p w:rsidR="00292673" w:rsidRPr="00292673" w:rsidRDefault="00292673" w:rsidP="00292673">
      <w:pPr>
        <w:spacing w:before="100" w:beforeAutospacing="1" w:after="100" w:afterAutospacing="1" w:line="240" w:lineRule="auto"/>
        <w:rPr>
          <w:rFonts w:ascii="Arial" w:eastAsia="Times New Roman" w:hAnsi="Arial" w:cs="Arial"/>
        </w:rPr>
      </w:pPr>
      <w:r w:rsidRPr="00292673">
        <w:rPr>
          <w:rFonts w:ascii="Arial" w:eastAsia="Times New Roman" w:hAnsi="Arial" w:cs="Arial"/>
        </w:rPr>
        <w:t xml:space="preserve">Ova odluka stupa na snagu osmog dana od dana objavljivanja u "Službenom listu Grada Sombora". </w:t>
      </w:r>
    </w:p>
    <w:p w:rsidR="00483ACA" w:rsidRDefault="00483ACA"/>
    <w:sectPr w:rsidR="00483ACA" w:rsidSect="00483A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292673"/>
    <w:rsid w:val="00146EA3"/>
    <w:rsid w:val="00292673"/>
    <w:rsid w:val="00483ACA"/>
    <w:rsid w:val="00D32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CA"/>
  </w:style>
  <w:style w:type="paragraph" w:styleId="Heading4">
    <w:name w:val="heading 4"/>
    <w:basedOn w:val="Normal"/>
    <w:link w:val="Heading4Char"/>
    <w:uiPriority w:val="9"/>
    <w:qFormat/>
    <w:rsid w:val="00292673"/>
    <w:pPr>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2673"/>
    <w:rPr>
      <w:rFonts w:ascii="Times New Roman" w:eastAsia="Times New Roman" w:hAnsi="Times New Roman" w:cs="Times New Roman"/>
      <w:b/>
      <w:bCs/>
      <w:sz w:val="24"/>
      <w:szCs w:val="24"/>
    </w:rPr>
  </w:style>
  <w:style w:type="paragraph" w:customStyle="1" w:styleId="clan">
    <w:name w:val="clan"/>
    <w:basedOn w:val="Normal"/>
    <w:rsid w:val="00292673"/>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292673"/>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292673"/>
    <w:pPr>
      <w:shd w:val="clear" w:color="auto" w:fill="000000"/>
      <w:spacing w:before="100" w:beforeAutospacing="1" w:after="100" w:afterAutospacing="1" w:line="264" w:lineRule="auto"/>
      <w:jc w:val="center"/>
    </w:pPr>
    <w:rPr>
      <w:rFonts w:ascii="Arial" w:eastAsia="Times New Roman" w:hAnsi="Arial" w:cs="Arial"/>
      <w:i/>
      <w:iCs/>
      <w:color w:val="FFE8BF"/>
      <w:sz w:val="26"/>
      <w:szCs w:val="26"/>
    </w:rPr>
  </w:style>
  <w:style w:type="paragraph" w:customStyle="1" w:styleId="normalboldcentar">
    <w:name w:val="normalboldcentar"/>
    <w:basedOn w:val="Normal"/>
    <w:rsid w:val="00292673"/>
    <w:pPr>
      <w:spacing w:before="100" w:beforeAutospacing="1" w:after="100" w:afterAutospacing="1" w:line="240" w:lineRule="auto"/>
      <w:jc w:val="center"/>
    </w:pPr>
    <w:rPr>
      <w:rFonts w:ascii="Arial" w:eastAsia="Times New Roman" w:hAnsi="Arial" w:cs="Arial"/>
      <w:b/>
      <w:bCs/>
    </w:rPr>
  </w:style>
  <w:style w:type="paragraph" w:customStyle="1" w:styleId="normalcentar">
    <w:name w:val="normalcentar"/>
    <w:basedOn w:val="Normal"/>
    <w:rsid w:val="00292673"/>
    <w:pPr>
      <w:spacing w:before="100" w:beforeAutospacing="1" w:after="100" w:afterAutospacing="1" w:line="240" w:lineRule="auto"/>
      <w:jc w:val="center"/>
    </w:pPr>
    <w:rPr>
      <w:rFonts w:ascii="Arial" w:eastAsia="Times New Roman" w:hAnsi="Arial" w:cs="Arial"/>
    </w:rPr>
  </w:style>
  <w:style w:type="paragraph" w:customStyle="1" w:styleId="normalprored">
    <w:name w:val="normalprored"/>
    <w:basedOn w:val="Normal"/>
    <w:rsid w:val="00292673"/>
    <w:pPr>
      <w:spacing w:after="0" w:line="240" w:lineRule="auto"/>
    </w:pPr>
    <w:rPr>
      <w:rFonts w:ascii="Arial" w:eastAsia="Times New Roman" w:hAnsi="Arial" w:cs="Arial"/>
      <w:sz w:val="26"/>
      <w:szCs w:val="26"/>
    </w:rPr>
  </w:style>
  <w:style w:type="paragraph" w:customStyle="1" w:styleId="wyq060---pododeljak">
    <w:name w:val="wyq060---pododeljak"/>
    <w:basedOn w:val="Normal"/>
    <w:rsid w:val="00292673"/>
    <w:pPr>
      <w:spacing w:after="0" w:line="240" w:lineRule="auto"/>
      <w:jc w:val="center"/>
    </w:pPr>
    <w:rPr>
      <w:rFonts w:ascii="Arial" w:eastAsia="Times New Roman" w:hAnsi="Arial" w:cs="Arial"/>
      <w:sz w:val="31"/>
      <w:szCs w:val="31"/>
    </w:rPr>
  </w:style>
</w:styles>
</file>

<file path=word/webSettings.xml><?xml version="1.0" encoding="utf-8"?>
<w:webSettings xmlns:r="http://schemas.openxmlformats.org/officeDocument/2006/relationships" xmlns:w="http://schemas.openxmlformats.org/wordprocessingml/2006/main">
  <w:divs>
    <w:div w:id="19890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pdzomba</dc:creator>
  <cp:lastModifiedBy>pdzomba</cp:lastModifiedBy>
  <cp:revision>2</cp:revision>
  <dcterms:created xsi:type="dcterms:W3CDTF">2019-07-05T06:05:00Z</dcterms:created>
  <dcterms:modified xsi:type="dcterms:W3CDTF">2019-07-05T06:05:00Z</dcterms:modified>
</cp:coreProperties>
</file>