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F534B" w14:textId="7FAD3508" w:rsidR="003436FE" w:rsidRPr="002B370E" w:rsidRDefault="003436FE">
      <w:pPr>
        <w:pStyle w:val="Subtitle"/>
        <w:spacing w:after="240"/>
        <w:rPr>
          <w:lang w:val="en-GB"/>
        </w:rPr>
      </w:pPr>
      <w:r w:rsidRPr="002B370E">
        <w:rPr>
          <w:lang w:val="en-GB"/>
        </w:rPr>
        <w:t xml:space="preserve">REFERENCE: </w:t>
      </w:r>
      <w:r w:rsidR="002066D9" w:rsidRPr="002066D9">
        <w:rPr>
          <w:lang w:val="en-GB"/>
        </w:rPr>
        <w:t>HUSRB/1602/42/0073/LB-TD-SE-02</w:t>
      </w:r>
    </w:p>
    <w:p w14:paraId="72AB21FC"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A43B42A"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3B6205DD"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A87C72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05F0FCAB"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31042258" w14:textId="77777777" w:rsidTr="00010683">
        <w:tc>
          <w:tcPr>
            <w:tcW w:w="4820" w:type="dxa"/>
            <w:tcBorders>
              <w:bottom w:val="nil"/>
            </w:tcBorders>
          </w:tcPr>
          <w:p w14:paraId="0919CE24" w14:textId="77777777" w:rsidR="003436FE" w:rsidRPr="002B370E" w:rsidRDefault="003436FE">
            <w:pPr>
              <w:rPr>
                <w:sz w:val="22"/>
                <w:szCs w:val="22"/>
              </w:rPr>
            </w:pPr>
          </w:p>
        </w:tc>
        <w:tc>
          <w:tcPr>
            <w:tcW w:w="1972" w:type="dxa"/>
            <w:shd w:val="pct10" w:color="auto" w:fill="FFFFFF"/>
          </w:tcPr>
          <w:p w14:paraId="3E060063"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0749B07B" w14:textId="77777777" w:rsidR="003436FE" w:rsidRPr="002B370E" w:rsidRDefault="003436FE">
            <w:pPr>
              <w:jc w:val="center"/>
              <w:rPr>
                <w:b/>
                <w:sz w:val="22"/>
                <w:szCs w:val="22"/>
              </w:rPr>
            </w:pPr>
            <w:r w:rsidRPr="002B370E">
              <w:rPr>
                <w:b/>
                <w:sz w:val="22"/>
                <w:szCs w:val="22"/>
              </w:rPr>
              <w:t>TIME*</w:t>
            </w:r>
          </w:p>
        </w:tc>
      </w:tr>
      <w:tr w:rsidR="003436FE" w:rsidRPr="002B370E" w14:paraId="114B58E0" w14:textId="77777777" w:rsidTr="00010683">
        <w:tc>
          <w:tcPr>
            <w:tcW w:w="4820" w:type="dxa"/>
            <w:shd w:val="pct10" w:color="auto" w:fill="FFFFFF"/>
          </w:tcPr>
          <w:p w14:paraId="06A664A3"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386F6C73" w14:textId="2F6151AC" w:rsidR="003436FE" w:rsidRPr="00365E90" w:rsidRDefault="0081420B">
            <w:pPr>
              <w:spacing w:before="120" w:after="120"/>
              <w:jc w:val="center"/>
              <w:rPr>
                <w:sz w:val="22"/>
                <w:szCs w:val="22"/>
              </w:rPr>
            </w:pPr>
            <w:r>
              <w:rPr>
                <w:sz w:val="22"/>
                <w:szCs w:val="22"/>
              </w:rPr>
              <w:t>15</w:t>
            </w:r>
            <w:r w:rsidR="00365E90" w:rsidRPr="00365E90">
              <w:rPr>
                <w:sz w:val="22"/>
                <w:szCs w:val="22"/>
              </w:rPr>
              <w:t xml:space="preserve"> September 2019</w:t>
            </w:r>
          </w:p>
        </w:tc>
        <w:tc>
          <w:tcPr>
            <w:tcW w:w="1572" w:type="dxa"/>
          </w:tcPr>
          <w:p w14:paraId="25A04A33" w14:textId="6943B05A" w:rsidR="003436FE" w:rsidRPr="002B370E" w:rsidRDefault="00BD37B2">
            <w:pPr>
              <w:spacing w:before="120" w:after="120"/>
              <w:jc w:val="center"/>
              <w:rPr>
                <w:sz w:val="22"/>
                <w:szCs w:val="22"/>
              </w:rPr>
            </w:pPr>
            <w:r>
              <w:rPr>
                <w:sz w:val="22"/>
                <w:szCs w:val="22"/>
              </w:rPr>
              <w:t>15:00</w:t>
            </w:r>
          </w:p>
        </w:tc>
      </w:tr>
      <w:tr w:rsidR="003B5019" w:rsidRPr="002B370E" w14:paraId="068FAC8B" w14:textId="77777777" w:rsidTr="00010683">
        <w:tc>
          <w:tcPr>
            <w:tcW w:w="4820" w:type="dxa"/>
            <w:shd w:val="pct10" w:color="auto" w:fill="FFFFFF"/>
          </w:tcPr>
          <w:p w14:paraId="129D54C2" w14:textId="77777777" w:rsidR="003B5019" w:rsidRPr="002B370E" w:rsidRDefault="003B5019" w:rsidP="003B5019">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38C93F9D" w14:textId="01006526" w:rsidR="003B5019" w:rsidRPr="00365E90" w:rsidRDefault="00365E90" w:rsidP="003B5019">
            <w:pPr>
              <w:spacing w:before="120" w:after="120"/>
              <w:jc w:val="center"/>
              <w:rPr>
                <w:sz w:val="22"/>
                <w:szCs w:val="22"/>
              </w:rPr>
            </w:pPr>
            <w:r w:rsidRPr="00365E90">
              <w:rPr>
                <w:sz w:val="22"/>
                <w:szCs w:val="22"/>
              </w:rPr>
              <w:t>2</w:t>
            </w:r>
            <w:r w:rsidR="00253545">
              <w:rPr>
                <w:sz w:val="22"/>
                <w:szCs w:val="22"/>
              </w:rPr>
              <w:t>5</w:t>
            </w:r>
            <w:bookmarkStart w:id="1" w:name="_GoBack"/>
            <w:bookmarkEnd w:id="1"/>
            <w:r w:rsidRPr="00365E90">
              <w:rPr>
                <w:sz w:val="22"/>
                <w:szCs w:val="22"/>
              </w:rPr>
              <w:t xml:space="preserve"> September 2019</w:t>
            </w:r>
          </w:p>
        </w:tc>
        <w:tc>
          <w:tcPr>
            <w:tcW w:w="1572" w:type="dxa"/>
          </w:tcPr>
          <w:p w14:paraId="1B9A3929" w14:textId="77777777" w:rsidR="003B5019" w:rsidRPr="002B370E" w:rsidRDefault="003B5019" w:rsidP="003B5019">
            <w:pPr>
              <w:spacing w:before="120" w:after="120"/>
              <w:jc w:val="center"/>
              <w:rPr>
                <w:sz w:val="22"/>
                <w:szCs w:val="22"/>
              </w:rPr>
            </w:pPr>
            <w:r w:rsidRPr="002B370E">
              <w:rPr>
                <w:sz w:val="22"/>
                <w:szCs w:val="22"/>
              </w:rPr>
              <w:t>-</w:t>
            </w:r>
          </w:p>
        </w:tc>
      </w:tr>
      <w:tr w:rsidR="003436FE" w:rsidRPr="002B370E" w14:paraId="4625EBC2" w14:textId="77777777" w:rsidTr="00010683">
        <w:tc>
          <w:tcPr>
            <w:tcW w:w="4820" w:type="dxa"/>
            <w:shd w:val="pct10" w:color="auto" w:fill="FFFFFF"/>
          </w:tcPr>
          <w:p w14:paraId="50DB1162"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7F36C1FA" w14:textId="721CE7F5" w:rsidR="003436FE" w:rsidRPr="00076C07" w:rsidRDefault="00E71B2C">
            <w:pPr>
              <w:spacing w:before="120" w:after="120"/>
              <w:jc w:val="center"/>
              <w:rPr>
                <w:sz w:val="22"/>
                <w:szCs w:val="22"/>
              </w:rPr>
            </w:pPr>
            <w:r>
              <w:rPr>
                <w:sz w:val="22"/>
                <w:szCs w:val="22"/>
              </w:rPr>
              <w:t>6</w:t>
            </w:r>
            <w:r w:rsidR="00076C07" w:rsidRPr="00076C07">
              <w:rPr>
                <w:sz w:val="22"/>
                <w:szCs w:val="22"/>
              </w:rPr>
              <w:t xml:space="preserve"> October 2019</w:t>
            </w:r>
          </w:p>
        </w:tc>
        <w:tc>
          <w:tcPr>
            <w:tcW w:w="1572" w:type="dxa"/>
          </w:tcPr>
          <w:p w14:paraId="72BC8ACE" w14:textId="51DCF66F" w:rsidR="003436FE" w:rsidRPr="002B370E" w:rsidRDefault="003B5019">
            <w:pPr>
              <w:spacing w:before="120" w:after="120"/>
              <w:jc w:val="center"/>
              <w:rPr>
                <w:sz w:val="22"/>
                <w:szCs w:val="22"/>
              </w:rPr>
            </w:pPr>
            <w:r>
              <w:rPr>
                <w:sz w:val="22"/>
                <w:szCs w:val="22"/>
              </w:rPr>
              <w:t>15:00</w:t>
            </w:r>
          </w:p>
        </w:tc>
      </w:tr>
      <w:tr w:rsidR="003436FE" w:rsidRPr="002B370E" w14:paraId="6EE39144" w14:textId="77777777" w:rsidTr="00010683">
        <w:tc>
          <w:tcPr>
            <w:tcW w:w="4820" w:type="dxa"/>
            <w:shd w:val="pct10" w:color="auto" w:fill="FFFFFF"/>
          </w:tcPr>
          <w:p w14:paraId="37D2531C"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1ACB26A6" w14:textId="45A60A13" w:rsidR="003436FE" w:rsidRPr="00365E90" w:rsidRDefault="003436FE" w:rsidP="003436FE">
            <w:pPr>
              <w:spacing w:before="120" w:after="120"/>
              <w:jc w:val="center"/>
              <w:rPr>
                <w:sz w:val="22"/>
                <w:szCs w:val="22"/>
              </w:rPr>
            </w:pPr>
            <w:r w:rsidRPr="00365E90">
              <w:rPr>
                <w:sz w:val="22"/>
                <w:szCs w:val="22"/>
              </w:rPr>
              <w:t xml:space="preserve">Not applicable </w:t>
            </w:r>
            <w:r w:rsidRPr="00365E90">
              <w:rPr>
                <w:sz w:val="22"/>
                <w:szCs w:val="22"/>
                <w:vertAlign w:val="superscript"/>
              </w:rPr>
              <w:sym w:font="Monotype Sorts" w:char="F027"/>
            </w:r>
          </w:p>
        </w:tc>
        <w:tc>
          <w:tcPr>
            <w:tcW w:w="1572" w:type="dxa"/>
          </w:tcPr>
          <w:p w14:paraId="7E96811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619303F1" w14:textId="77777777" w:rsidTr="00010683">
        <w:tc>
          <w:tcPr>
            <w:tcW w:w="4820" w:type="dxa"/>
            <w:shd w:val="pct10" w:color="auto" w:fill="FFFFFF"/>
          </w:tcPr>
          <w:p w14:paraId="2B48E134"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25F45957" w14:textId="074725E2" w:rsidR="003436FE" w:rsidRPr="00365E90" w:rsidRDefault="007F4629">
            <w:pPr>
              <w:spacing w:before="120" w:after="120"/>
              <w:jc w:val="center"/>
              <w:rPr>
                <w:sz w:val="22"/>
                <w:szCs w:val="22"/>
              </w:rPr>
            </w:pPr>
            <w:r w:rsidRPr="00365E90">
              <w:rPr>
                <w:sz w:val="22"/>
                <w:szCs w:val="22"/>
              </w:rPr>
              <w:t>8 October 2019</w:t>
            </w:r>
            <w:r w:rsidR="003436FE" w:rsidRPr="00365E90">
              <w:rPr>
                <w:sz w:val="22"/>
                <w:szCs w:val="22"/>
              </w:rPr>
              <w:t xml:space="preserve"> </w:t>
            </w:r>
            <w:r w:rsidR="003436FE" w:rsidRPr="00365E90">
              <w:rPr>
                <w:sz w:val="22"/>
                <w:szCs w:val="22"/>
                <w:vertAlign w:val="superscript"/>
              </w:rPr>
              <w:sym w:font="Monotype Sorts" w:char="F027"/>
            </w:r>
          </w:p>
        </w:tc>
        <w:tc>
          <w:tcPr>
            <w:tcW w:w="1572" w:type="dxa"/>
          </w:tcPr>
          <w:p w14:paraId="2A142317"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12B7235" w14:textId="77777777" w:rsidTr="00010683">
        <w:tc>
          <w:tcPr>
            <w:tcW w:w="4820" w:type="dxa"/>
            <w:shd w:val="pct10" w:color="auto" w:fill="FFFFFF"/>
          </w:tcPr>
          <w:p w14:paraId="600B258A"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26AC1C0A" w14:textId="6C3C18A1" w:rsidR="003436FE" w:rsidRPr="00365E90" w:rsidRDefault="001677D4">
            <w:pPr>
              <w:spacing w:before="120" w:after="120"/>
              <w:jc w:val="center"/>
              <w:rPr>
                <w:sz w:val="22"/>
                <w:szCs w:val="22"/>
              </w:rPr>
            </w:pPr>
            <w:r w:rsidRPr="00365E90">
              <w:rPr>
                <w:sz w:val="22"/>
                <w:szCs w:val="22"/>
              </w:rPr>
              <w:t xml:space="preserve">9 </w:t>
            </w:r>
            <w:r w:rsidR="007F4629" w:rsidRPr="00365E90">
              <w:rPr>
                <w:sz w:val="22"/>
                <w:szCs w:val="22"/>
              </w:rPr>
              <w:t xml:space="preserve">October 2019 </w:t>
            </w:r>
            <w:r w:rsidR="003436FE" w:rsidRPr="00365E90">
              <w:rPr>
                <w:sz w:val="22"/>
                <w:szCs w:val="22"/>
                <w:vertAlign w:val="superscript"/>
              </w:rPr>
              <w:sym w:font="Monotype Sorts" w:char="F027"/>
            </w:r>
          </w:p>
        </w:tc>
        <w:tc>
          <w:tcPr>
            <w:tcW w:w="1572" w:type="dxa"/>
          </w:tcPr>
          <w:p w14:paraId="33BC7D9B"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434F0FF" w14:textId="77777777" w:rsidTr="00010683">
        <w:tc>
          <w:tcPr>
            <w:tcW w:w="4820" w:type="dxa"/>
            <w:shd w:val="pct10" w:color="auto" w:fill="FFFFFF"/>
          </w:tcPr>
          <w:p w14:paraId="5AC93F5B"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759079AC" w14:textId="549682A3" w:rsidR="003436FE" w:rsidRPr="00365E90" w:rsidRDefault="001677D4">
            <w:pPr>
              <w:spacing w:before="120" w:after="120"/>
              <w:jc w:val="center"/>
              <w:rPr>
                <w:sz w:val="22"/>
                <w:szCs w:val="22"/>
              </w:rPr>
            </w:pPr>
            <w:r w:rsidRPr="00365E90">
              <w:rPr>
                <w:sz w:val="22"/>
                <w:szCs w:val="22"/>
              </w:rPr>
              <w:t>15</w:t>
            </w:r>
            <w:r w:rsidR="00F86CCE" w:rsidRPr="00365E90">
              <w:rPr>
                <w:sz w:val="22"/>
                <w:szCs w:val="22"/>
              </w:rPr>
              <w:t xml:space="preserve"> October 2019</w:t>
            </w:r>
            <w:r w:rsidR="003436FE" w:rsidRPr="00365E90">
              <w:rPr>
                <w:sz w:val="22"/>
                <w:szCs w:val="22"/>
              </w:rPr>
              <w:t xml:space="preserve"> </w:t>
            </w:r>
            <w:r w:rsidR="003436FE" w:rsidRPr="00365E90">
              <w:rPr>
                <w:sz w:val="22"/>
                <w:szCs w:val="22"/>
                <w:vertAlign w:val="superscript"/>
              </w:rPr>
              <w:sym w:font="Monotype Sorts" w:char="F027"/>
            </w:r>
          </w:p>
        </w:tc>
        <w:tc>
          <w:tcPr>
            <w:tcW w:w="1572" w:type="dxa"/>
          </w:tcPr>
          <w:p w14:paraId="42989FBD" w14:textId="77777777" w:rsidR="003436FE" w:rsidRPr="002B370E" w:rsidRDefault="003436FE">
            <w:pPr>
              <w:spacing w:before="120" w:after="120"/>
              <w:jc w:val="center"/>
              <w:rPr>
                <w:sz w:val="22"/>
                <w:szCs w:val="22"/>
              </w:rPr>
            </w:pPr>
            <w:r w:rsidRPr="002B370E">
              <w:rPr>
                <w:sz w:val="22"/>
                <w:szCs w:val="22"/>
              </w:rPr>
              <w:t>-</w:t>
            </w:r>
          </w:p>
        </w:tc>
      </w:tr>
      <w:tr w:rsidR="001677D4" w:rsidRPr="002B370E" w14:paraId="5D05FD82" w14:textId="77777777" w:rsidTr="00010683">
        <w:tc>
          <w:tcPr>
            <w:tcW w:w="4820" w:type="dxa"/>
            <w:shd w:val="pct10" w:color="auto" w:fill="FFFFFF"/>
          </w:tcPr>
          <w:p w14:paraId="2E0E5096" w14:textId="77777777" w:rsidR="001677D4" w:rsidRPr="002B370E" w:rsidRDefault="001677D4" w:rsidP="001677D4">
            <w:pPr>
              <w:spacing w:before="120" w:after="120"/>
              <w:rPr>
                <w:b/>
                <w:sz w:val="22"/>
                <w:szCs w:val="22"/>
              </w:rPr>
            </w:pPr>
            <w:r>
              <w:rPr>
                <w:b/>
                <w:sz w:val="22"/>
                <w:szCs w:val="22"/>
              </w:rPr>
              <w:t>Start</w:t>
            </w:r>
            <w:r w:rsidRPr="002B370E">
              <w:rPr>
                <w:b/>
                <w:sz w:val="22"/>
                <w:szCs w:val="22"/>
              </w:rPr>
              <w:t xml:space="preserve"> date</w:t>
            </w:r>
          </w:p>
        </w:tc>
        <w:tc>
          <w:tcPr>
            <w:tcW w:w="1972" w:type="dxa"/>
          </w:tcPr>
          <w:p w14:paraId="76365E55" w14:textId="4ED5CFA9" w:rsidR="001677D4" w:rsidRPr="00365E90" w:rsidRDefault="001677D4" w:rsidP="001677D4">
            <w:pPr>
              <w:spacing w:before="120" w:after="120"/>
              <w:jc w:val="center"/>
              <w:rPr>
                <w:sz w:val="22"/>
                <w:szCs w:val="22"/>
              </w:rPr>
            </w:pPr>
            <w:r w:rsidRPr="00365E90">
              <w:rPr>
                <w:sz w:val="22"/>
                <w:szCs w:val="22"/>
              </w:rPr>
              <w:t xml:space="preserve">15 October 2019 </w:t>
            </w:r>
            <w:r w:rsidRPr="00365E90">
              <w:rPr>
                <w:sz w:val="22"/>
                <w:szCs w:val="22"/>
                <w:vertAlign w:val="superscript"/>
              </w:rPr>
              <w:sym w:font="Monotype Sorts" w:char="F027"/>
            </w:r>
          </w:p>
        </w:tc>
        <w:tc>
          <w:tcPr>
            <w:tcW w:w="1572" w:type="dxa"/>
          </w:tcPr>
          <w:p w14:paraId="1ECDECE6" w14:textId="77777777" w:rsidR="001677D4" w:rsidRPr="002B370E" w:rsidRDefault="001677D4" w:rsidP="001677D4">
            <w:pPr>
              <w:spacing w:before="120" w:after="120"/>
              <w:jc w:val="center"/>
              <w:rPr>
                <w:sz w:val="22"/>
                <w:szCs w:val="22"/>
              </w:rPr>
            </w:pPr>
            <w:r w:rsidRPr="002B370E">
              <w:rPr>
                <w:sz w:val="22"/>
                <w:szCs w:val="22"/>
              </w:rPr>
              <w:t>-</w:t>
            </w:r>
          </w:p>
        </w:tc>
      </w:tr>
    </w:tbl>
    <w:p w14:paraId="49DB48C8"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7C83F15A"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6CCEFB95"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5B9686ED" w14:textId="77777777"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8C31F6B"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3099263C" w14:textId="77777777" w:rsidR="00381AB8" w:rsidRPr="001677D4"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w:t>
      </w:r>
      <w:r w:rsidRPr="001677D4">
        <w:rPr>
          <w:sz w:val="22"/>
          <w:szCs w:val="22"/>
        </w:rPr>
        <w:t xml:space="preserve">dispute resolution clause. </w:t>
      </w:r>
    </w:p>
    <w:p w14:paraId="3BAE35DE" w14:textId="27DA8BF7" w:rsidR="00D66CD2" w:rsidRPr="00300E05" w:rsidRDefault="00D66CD2" w:rsidP="001677D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1677D4">
        <w:rPr>
          <w:sz w:val="22"/>
          <w:szCs w:val="22"/>
        </w:rPr>
        <w:t>Subcontracting is allowed but the contractor will retain full liability towards the contracting authority for performance of the contract as a whole. If the tenderer intends to subcontract one or more parts</w:t>
      </w:r>
      <w:r w:rsidRPr="00632671">
        <w:rPr>
          <w:sz w:val="22"/>
          <w:szCs w:val="22"/>
        </w:rPr>
        <w:t xml:space="preserve"> of the contracted services, this must be clearly stated in the </w:t>
      </w:r>
      <w:r>
        <w:rPr>
          <w:sz w:val="22"/>
          <w:szCs w:val="22"/>
        </w:rPr>
        <w:t>organisation and methodology and the t</w:t>
      </w:r>
      <w:r w:rsidRPr="00632671">
        <w:rPr>
          <w:sz w:val="22"/>
          <w:szCs w:val="22"/>
        </w:rPr>
        <w:t>ender submission form.</w:t>
      </w:r>
    </w:p>
    <w:p w14:paraId="25555AD8"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14:paraId="73EDF046" w14:textId="549C815D" w:rsidR="001677D4" w:rsidRPr="001677D4" w:rsidRDefault="003436FE" w:rsidP="001677D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06FD5479" w14:textId="2DAA83B5" w:rsidR="003436FE" w:rsidRPr="002B370E" w:rsidRDefault="001677D4" w:rsidP="003436FE">
      <w:pPr>
        <w:widowControl w:val="0"/>
        <w:numPr>
          <w:ilvl w:val="0"/>
          <w:numId w:val="26"/>
        </w:numPr>
        <w:spacing w:before="120" w:after="120"/>
        <w:jc w:val="both"/>
        <w:rPr>
          <w:b/>
          <w:sz w:val="24"/>
          <w:szCs w:val="24"/>
        </w:rPr>
      </w:pPr>
      <w:r>
        <w:rPr>
          <w:b/>
          <w:sz w:val="24"/>
          <w:szCs w:val="24"/>
        </w:rPr>
        <w:t>C</w:t>
      </w:r>
      <w:r w:rsidR="003436FE" w:rsidRPr="002B370E">
        <w:rPr>
          <w:b/>
          <w:sz w:val="24"/>
          <w:szCs w:val="24"/>
        </w:rPr>
        <w:t>ontent of tenders</w:t>
      </w:r>
    </w:p>
    <w:p w14:paraId="3F9E65DF"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3AB6F38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17A961E1" w14:textId="1348DA28"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F3790F">
        <w:rPr>
          <w:sz w:val="22"/>
          <w:szCs w:val="22"/>
        </w:rPr>
        <w:t xml:space="preserve">two </w:t>
      </w:r>
      <w:r w:rsidRPr="002B370E">
        <w:rPr>
          <w:sz w:val="22"/>
          <w:szCs w:val="22"/>
        </w:rPr>
        <w:t xml:space="preserve">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81CB46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6042A292"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763A73C"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5DF8FC03"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14:paraId="57C24A13"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53A0919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51FE542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lastRenderedPageBreak/>
        <w:t xml:space="preserve">Duly authorised signature: an official document (statutes, power of attorney, notary statement, etc.) proving that the person who signs on behalf of the company/joint venture/consortium is duly authorised to do so. </w:t>
      </w:r>
    </w:p>
    <w:p w14:paraId="24EE3CA6"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280F74E6" w14:textId="14DBA3DD" w:rsidR="00396D4A" w:rsidRPr="002B370E" w:rsidRDefault="00384AFD" w:rsidP="00632671">
      <w:pPr>
        <w:pStyle w:val="BodyTextIndent"/>
        <w:spacing w:before="120"/>
        <w:rPr>
          <w:sz w:val="22"/>
          <w:szCs w:val="22"/>
        </w:rPr>
      </w:pPr>
      <w:r w:rsidRPr="00C53A7B">
        <w:rPr>
          <w:sz w:val="22"/>
          <w:szCs w:val="22"/>
        </w:rPr>
        <w:t xml:space="preserve"> </w:t>
      </w:r>
      <w:r w:rsidR="00396D4A" w:rsidRPr="00C53A7B">
        <w:rPr>
          <w:sz w:val="22"/>
          <w:szCs w:val="22"/>
        </w:rPr>
        <w:t>(4)</w:t>
      </w:r>
      <w:r w:rsidR="00396D4A"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14:paraId="74045758"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6597C939"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B0F6C19" w14:textId="77777777" w:rsidR="003436FE" w:rsidRPr="00384AFD"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w:t>
      </w:r>
      <w:r w:rsidR="003F7035" w:rsidRPr="00384AFD">
        <w:rPr>
          <w:color w:val="000000"/>
          <w:sz w:val="22"/>
          <w:szCs w:val="22"/>
        </w:rPr>
        <w:t>assessment, or</w:t>
      </w:r>
      <w:r w:rsidRPr="00384AFD">
        <w:rPr>
          <w:color w:val="000000"/>
          <w:sz w:val="22"/>
          <w:szCs w:val="22"/>
        </w:rPr>
        <w:t xml:space="preser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06A8D815" w14:textId="7F63456D" w:rsidR="003121C6" w:rsidRDefault="003121C6" w:rsidP="00384AFD">
      <w:pPr>
        <w:spacing w:before="120" w:after="120"/>
        <w:ind w:left="567" w:hanging="567"/>
        <w:jc w:val="both"/>
        <w:rPr>
          <w:color w:val="000000"/>
          <w:sz w:val="22"/>
          <w:szCs w:val="22"/>
        </w:rPr>
      </w:pPr>
      <w:r w:rsidRPr="00384AFD">
        <w:rPr>
          <w:color w:val="000000"/>
          <w:sz w:val="22"/>
          <w:szCs w:val="22"/>
        </w:rPr>
        <w:t>(6)</w:t>
      </w:r>
      <w:r w:rsidR="00010683" w:rsidRPr="00384AFD">
        <w:rPr>
          <w:color w:val="000000"/>
          <w:sz w:val="22"/>
          <w:szCs w:val="22"/>
        </w:rPr>
        <w:tab/>
      </w:r>
      <w:r w:rsidR="001B2CA6" w:rsidRPr="00384AFD">
        <w:rPr>
          <w:color w:val="000000"/>
          <w:sz w:val="22"/>
          <w:szCs w:val="22"/>
        </w:rPr>
        <w:t xml:space="preserve">No documentary evidence of the selection criteria in point 16 of the contract notice </w:t>
      </w:r>
      <w:r w:rsidR="00843423" w:rsidRPr="00384AFD">
        <w:rPr>
          <w:color w:val="000000"/>
          <w:sz w:val="22"/>
          <w:szCs w:val="22"/>
        </w:rPr>
        <w:t xml:space="preserve">shall </w:t>
      </w:r>
      <w:r w:rsidR="001B2CA6" w:rsidRPr="00384AFD">
        <w:rPr>
          <w:color w:val="000000"/>
          <w:sz w:val="22"/>
          <w:szCs w:val="22"/>
        </w:rPr>
        <w:t>be submitted but no pre-financing will be granted.</w:t>
      </w:r>
    </w:p>
    <w:p w14:paraId="1676523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543D688A"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04939C2C"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7B174B77" w14:textId="011F15BD" w:rsidR="005F1DD5" w:rsidRPr="00AB5076" w:rsidRDefault="003436FE" w:rsidP="003436FE">
      <w:pPr>
        <w:shd w:val="clear" w:color="auto" w:fill="FFFFFF"/>
        <w:spacing w:before="120" w:after="120"/>
        <w:jc w:val="both"/>
        <w:rPr>
          <w:color w:val="0000FF"/>
          <w:sz w:val="22"/>
          <w:szCs w:val="22"/>
        </w:rPr>
      </w:pPr>
      <w:r w:rsidRPr="00AB5076">
        <w:rPr>
          <w:sz w:val="22"/>
          <w:szCs w:val="22"/>
        </w:rPr>
        <w:t xml:space="preserve">The </w:t>
      </w:r>
      <w:r w:rsidR="00543D27" w:rsidRPr="00AB5076">
        <w:rPr>
          <w:sz w:val="22"/>
          <w:szCs w:val="22"/>
        </w:rPr>
        <w:t>f</w:t>
      </w:r>
      <w:r w:rsidRPr="00AB5076">
        <w:rPr>
          <w:sz w:val="22"/>
          <w:szCs w:val="22"/>
        </w:rPr>
        <w:t xml:space="preserve">inancial offer must be presented as an amount in </w:t>
      </w:r>
      <w:r w:rsidR="00AB5076" w:rsidRPr="00AB5076">
        <w:rPr>
          <w:sz w:val="22"/>
          <w:szCs w:val="22"/>
        </w:rPr>
        <w:t>RSD</w:t>
      </w:r>
      <w:r w:rsidRPr="00AB5076">
        <w:rPr>
          <w:rStyle w:val="FootnoteReference"/>
        </w:rPr>
        <w:footnoteReference w:id="2"/>
      </w:r>
      <w:r w:rsidRPr="00AB5076">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r w:rsidR="00AB5076">
        <w:rPr>
          <w:sz w:val="22"/>
          <w:szCs w:val="22"/>
        </w:rPr>
        <w:t xml:space="preserve"> </w:t>
      </w:r>
      <w:hyperlink r:id="rId9" w:history="1">
        <w:r w:rsidR="00996707" w:rsidRPr="00AB5076">
          <w:rPr>
            <w:rStyle w:val="Hyperlink"/>
            <w:sz w:val="22"/>
            <w:szCs w:val="22"/>
          </w:rPr>
          <w:t>http://ec.europa.eu/europeaid/prag/document.do</w:t>
        </w:r>
      </w:hyperlink>
      <w:r w:rsidR="005D1583" w:rsidRPr="00AB5076">
        <w:rPr>
          <w:sz w:val="22"/>
          <w:szCs w:val="22"/>
        </w:rPr>
        <w:t>.</w:t>
      </w:r>
    </w:p>
    <w:p w14:paraId="03B1DAD5" w14:textId="3D503B78" w:rsidR="003436FE" w:rsidRPr="002B370E" w:rsidRDefault="003436FE" w:rsidP="003436FE">
      <w:pPr>
        <w:shd w:val="clear" w:color="auto" w:fill="FFFFFF"/>
        <w:spacing w:before="120" w:after="120"/>
        <w:jc w:val="both"/>
        <w:rPr>
          <w:sz w:val="22"/>
          <w:szCs w:val="22"/>
        </w:rPr>
      </w:pPr>
      <w:r w:rsidRPr="002B370E">
        <w:rPr>
          <w:sz w:val="22"/>
          <w:szCs w:val="22"/>
        </w:rPr>
        <w:lastRenderedPageBreak/>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FB0BA7">
        <w:rPr>
          <w:sz w:val="22"/>
          <w:szCs w:val="22"/>
        </w:rPr>
        <w:t>RSD</w:t>
      </w:r>
      <w:r w:rsidR="006551B0" w:rsidRPr="006551B0">
        <w:rPr>
          <w:sz w:val="22"/>
          <w:szCs w:val="22"/>
        </w:rPr>
        <w:t xml:space="preserve"> </w:t>
      </w:r>
      <w:r w:rsidR="00271F24" w:rsidRPr="00271F24">
        <w:rPr>
          <w:sz w:val="22"/>
          <w:szCs w:val="22"/>
        </w:rPr>
        <w:t>7</w:t>
      </w:r>
      <w:r w:rsidR="00271F24">
        <w:rPr>
          <w:sz w:val="22"/>
          <w:szCs w:val="22"/>
        </w:rPr>
        <w:t>,</w:t>
      </w:r>
      <w:r w:rsidR="00271F24" w:rsidRPr="00271F24">
        <w:rPr>
          <w:sz w:val="22"/>
          <w:szCs w:val="22"/>
        </w:rPr>
        <w:t>069</w:t>
      </w:r>
      <w:r w:rsidR="00271F24">
        <w:rPr>
          <w:sz w:val="22"/>
          <w:szCs w:val="22"/>
        </w:rPr>
        <w:t>,</w:t>
      </w:r>
      <w:r w:rsidR="00271F24" w:rsidRPr="00271F24">
        <w:rPr>
          <w:sz w:val="22"/>
          <w:szCs w:val="22"/>
        </w:rPr>
        <w:t>032</w:t>
      </w:r>
      <w:r w:rsidR="00271F24">
        <w:rPr>
          <w:sz w:val="22"/>
          <w:szCs w:val="22"/>
        </w:rPr>
        <w:t>.00</w:t>
      </w:r>
      <w:r w:rsidR="006551B0">
        <w:rPr>
          <w:sz w:val="22"/>
          <w:szCs w:val="22"/>
        </w:rPr>
        <w:t xml:space="preserve"> </w:t>
      </w:r>
      <w:r w:rsidR="00FB0BA7" w:rsidRPr="00FB0BA7">
        <w:rPr>
          <w:sz w:val="22"/>
          <w:szCs w:val="22"/>
        </w:rPr>
        <w:t xml:space="preserve">(equivalent to </w:t>
      </w:r>
      <w:r w:rsidR="00FB0BA7">
        <w:rPr>
          <w:sz w:val="22"/>
          <w:szCs w:val="22"/>
        </w:rPr>
        <w:t>EUR</w:t>
      </w:r>
      <w:r w:rsidR="00FB0BA7" w:rsidRPr="00FB0BA7">
        <w:rPr>
          <w:sz w:val="22"/>
          <w:szCs w:val="22"/>
        </w:rPr>
        <w:t xml:space="preserve"> </w:t>
      </w:r>
      <w:r w:rsidR="0047654F">
        <w:rPr>
          <w:sz w:val="22"/>
          <w:szCs w:val="22"/>
        </w:rPr>
        <w:t>60,000.00</w:t>
      </w:r>
      <w:r w:rsidR="00FB0BA7" w:rsidRPr="00FB0BA7">
        <w:rPr>
          <w:sz w:val="22"/>
          <w:szCs w:val="22"/>
        </w:rPr>
        <w:t xml:space="preserve">, calculated using InforEuro exchange rate from </w:t>
      </w:r>
      <w:r w:rsidR="0047654F">
        <w:rPr>
          <w:sz w:val="22"/>
          <w:szCs w:val="22"/>
        </w:rPr>
        <w:t>September</w:t>
      </w:r>
      <w:r w:rsidR="00FB0BA7" w:rsidRPr="00FB0BA7">
        <w:rPr>
          <w:sz w:val="22"/>
          <w:szCs w:val="22"/>
        </w:rPr>
        <w:t xml:space="preserve"> 2019)</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5924BCD9"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716DB5C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18E2C705" w14:textId="430D4BC1" w:rsidR="003436FE" w:rsidRPr="002B370E" w:rsidRDefault="003436FE" w:rsidP="003436FE">
      <w:pPr>
        <w:spacing w:before="120"/>
        <w:jc w:val="both"/>
        <w:rPr>
          <w:sz w:val="22"/>
          <w:szCs w:val="22"/>
        </w:rPr>
      </w:pPr>
      <w:r w:rsidRPr="00786FAF">
        <w:rPr>
          <w:sz w:val="22"/>
          <w:szCs w:val="22"/>
        </w:rPr>
        <w:t xml:space="preserve">The European Commission and </w:t>
      </w:r>
      <w:r w:rsidR="00D06492" w:rsidRPr="00786FAF">
        <w:rPr>
          <w:sz w:val="22"/>
          <w:szCs w:val="22"/>
        </w:rPr>
        <w:t>Republic of Serbia</w:t>
      </w:r>
      <w:r w:rsidRPr="00786FAF">
        <w:rPr>
          <w:sz w:val="22"/>
          <w:szCs w:val="22"/>
        </w:rPr>
        <w:t xml:space="preserve"> have agreed in </w:t>
      </w:r>
      <w:r w:rsidR="00495018" w:rsidRPr="00786FAF">
        <w:rPr>
          <w:sz w:val="22"/>
          <w:szCs w:val="22"/>
        </w:rPr>
        <w:t xml:space="preserve">Framework Agreement Between the Government of the Republic of Serbia and the Commission of the European Communities on the Rules for Co-Operation Concerning EC-Financial Assistance to the Republic of Serbia in the Framework of the Implementation of the Assistance Under the Instrument for Pre-Accession Assistance (IPA) </w:t>
      </w:r>
      <w:r w:rsidRPr="00786FAF">
        <w:rPr>
          <w:sz w:val="22"/>
          <w:szCs w:val="22"/>
        </w:rPr>
        <w:t>to fully</w:t>
      </w:r>
      <w:r w:rsidR="00495018" w:rsidRPr="00786FAF">
        <w:rPr>
          <w:sz w:val="22"/>
          <w:szCs w:val="22"/>
        </w:rPr>
        <w:t xml:space="preserve"> </w:t>
      </w:r>
      <w:r w:rsidRPr="00786FAF">
        <w:rPr>
          <w:sz w:val="22"/>
          <w:szCs w:val="22"/>
        </w:rPr>
        <w:t>exonerate the following taxes</w:t>
      </w:r>
      <w:r w:rsidR="00786FAF" w:rsidRPr="00786FAF">
        <w:rPr>
          <w:sz w:val="22"/>
          <w:szCs w:val="22"/>
        </w:rPr>
        <w:t>: VAT.</w:t>
      </w:r>
    </w:p>
    <w:p w14:paraId="01B174D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0FDCC4C3"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3752018"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5F5D0C7D"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0FB4F41A"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2C05310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5E35EFF8"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5643D98E" w14:textId="77777777"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14:paraId="416301AA" w14:textId="3F2DE2EC" w:rsidR="00A04542" w:rsidRDefault="00544020" w:rsidP="00544020">
      <w:pPr>
        <w:pStyle w:val="BodyText"/>
        <w:spacing w:before="240"/>
        <w:jc w:val="center"/>
        <w:rPr>
          <w:sz w:val="22"/>
          <w:szCs w:val="22"/>
        </w:rPr>
      </w:pPr>
      <w:r>
        <w:rPr>
          <w:sz w:val="22"/>
          <w:szCs w:val="22"/>
        </w:rPr>
        <w:t xml:space="preserve">Mr. </w:t>
      </w:r>
      <w:r w:rsidRPr="00544020">
        <w:rPr>
          <w:sz w:val="22"/>
          <w:szCs w:val="22"/>
        </w:rPr>
        <w:t xml:space="preserve">Mihael Plac and </w:t>
      </w:r>
      <w:r>
        <w:rPr>
          <w:sz w:val="22"/>
          <w:szCs w:val="22"/>
        </w:rPr>
        <w:t xml:space="preserve">Ms. </w:t>
      </w:r>
      <w:r w:rsidRPr="00544020">
        <w:rPr>
          <w:sz w:val="22"/>
          <w:szCs w:val="22"/>
        </w:rPr>
        <w:t>Nikolina Kovačić</w:t>
      </w:r>
      <w:r>
        <w:rPr>
          <w:sz w:val="22"/>
          <w:szCs w:val="22"/>
        </w:rPr>
        <w:br/>
      </w:r>
      <w:r w:rsidR="00CD2721" w:rsidRPr="00CD2721">
        <w:rPr>
          <w:sz w:val="22"/>
          <w:szCs w:val="22"/>
        </w:rPr>
        <w:t>City of Sombor</w:t>
      </w:r>
      <w:r w:rsidR="00CD2721">
        <w:rPr>
          <w:sz w:val="22"/>
          <w:szCs w:val="22"/>
        </w:rPr>
        <w:br/>
      </w:r>
      <w:r w:rsidR="005D3976" w:rsidRPr="005D3976">
        <w:rPr>
          <w:sz w:val="22"/>
          <w:szCs w:val="22"/>
        </w:rPr>
        <w:t>Trg cara Uroša 1</w:t>
      </w:r>
      <w:r w:rsidR="00A04542">
        <w:rPr>
          <w:sz w:val="22"/>
          <w:szCs w:val="22"/>
        </w:rPr>
        <w:br/>
      </w:r>
      <w:r w:rsidR="00A04542" w:rsidRPr="00A04542">
        <w:rPr>
          <w:sz w:val="22"/>
          <w:szCs w:val="22"/>
        </w:rPr>
        <w:t>25101 Sombor</w:t>
      </w:r>
      <w:r w:rsidR="00704F2D">
        <w:rPr>
          <w:sz w:val="22"/>
          <w:szCs w:val="22"/>
        </w:rPr>
        <w:br/>
      </w:r>
      <w:r w:rsidR="00704F2D" w:rsidRPr="00704F2D">
        <w:rPr>
          <w:sz w:val="22"/>
          <w:szCs w:val="22"/>
        </w:rPr>
        <w:t>Republic of Serbia</w:t>
      </w:r>
    </w:p>
    <w:p w14:paraId="48A193DA" w14:textId="08D86EC3" w:rsidR="00704F2D" w:rsidRDefault="00704F2D" w:rsidP="00544020">
      <w:pPr>
        <w:pStyle w:val="BodyText"/>
        <w:spacing w:before="240"/>
        <w:jc w:val="center"/>
        <w:rPr>
          <w:sz w:val="22"/>
          <w:szCs w:val="22"/>
        </w:rPr>
      </w:pPr>
      <w:r>
        <w:rPr>
          <w:sz w:val="22"/>
          <w:szCs w:val="22"/>
        </w:rPr>
        <w:t xml:space="preserve">Email: </w:t>
      </w:r>
      <w:r w:rsidR="00134595" w:rsidRPr="00134595">
        <w:rPr>
          <w:sz w:val="22"/>
          <w:szCs w:val="22"/>
        </w:rPr>
        <w:t>klersombor@gmail.com</w:t>
      </w:r>
    </w:p>
    <w:p w14:paraId="41B83BB3" w14:textId="77777777"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53D71D5D"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7E8E62BB"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376E99FE"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lastRenderedPageBreak/>
        <w:t>Submission of tenders</w:t>
      </w:r>
      <w:bookmarkEnd w:id="3"/>
      <w:bookmarkEnd w:id="4"/>
    </w:p>
    <w:p w14:paraId="29167B11" w14:textId="56D6C89F"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544020">
        <w:rPr>
          <w:sz w:val="22"/>
          <w:szCs w:val="22"/>
        </w:rPr>
        <w:t>04 October 2019</w:t>
      </w:r>
      <w:r w:rsidR="003E17B7">
        <w:rPr>
          <w:sz w:val="22"/>
          <w:szCs w:val="22"/>
        </w:rPr>
        <w:t xml:space="preserve"> at</w:t>
      </w:r>
      <w:r w:rsidR="00544020">
        <w:rPr>
          <w:sz w:val="22"/>
          <w:szCs w:val="22"/>
        </w:rPr>
        <w:t xml:space="preserve"> </w:t>
      </w:r>
      <w:r w:rsidR="003E17B7">
        <w:rPr>
          <w:sz w:val="22"/>
          <w:szCs w:val="22"/>
        </w:rPr>
        <w:t>15:00.</w:t>
      </w:r>
      <w:r w:rsidRPr="002B370E">
        <w:rPr>
          <w:sz w:val="22"/>
          <w:szCs w:val="22"/>
        </w:rPr>
        <w:t>. They must include the requested documents in clause 4 above and be s</w:t>
      </w:r>
      <w:r>
        <w:rPr>
          <w:sz w:val="22"/>
          <w:szCs w:val="22"/>
        </w:rPr>
        <w:t>ent</w:t>
      </w:r>
      <w:r w:rsidRPr="002B370E">
        <w:rPr>
          <w:sz w:val="22"/>
          <w:szCs w:val="22"/>
        </w:rPr>
        <w:t>:</w:t>
      </w:r>
    </w:p>
    <w:p w14:paraId="5E7C1430"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14:paraId="7D095272" w14:textId="6EB797FB" w:rsidR="003436FE" w:rsidRPr="002B370E" w:rsidRDefault="003E17B7" w:rsidP="003E17B7">
      <w:pPr>
        <w:pStyle w:val="Blockquote"/>
        <w:keepNext/>
        <w:keepLines/>
        <w:spacing w:before="120" w:after="120"/>
        <w:jc w:val="center"/>
        <w:rPr>
          <w:sz w:val="22"/>
          <w:szCs w:val="22"/>
        </w:rPr>
      </w:pPr>
      <w:r w:rsidRPr="00CD2721">
        <w:rPr>
          <w:sz w:val="22"/>
          <w:szCs w:val="22"/>
        </w:rPr>
        <w:t>City of Sombor</w:t>
      </w:r>
      <w:r>
        <w:rPr>
          <w:sz w:val="22"/>
          <w:szCs w:val="22"/>
        </w:rPr>
        <w:br/>
      </w:r>
      <w:r w:rsidRPr="005D3976">
        <w:rPr>
          <w:sz w:val="22"/>
          <w:szCs w:val="22"/>
        </w:rPr>
        <w:t>Trg cara Uroša 1</w:t>
      </w:r>
      <w:r>
        <w:rPr>
          <w:sz w:val="22"/>
          <w:szCs w:val="22"/>
        </w:rPr>
        <w:br/>
      </w:r>
      <w:r w:rsidRPr="00A04542">
        <w:rPr>
          <w:sz w:val="22"/>
          <w:szCs w:val="22"/>
        </w:rPr>
        <w:t>25101 Sombor</w:t>
      </w:r>
      <w:r>
        <w:rPr>
          <w:sz w:val="22"/>
          <w:szCs w:val="22"/>
        </w:rPr>
        <w:br/>
      </w:r>
      <w:r w:rsidRPr="00704F2D">
        <w:rPr>
          <w:sz w:val="22"/>
          <w:szCs w:val="22"/>
        </w:rPr>
        <w:t>Republic of Serbia</w:t>
      </w:r>
      <w:r w:rsidR="003436FE" w:rsidRPr="002B370E">
        <w:rPr>
          <w:rStyle w:val="Emphasis"/>
          <w:sz w:val="22"/>
          <w:szCs w:val="22"/>
          <w:lang w:val="en-GB"/>
        </w:rPr>
        <w:br/>
      </w:r>
      <w:r w:rsidR="003436FE" w:rsidRPr="002B370E">
        <w:rPr>
          <w:sz w:val="22"/>
          <w:szCs w:val="22"/>
          <w:lang w:val="en-GB"/>
        </w:rPr>
        <w:br/>
      </w:r>
      <w:r w:rsidR="003436FE" w:rsidRPr="002B370E">
        <w:rPr>
          <w:b/>
          <w:sz w:val="22"/>
          <w:szCs w:val="22"/>
        </w:rPr>
        <w:t>OR</w:t>
      </w:r>
      <w:r w:rsidR="003436FE" w:rsidRPr="002B370E">
        <w:rPr>
          <w:sz w:val="22"/>
          <w:szCs w:val="22"/>
        </w:rPr>
        <w:t xml:space="preserve"> </w:t>
      </w:r>
      <w:r w:rsidR="003436FE" w:rsidRPr="002B370E">
        <w:rPr>
          <w:rStyle w:val="Strong"/>
          <w:b w:val="0"/>
          <w:sz w:val="22"/>
          <w:szCs w:val="22"/>
        </w:rPr>
        <w:t>hand delivered</w:t>
      </w:r>
      <w:r w:rsidR="003436FE"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003436FE" w:rsidRPr="002B370E">
        <w:rPr>
          <w:sz w:val="22"/>
          <w:szCs w:val="22"/>
        </w:rPr>
        <w:t>to:</w:t>
      </w:r>
    </w:p>
    <w:p w14:paraId="3EB5193B" w14:textId="77777777" w:rsidR="003E17B7" w:rsidRDefault="003E17B7" w:rsidP="003E17B7">
      <w:pPr>
        <w:pStyle w:val="Blockquote"/>
        <w:spacing w:before="120" w:after="120"/>
        <w:ind w:left="357" w:right="357"/>
        <w:jc w:val="center"/>
        <w:rPr>
          <w:sz w:val="22"/>
          <w:szCs w:val="22"/>
        </w:rPr>
      </w:pPr>
      <w:r w:rsidRPr="00CD2721">
        <w:rPr>
          <w:sz w:val="22"/>
          <w:szCs w:val="22"/>
        </w:rPr>
        <w:t>City of Sombor</w:t>
      </w:r>
      <w:r>
        <w:rPr>
          <w:sz w:val="22"/>
          <w:szCs w:val="22"/>
        </w:rPr>
        <w:br/>
      </w:r>
      <w:r w:rsidRPr="005D3976">
        <w:rPr>
          <w:sz w:val="22"/>
          <w:szCs w:val="22"/>
        </w:rPr>
        <w:t>Trg cara Uroša 1</w:t>
      </w:r>
      <w:r>
        <w:rPr>
          <w:sz w:val="22"/>
          <w:szCs w:val="22"/>
        </w:rPr>
        <w:br/>
      </w:r>
      <w:r w:rsidRPr="00A04542">
        <w:rPr>
          <w:sz w:val="22"/>
          <w:szCs w:val="22"/>
        </w:rPr>
        <w:t>25101 Sombor</w:t>
      </w:r>
      <w:r>
        <w:rPr>
          <w:sz w:val="22"/>
          <w:szCs w:val="22"/>
        </w:rPr>
        <w:br/>
      </w:r>
      <w:r w:rsidRPr="00704F2D">
        <w:rPr>
          <w:sz w:val="22"/>
          <w:szCs w:val="22"/>
        </w:rPr>
        <w:t>Republic of Serbia</w:t>
      </w:r>
    </w:p>
    <w:p w14:paraId="69ACD1E7" w14:textId="4495CA65" w:rsidR="003436FE" w:rsidRDefault="003E17B7" w:rsidP="003E17B7">
      <w:pPr>
        <w:pStyle w:val="Blockquote"/>
        <w:spacing w:before="0" w:after="0"/>
        <w:ind w:left="357" w:right="357"/>
        <w:jc w:val="center"/>
        <w:rPr>
          <w:rStyle w:val="Emphasis"/>
          <w:i w:val="0"/>
          <w:sz w:val="22"/>
          <w:szCs w:val="22"/>
          <w:lang w:val="en-GB"/>
        </w:rPr>
      </w:pPr>
      <w:r>
        <w:rPr>
          <w:sz w:val="22"/>
          <w:szCs w:val="22"/>
        </w:rPr>
        <w:t>Opening hours: 17:00 – 15:00</w:t>
      </w:r>
    </w:p>
    <w:p w14:paraId="25FD79BD" w14:textId="77777777"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083413F1"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50EDB494" w14:textId="77777777" w:rsidR="007B7D7B" w:rsidRDefault="007B7D7B" w:rsidP="003436FE">
      <w:pPr>
        <w:spacing w:before="120" w:after="120"/>
        <w:jc w:val="both"/>
        <w:rPr>
          <w:rStyle w:val="Strong"/>
          <w:sz w:val="22"/>
          <w:szCs w:val="22"/>
        </w:rPr>
      </w:pPr>
    </w:p>
    <w:p w14:paraId="4A357C2A"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00E92E67" w14:textId="77777777" w:rsidR="003436FE" w:rsidRPr="002B370E" w:rsidRDefault="003436FE" w:rsidP="003436FE">
      <w:pPr>
        <w:spacing w:before="120" w:after="120"/>
        <w:jc w:val="both"/>
        <w:rPr>
          <w:sz w:val="22"/>
          <w:szCs w:val="22"/>
        </w:rPr>
      </w:pPr>
    </w:p>
    <w:p w14:paraId="0CA5E26A"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52EBAA70"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35F67D4B" w14:textId="51A3AB8D"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536918" w:rsidRPr="0016200F">
        <w:rPr>
          <w:szCs w:val="22"/>
        </w:rPr>
        <w:t>HUSRB/1602/42/0073/LB-TD-SE-02</w:t>
      </w:r>
      <w:r w:rsidRPr="002B370E">
        <w:rPr>
          <w:sz w:val="22"/>
          <w:szCs w:val="22"/>
        </w:rPr>
        <w:t>);</w:t>
      </w:r>
    </w:p>
    <w:p w14:paraId="4C3165EF" w14:textId="3692CE71"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536918">
        <w:rPr>
          <w:sz w:val="22"/>
          <w:szCs w:val="22"/>
        </w:rPr>
        <w:t>‘Ne otvarati pre sastanka za otvaranje ponuda’</w:t>
      </w:r>
      <w:r w:rsidRPr="002B370E">
        <w:rPr>
          <w:sz w:val="22"/>
          <w:szCs w:val="22"/>
        </w:rPr>
        <w:t>;</w:t>
      </w:r>
    </w:p>
    <w:p w14:paraId="1E206ACD"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5CAE004E" w14:textId="77777777" w:rsidR="003436FE" w:rsidRPr="002B370E" w:rsidRDefault="003436FE" w:rsidP="003436FE">
      <w:pPr>
        <w:spacing w:before="120" w:after="120"/>
        <w:jc w:val="both"/>
        <w:rPr>
          <w:sz w:val="22"/>
          <w:szCs w:val="22"/>
        </w:rPr>
      </w:pPr>
      <w:r w:rsidRPr="002B370E">
        <w:rPr>
          <w:sz w:val="22"/>
          <w:szCs w:val="22"/>
        </w:rPr>
        <w:lastRenderedPageBreak/>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1A4E954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53C11EE1"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32CA7B06"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1CDE747E"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1D27BB0D"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83F9AD2"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5B232D80"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6F955EB7"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05F7CCE"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7A43BB15"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136D0314"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0" w:history="1">
        <w:r w:rsidR="00996707" w:rsidRPr="005D1583">
          <w:rPr>
            <w:rStyle w:val="Hyperlink"/>
            <w:sz w:val="22"/>
            <w:szCs w:val="22"/>
          </w:rPr>
          <w:t>http://ec.europa.eu/europeaid/prag/document.do</w:t>
        </w:r>
      </w:hyperlink>
      <w:r w:rsidRPr="0059570B">
        <w:rPr>
          <w:sz w:val="22"/>
          <w:szCs w:val="22"/>
        </w:rPr>
        <w:t>).</w:t>
      </w:r>
    </w:p>
    <w:p w14:paraId="581BBFDA"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B77076A" w14:textId="05A2C283" w:rsidR="00294800" w:rsidRPr="00294800" w:rsidRDefault="00294800" w:rsidP="00294800">
      <w:pPr>
        <w:spacing w:before="120" w:after="120"/>
        <w:jc w:val="both"/>
        <w:rPr>
          <w:sz w:val="22"/>
          <w:szCs w:val="22"/>
        </w:rPr>
      </w:pPr>
      <w:r w:rsidRPr="004F652C">
        <w:rPr>
          <w:sz w:val="22"/>
          <w:szCs w:val="22"/>
        </w:rPr>
        <w:t>No interviews are foreseen.</w:t>
      </w:r>
    </w:p>
    <w:p w14:paraId="40643224"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5EE4779A"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2D0C47C0"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4B294E1E"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362E89FB"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32703B80"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w:t>
      </w:r>
      <w:r w:rsidRPr="002B370E">
        <w:rPr>
          <w:sz w:val="22"/>
          <w:szCs w:val="22"/>
        </w:rPr>
        <w:lastRenderedPageBreak/>
        <w:t xml:space="preserve">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16A764C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D1365A"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B1EE64D"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B75D603"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52A01A37"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31A83C0"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14:paraId="0B3D3971"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46D14B9D"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664E9C47"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70CE2C40"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30849900"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69EE5151"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w:t>
      </w:r>
      <w:r w:rsidRPr="00121005">
        <w:rPr>
          <w:sz w:val="22"/>
          <w:szCs w:val="22"/>
        </w:rPr>
        <w:lastRenderedPageBreak/>
        <w:t>return for any actual and legitimate service, commissions remitted to a tax haven, commissions paid to a payee who is not clearly identified or commissions paid to a company which has every appearance of being a front company.</w:t>
      </w:r>
    </w:p>
    <w:p w14:paraId="76B272BB"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6E855C3"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0A2EEDFD"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456CB5B6"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7683E6CC"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3D3A1E97"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4389BD1D"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1628D65B"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37B42C36"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1610F494"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238386E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07DAAA5B"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AC60A2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4A802A46"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31E28A9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5AEB571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the</w:t>
      </w:r>
      <w:r>
        <w:rPr>
          <w:sz w:val="22"/>
          <w:szCs w:val="22"/>
        </w:rPr>
        <w:t>re are fundamental changes to the</w:t>
      </w:r>
      <w:r w:rsidRPr="002B370E">
        <w:rPr>
          <w:sz w:val="22"/>
          <w:szCs w:val="22"/>
        </w:rPr>
        <w:t xml:space="preserve"> economic or technical data of the project;</w:t>
      </w:r>
    </w:p>
    <w:p w14:paraId="1178C27C"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60C9BA3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35F94EB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84D4C39"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871F1B7"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1652A624"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7BBC7071"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7EA7771F" w14:textId="33478022" w:rsidR="003436FE" w:rsidRPr="00FF1FE0" w:rsidRDefault="003436FE" w:rsidP="003436FE">
      <w:pPr>
        <w:keepNext/>
        <w:spacing w:before="240" w:after="240"/>
        <w:jc w:val="both"/>
        <w:rPr>
          <w:b/>
          <w:bCs/>
          <w:sz w:val="24"/>
          <w:szCs w:val="24"/>
        </w:rPr>
      </w:pPr>
      <w:r w:rsidRPr="00FF1FE0">
        <w:rPr>
          <w:b/>
          <w:bCs/>
          <w:sz w:val="24"/>
          <w:szCs w:val="24"/>
        </w:rPr>
        <w:t>1</w:t>
      </w:r>
      <w:r w:rsidR="00262E52">
        <w:rPr>
          <w:b/>
          <w:bCs/>
          <w:sz w:val="24"/>
          <w:szCs w:val="24"/>
        </w:rPr>
        <w:t>7</w:t>
      </w:r>
      <w:r w:rsidRPr="00FF1FE0">
        <w:rPr>
          <w:b/>
          <w:bCs/>
          <w:sz w:val="24"/>
          <w:szCs w:val="24"/>
        </w:rPr>
        <w:t>.</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7991D2C0"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1"/>
      <w:footerReference w:type="default" r:id="rId12"/>
      <w:headerReference w:type="first" r:id="rId13"/>
      <w:footerReference w:type="first" r:id="rId14"/>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9CB60" w14:textId="77777777" w:rsidR="00300E05" w:rsidRDefault="00300E05">
      <w:r>
        <w:separator/>
      </w:r>
    </w:p>
  </w:endnote>
  <w:endnote w:type="continuationSeparator" w:id="0">
    <w:p w14:paraId="165E26A2" w14:textId="77777777" w:rsidR="00300E05" w:rsidRDefault="0030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Segoe UI Symbol"/>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8F363"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7EE20B0"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A633E" w14:textId="77777777"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p>
  <w:p w14:paraId="6A9DF2C0"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316A2" w14:textId="77777777"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Pr>
        <w:rStyle w:val="PageNumber"/>
        <w:noProof/>
        <w:sz w:val="18"/>
        <w:szCs w:val="18"/>
      </w:rPr>
      <w:t>15</w:t>
    </w:r>
    <w:r w:rsidR="00C06F58" w:rsidRPr="002B370E">
      <w:rPr>
        <w:rStyle w:val="PageNumber"/>
        <w:sz w:val="18"/>
        <w:szCs w:val="18"/>
      </w:rPr>
      <w:fldChar w:fldCharType="end"/>
    </w:r>
    <w:bookmarkStart w:id="5" w:name="_Hlt26943623"/>
    <w:bookmarkEnd w:id="5"/>
  </w:p>
  <w:p w14:paraId="1B87EED0"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06292" w14:textId="77777777" w:rsidR="00300E05" w:rsidRDefault="00300E05">
      <w:r>
        <w:separator/>
      </w:r>
    </w:p>
  </w:footnote>
  <w:footnote w:type="continuationSeparator" w:id="0">
    <w:p w14:paraId="702F733B" w14:textId="77777777" w:rsidR="00300E05" w:rsidRDefault="00300E05">
      <w:r>
        <w:continuationSeparator/>
      </w:r>
    </w:p>
  </w:footnote>
  <w:footnote w:id="1">
    <w:p w14:paraId="1436EB7E" w14:textId="77777777" w:rsidR="000D135C" w:rsidRPr="000D135C" w:rsidRDefault="000D135C">
      <w:pPr>
        <w:pStyle w:val="FootnoteText"/>
      </w:pPr>
      <w:r>
        <w:rPr>
          <w:rStyle w:val="FootnoteReference"/>
        </w:rPr>
        <w:footnoteRef/>
      </w:r>
      <w:r>
        <w:t xml:space="preserve"> See PRAG 2.6.10.1.3 A)</w:t>
      </w:r>
    </w:p>
  </w:footnote>
  <w:footnote w:id="2">
    <w:p w14:paraId="19F4FF6B" w14:textId="77777777" w:rsidR="00C06F58" w:rsidRPr="00D44374" w:rsidRDefault="00C06F58" w:rsidP="00543D27">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14:paraId="66F759A6"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3A3734D5"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A8128"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C07"/>
    <w:rsid w:val="00076EEC"/>
    <w:rsid w:val="0009029D"/>
    <w:rsid w:val="000913E8"/>
    <w:rsid w:val="000955FE"/>
    <w:rsid w:val="000A7073"/>
    <w:rsid w:val="000C5425"/>
    <w:rsid w:val="000D135C"/>
    <w:rsid w:val="000D183D"/>
    <w:rsid w:val="000F0B96"/>
    <w:rsid w:val="00121005"/>
    <w:rsid w:val="00134595"/>
    <w:rsid w:val="0014136C"/>
    <w:rsid w:val="001449AE"/>
    <w:rsid w:val="00157CF6"/>
    <w:rsid w:val="001671BA"/>
    <w:rsid w:val="001677D4"/>
    <w:rsid w:val="0017009E"/>
    <w:rsid w:val="00180127"/>
    <w:rsid w:val="001A3A06"/>
    <w:rsid w:val="001A7BA0"/>
    <w:rsid w:val="001B1598"/>
    <w:rsid w:val="001B2CA6"/>
    <w:rsid w:val="001C0933"/>
    <w:rsid w:val="001C0F8D"/>
    <w:rsid w:val="001C391F"/>
    <w:rsid w:val="001D579A"/>
    <w:rsid w:val="001E5AB3"/>
    <w:rsid w:val="002066D9"/>
    <w:rsid w:val="002157AA"/>
    <w:rsid w:val="00216E18"/>
    <w:rsid w:val="0021784A"/>
    <w:rsid w:val="0022643A"/>
    <w:rsid w:val="0023505C"/>
    <w:rsid w:val="00245C38"/>
    <w:rsid w:val="00250B09"/>
    <w:rsid w:val="00253545"/>
    <w:rsid w:val="00262E52"/>
    <w:rsid w:val="00264E26"/>
    <w:rsid w:val="00271F24"/>
    <w:rsid w:val="00273362"/>
    <w:rsid w:val="00290ACC"/>
    <w:rsid w:val="002921F7"/>
    <w:rsid w:val="00294800"/>
    <w:rsid w:val="002A1587"/>
    <w:rsid w:val="002B0E84"/>
    <w:rsid w:val="002B75E8"/>
    <w:rsid w:val="002C2852"/>
    <w:rsid w:val="002F1241"/>
    <w:rsid w:val="002F6273"/>
    <w:rsid w:val="00300E05"/>
    <w:rsid w:val="0030208E"/>
    <w:rsid w:val="003121C6"/>
    <w:rsid w:val="003436FE"/>
    <w:rsid w:val="00365E90"/>
    <w:rsid w:val="0037753A"/>
    <w:rsid w:val="00381AB8"/>
    <w:rsid w:val="00384AFD"/>
    <w:rsid w:val="003924DF"/>
    <w:rsid w:val="003925C5"/>
    <w:rsid w:val="00396D4A"/>
    <w:rsid w:val="00397B28"/>
    <w:rsid w:val="003B5019"/>
    <w:rsid w:val="003C5C2B"/>
    <w:rsid w:val="003C773B"/>
    <w:rsid w:val="003E17B7"/>
    <w:rsid w:val="003E309F"/>
    <w:rsid w:val="003E6551"/>
    <w:rsid w:val="003F2D75"/>
    <w:rsid w:val="003F4AB5"/>
    <w:rsid w:val="003F7035"/>
    <w:rsid w:val="00412107"/>
    <w:rsid w:val="00417586"/>
    <w:rsid w:val="00453651"/>
    <w:rsid w:val="004551A2"/>
    <w:rsid w:val="00463A51"/>
    <w:rsid w:val="0047654F"/>
    <w:rsid w:val="0048664A"/>
    <w:rsid w:val="00491B4A"/>
    <w:rsid w:val="00493F98"/>
    <w:rsid w:val="00495018"/>
    <w:rsid w:val="00495144"/>
    <w:rsid w:val="00496641"/>
    <w:rsid w:val="00497FEF"/>
    <w:rsid w:val="004A544F"/>
    <w:rsid w:val="004D0FE4"/>
    <w:rsid w:val="004D2399"/>
    <w:rsid w:val="004D7FC9"/>
    <w:rsid w:val="004E248D"/>
    <w:rsid w:val="004F088B"/>
    <w:rsid w:val="004F652C"/>
    <w:rsid w:val="0050626C"/>
    <w:rsid w:val="005147FC"/>
    <w:rsid w:val="00517439"/>
    <w:rsid w:val="00526546"/>
    <w:rsid w:val="00536918"/>
    <w:rsid w:val="00543D27"/>
    <w:rsid w:val="00544020"/>
    <w:rsid w:val="00545A56"/>
    <w:rsid w:val="005510F3"/>
    <w:rsid w:val="0056210A"/>
    <w:rsid w:val="0056414B"/>
    <w:rsid w:val="00574DD1"/>
    <w:rsid w:val="00577681"/>
    <w:rsid w:val="00582292"/>
    <w:rsid w:val="0059570B"/>
    <w:rsid w:val="005B2947"/>
    <w:rsid w:val="005C1E9E"/>
    <w:rsid w:val="005C44AA"/>
    <w:rsid w:val="005D1583"/>
    <w:rsid w:val="005D2BA9"/>
    <w:rsid w:val="005D3976"/>
    <w:rsid w:val="005D3D9E"/>
    <w:rsid w:val="005D6CCF"/>
    <w:rsid w:val="005F1DD5"/>
    <w:rsid w:val="0062173A"/>
    <w:rsid w:val="0062677E"/>
    <w:rsid w:val="00632671"/>
    <w:rsid w:val="006365A9"/>
    <w:rsid w:val="006551B0"/>
    <w:rsid w:val="006773D0"/>
    <w:rsid w:val="0068123D"/>
    <w:rsid w:val="00681768"/>
    <w:rsid w:val="00682D24"/>
    <w:rsid w:val="00687AA2"/>
    <w:rsid w:val="00694874"/>
    <w:rsid w:val="006A1537"/>
    <w:rsid w:val="006B0775"/>
    <w:rsid w:val="006C4BA3"/>
    <w:rsid w:val="006F25A2"/>
    <w:rsid w:val="006F5D6C"/>
    <w:rsid w:val="006F6361"/>
    <w:rsid w:val="00704F2D"/>
    <w:rsid w:val="007078C5"/>
    <w:rsid w:val="00740B27"/>
    <w:rsid w:val="007639DA"/>
    <w:rsid w:val="00763C86"/>
    <w:rsid w:val="00775D25"/>
    <w:rsid w:val="00786FAF"/>
    <w:rsid w:val="007A0123"/>
    <w:rsid w:val="007B1D4B"/>
    <w:rsid w:val="007B7D7B"/>
    <w:rsid w:val="007E285C"/>
    <w:rsid w:val="007F196D"/>
    <w:rsid w:val="007F4629"/>
    <w:rsid w:val="007F760C"/>
    <w:rsid w:val="00804556"/>
    <w:rsid w:val="00805702"/>
    <w:rsid w:val="008100D6"/>
    <w:rsid w:val="0081420B"/>
    <w:rsid w:val="00835BD1"/>
    <w:rsid w:val="00843423"/>
    <w:rsid w:val="008531BA"/>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4542"/>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076"/>
    <w:rsid w:val="00AB5C71"/>
    <w:rsid w:val="00AB7549"/>
    <w:rsid w:val="00AC5E60"/>
    <w:rsid w:val="00AD6A02"/>
    <w:rsid w:val="00AF6806"/>
    <w:rsid w:val="00B21495"/>
    <w:rsid w:val="00B215EE"/>
    <w:rsid w:val="00B2430B"/>
    <w:rsid w:val="00B36721"/>
    <w:rsid w:val="00B45C9F"/>
    <w:rsid w:val="00B5592A"/>
    <w:rsid w:val="00B806A1"/>
    <w:rsid w:val="00B860B0"/>
    <w:rsid w:val="00B9416D"/>
    <w:rsid w:val="00BB6C9D"/>
    <w:rsid w:val="00BC1214"/>
    <w:rsid w:val="00BC1D32"/>
    <w:rsid w:val="00BC3DB7"/>
    <w:rsid w:val="00BC7014"/>
    <w:rsid w:val="00BD37B2"/>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D2721"/>
    <w:rsid w:val="00CE5895"/>
    <w:rsid w:val="00CF2B5B"/>
    <w:rsid w:val="00D06492"/>
    <w:rsid w:val="00D26233"/>
    <w:rsid w:val="00D32C37"/>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71B2C"/>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3790F"/>
    <w:rsid w:val="00F53979"/>
    <w:rsid w:val="00F54298"/>
    <w:rsid w:val="00F7552A"/>
    <w:rsid w:val="00F80338"/>
    <w:rsid w:val="00F848DA"/>
    <w:rsid w:val="00F86CCE"/>
    <w:rsid w:val="00FB0BA7"/>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094665"/>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41581">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409692513">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207219464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2D973-C5E2-44BA-BD19-FCAE0C4C2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9</Pages>
  <Words>3562</Words>
  <Characters>20309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23824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Veselin Pavlićević</cp:lastModifiedBy>
  <cp:revision>44</cp:revision>
  <cp:lastPrinted>2012-09-25T14:41:00Z</cp:lastPrinted>
  <dcterms:created xsi:type="dcterms:W3CDTF">2018-12-18T11:34:00Z</dcterms:created>
  <dcterms:modified xsi:type="dcterms:W3CDTF">2019-09-05T05:38:00Z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