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E66E21" w:rsidRDefault="003D764D" w:rsidP="00E66E21">
      <w:pPr>
        <w:ind w:left="1138" w:hanging="567"/>
        <w:rPr>
          <w:sz w:val="22"/>
          <w:szCs w:val="22"/>
        </w:rPr>
      </w:pPr>
      <w:r w:rsidRPr="00F162E3">
        <w:rPr>
          <w:sz w:val="22"/>
          <w:szCs w:val="22"/>
        </w:rPr>
        <w:t>4.1</w:t>
      </w:r>
      <w:r w:rsidRPr="00F162E3">
        <w:rPr>
          <w:sz w:val="22"/>
          <w:szCs w:val="22"/>
        </w:rPr>
        <w:tab/>
      </w:r>
      <w:r w:rsidR="00E66E21">
        <w:rPr>
          <w:sz w:val="22"/>
          <w:szCs w:val="22"/>
        </w:rPr>
        <w:t>All communication must be realize in written form as follows:</w:t>
      </w:r>
    </w:p>
    <w:p w:rsidR="00E66E21" w:rsidRDefault="00E66E21" w:rsidP="00E66E21">
      <w:pPr>
        <w:ind w:left="1138" w:hanging="567"/>
        <w:rPr>
          <w:sz w:val="22"/>
          <w:szCs w:val="22"/>
        </w:rPr>
      </w:pPr>
    </w:p>
    <w:p w:rsidR="001050EE" w:rsidRDefault="004F7848" w:rsidP="00E66E21">
      <w:pPr>
        <w:ind w:left="1138"/>
        <w:rPr>
          <w:sz w:val="22"/>
          <w:szCs w:val="22"/>
        </w:rPr>
      </w:pPr>
      <w:r>
        <w:rPr>
          <w:sz w:val="22"/>
          <w:szCs w:val="22"/>
        </w:rPr>
        <w:t xml:space="preserve">Contract person </w:t>
      </w:r>
      <w:r w:rsidR="00E66E21">
        <w:rPr>
          <w:sz w:val="22"/>
          <w:szCs w:val="22"/>
        </w:rPr>
        <w:t xml:space="preserve"> </w:t>
      </w:r>
      <w:r>
        <w:rPr>
          <w:sz w:val="22"/>
          <w:szCs w:val="22"/>
        </w:rPr>
        <w:tab/>
      </w:r>
      <w:r>
        <w:rPr>
          <w:sz w:val="22"/>
          <w:szCs w:val="22"/>
        </w:rPr>
        <w:tab/>
      </w:r>
      <w:r w:rsidR="00E66E21">
        <w:rPr>
          <w:sz w:val="22"/>
          <w:szCs w:val="22"/>
        </w:rPr>
        <w:t>Vesna Tomić or Melita Danilović.</w:t>
      </w:r>
    </w:p>
    <w:p w:rsidR="00E66E21" w:rsidRDefault="00E66E21" w:rsidP="00E66E21">
      <w:pPr>
        <w:ind w:left="1138" w:hanging="567"/>
        <w:rPr>
          <w:sz w:val="22"/>
          <w:szCs w:val="22"/>
        </w:rPr>
      </w:pPr>
      <w:r>
        <w:rPr>
          <w:sz w:val="22"/>
          <w:szCs w:val="22"/>
        </w:rPr>
        <w:tab/>
        <w:t xml:space="preserve">Address: </w:t>
      </w:r>
      <w:r w:rsidR="004F7848">
        <w:rPr>
          <w:sz w:val="22"/>
          <w:szCs w:val="22"/>
        </w:rPr>
        <w:tab/>
      </w:r>
      <w:r w:rsidR="004F7848">
        <w:rPr>
          <w:sz w:val="22"/>
          <w:szCs w:val="22"/>
        </w:rPr>
        <w:tab/>
      </w:r>
      <w:r w:rsidR="004F7848">
        <w:rPr>
          <w:sz w:val="22"/>
          <w:szCs w:val="22"/>
        </w:rPr>
        <w:tab/>
      </w:r>
      <w:r>
        <w:rPr>
          <w:sz w:val="22"/>
          <w:szCs w:val="22"/>
        </w:rPr>
        <w:t>City of Sombor, Trg cara Uroša 1, 25000 Sombor</w:t>
      </w:r>
    </w:p>
    <w:p w:rsidR="00E66E21" w:rsidRDefault="00E66E21" w:rsidP="00E66E21">
      <w:pPr>
        <w:ind w:left="1138"/>
        <w:rPr>
          <w:sz w:val="22"/>
          <w:szCs w:val="22"/>
        </w:rPr>
      </w:pPr>
      <w:r>
        <w:rPr>
          <w:sz w:val="22"/>
          <w:szCs w:val="22"/>
        </w:rPr>
        <w:t xml:space="preserve">Email: </w:t>
      </w:r>
      <w:r w:rsidR="004F7848">
        <w:rPr>
          <w:sz w:val="22"/>
          <w:szCs w:val="22"/>
        </w:rPr>
        <w:tab/>
      </w:r>
      <w:r w:rsidR="004F7848">
        <w:rPr>
          <w:sz w:val="22"/>
          <w:szCs w:val="22"/>
        </w:rPr>
        <w:tab/>
      </w:r>
      <w:r w:rsidR="004F7848">
        <w:rPr>
          <w:sz w:val="22"/>
          <w:szCs w:val="22"/>
        </w:rPr>
        <w:tab/>
      </w:r>
      <w:hyperlink r:id="rId8" w:history="1">
        <w:r w:rsidRPr="00F17CB1">
          <w:rPr>
            <w:rStyle w:val="Hyperlink"/>
            <w:b/>
            <w:sz w:val="22"/>
            <w:szCs w:val="22"/>
          </w:rPr>
          <w:t>greenwayssombor@gmail.com</w:t>
        </w:r>
      </w:hyperlink>
      <w:r>
        <w:rPr>
          <w:b/>
          <w:sz w:val="22"/>
          <w:szCs w:val="22"/>
        </w:rPr>
        <w:t xml:space="preserve">  </w:t>
      </w:r>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F162E3" w:rsidRDefault="003C17E3" w:rsidP="001625C0">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1050EE" w:rsidRPr="00F162E3" w:rsidRDefault="001050EE" w:rsidP="001625C0">
      <w:pPr>
        <w:spacing w:before="120" w:after="120"/>
        <w:ind w:left="1134" w:hanging="567"/>
        <w:jc w:val="both"/>
        <w:rPr>
          <w:bCs/>
          <w:sz w:val="22"/>
          <w:szCs w:val="22"/>
        </w:rPr>
      </w:pPr>
      <w:r w:rsidRPr="004E0E24">
        <w:rPr>
          <w:bCs/>
          <w:sz w:val="22"/>
          <w:szCs w:val="22"/>
        </w:rPr>
        <w:t>5.2</w:t>
      </w:r>
      <w:r w:rsidR="009D279F" w:rsidRPr="004E0E24">
        <w:rPr>
          <w:sz w:val="22"/>
          <w:szCs w:val="22"/>
        </w:rPr>
        <w:tab/>
      </w:r>
      <w:r w:rsidR="001625C0">
        <w:rPr>
          <w:sz w:val="22"/>
          <w:szCs w:val="22"/>
        </w:rPr>
        <w:t>N/A</w:t>
      </w:r>
    </w:p>
    <w:p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rsidR="001A72CD" w:rsidRDefault="001050EE" w:rsidP="00E66E21">
      <w:pPr>
        <w:spacing w:before="120" w:after="120"/>
        <w:ind w:left="1134" w:hanging="567"/>
        <w:jc w:val="both"/>
        <w:rPr>
          <w:bCs/>
          <w:sz w:val="22"/>
          <w:szCs w:val="22"/>
        </w:rPr>
      </w:pPr>
      <w:r w:rsidRPr="003D764D">
        <w:rPr>
          <w:bCs/>
          <w:sz w:val="22"/>
          <w:szCs w:val="22"/>
        </w:rPr>
        <w:t>9.1</w:t>
      </w:r>
      <w:r w:rsidRPr="003D764D">
        <w:rPr>
          <w:sz w:val="22"/>
          <w:szCs w:val="22"/>
        </w:rPr>
        <w:tab/>
      </w:r>
      <w:r w:rsidR="00E66E21">
        <w:rPr>
          <w:sz w:val="22"/>
          <w:szCs w:val="22"/>
        </w:rPr>
        <w:t>N/A</w:t>
      </w: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Pr="00E725FE" w:rsidRDefault="001A72CD" w:rsidP="0089009D">
      <w:pPr>
        <w:spacing w:after="120"/>
        <w:ind w:left="1276" w:hanging="556"/>
        <w:jc w:val="both"/>
        <w:rPr>
          <w:b/>
          <w:bCs/>
          <w:sz w:val="22"/>
          <w:szCs w:val="22"/>
        </w:rPr>
      </w:pPr>
      <w:r w:rsidRPr="00E66E21">
        <w:rPr>
          <w:bCs/>
          <w:sz w:val="22"/>
          <w:szCs w:val="22"/>
        </w:rPr>
        <w:t>12.9</w:t>
      </w:r>
      <w:r w:rsidRPr="00E66E21">
        <w:rPr>
          <w:bCs/>
          <w:sz w:val="22"/>
          <w:szCs w:val="22"/>
        </w:rPr>
        <w:tab/>
      </w:r>
      <w:r w:rsidR="00E66E21" w:rsidRPr="00E66E21">
        <w:rPr>
          <w:bCs/>
          <w:sz w:val="22"/>
          <w:szCs w:val="22"/>
        </w:rPr>
        <w:t>Contractor must respect all programme requirements and must</w:t>
      </w:r>
      <w:r w:rsidRPr="00E66E21">
        <w:rPr>
          <w:bCs/>
          <w:sz w:val="22"/>
          <w:szCs w:val="22"/>
        </w:rPr>
        <w:t xml:space="preserve"> comply with the rules lay down in the Communication and Visibility Manual for EU External Actions published by the European Commission.</w:t>
      </w:r>
    </w:p>
    <w:p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rsidR="001050EE" w:rsidRPr="00CA6498" w:rsidRDefault="001050EE" w:rsidP="00021EB3">
      <w:pPr>
        <w:spacing w:before="240"/>
        <w:ind w:left="1276" w:hanging="1276"/>
        <w:jc w:val="both"/>
        <w:rPr>
          <w:b/>
          <w:szCs w:val="24"/>
        </w:rPr>
      </w:pPr>
      <w:bookmarkStart w:id="14" w:name="_Toc76894422"/>
      <w:r w:rsidRPr="00CA6498">
        <w:rPr>
          <w:b/>
          <w:szCs w:val="24"/>
        </w:rPr>
        <w:lastRenderedPageBreak/>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E66E21">
        <w:rPr>
          <w:sz w:val="22"/>
          <w:szCs w:val="22"/>
        </w:rPr>
        <w:t>N/A</w:t>
      </w:r>
    </w:p>
    <w:p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1625C0">
        <w:rPr>
          <w:rFonts w:ascii="Times New Roman" w:hAnsi="Times New Roman"/>
          <w:b w:val="0"/>
          <w:bCs/>
          <w:sz w:val="22"/>
          <w:szCs w:val="22"/>
          <w:lang w:val="en-GB"/>
        </w:rPr>
        <w:t xml:space="preserve">Period of implementation is </w:t>
      </w:r>
      <w:r w:rsidR="001625C0" w:rsidRPr="004F7848">
        <w:rPr>
          <w:rFonts w:ascii="Times New Roman" w:hAnsi="Times New Roman"/>
          <w:bCs/>
          <w:sz w:val="22"/>
          <w:szCs w:val="22"/>
          <w:lang w:val="en-GB"/>
        </w:rPr>
        <w:t>2 months</w:t>
      </w:r>
      <w:r w:rsidR="001625C0">
        <w:rPr>
          <w:rFonts w:ascii="Times New Roman" w:hAnsi="Times New Roman"/>
          <w:b w:val="0"/>
          <w:bCs/>
          <w:sz w:val="22"/>
          <w:szCs w:val="22"/>
          <w:lang w:val="en-GB"/>
        </w:rPr>
        <w:t xml:space="preserve"> from the date of the contract signing. </w:t>
      </w:r>
    </w:p>
    <w:p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rsidR="001050EE" w:rsidRPr="00A12DBD" w:rsidRDefault="001050EE" w:rsidP="00A12DBD">
      <w:pPr>
        <w:spacing w:before="120" w:after="120"/>
        <w:ind w:left="1276" w:hanging="709"/>
        <w:jc w:val="both"/>
        <w:rPr>
          <w:sz w:val="22"/>
          <w:szCs w:val="22"/>
        </w:rPr>
      </w:pPr>
      <w:r w:rsidRPr="001625C0">
        <w:rPr>
          <w:bCs/>
          <w:sz w:val="22"/>
          <w:szCs w:val="22"/>
        </w:rPr>
        <w:t>39.1</w:t>
      </w:r>
      <w:r w:rsidRPr="001625C0">
        <w:rPr>
          <w:bCs/>
          <w:sz w:val="22"/>
          <w:szCs w:val="22"/>
        </w:rPr>
        <w:tab/>
      </w:r>
      <w:r w:rsidR="001625C0" w:rsidRPr="001625C0">
        <w:rPr>
          <w:bCs/>
          <w:sz w:val="22"/>
          <w:szCs w:val="22"/>
        </w:rPr>
        <w:t>W</w:t>
      </w:r>
      <w:r w:rsidRPr="001625C0">
        <w:rPr>
          <w:sz w:val="22"/>
          <w:szCs w:val="22"/>
        </w:rPr>
        <w:t xml:space="preserve">ork register is not required. </w:t>
      </w:r>
    </w:p>
    <w:p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001625C0">
        <w:rPr>
          <w:sz w:val="22"/>
          <w:szCs w:val="22"/>
        </w:rPr>
        <w:t>N/A</w:t>
      </w:r>
    </w:p>
    <w:p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1625C0">
        <w:rPr>
          <w:rFonts w:ascii="Times New Roman" w:hAnsi="Times New Roman"/>
          <w:b w:val="0"/>
          <w:sz w:val="22"/>
          <w:szCs w:val="22"/>
          <w:lang w:val="en-GB"/>
        </w:rPr>
        <w:t>Interreg IPA CBC Hungary – Serbia</w:t>
      </w:r>
      <w:r w:rsidRPr="00B52397">
        <w:rPr>
          <w:rFonts w:ascii="Times New Roman" w:hAnsi="Times New Roman"/>
          <w:b w:val="0"/>
          <w:sz w:val="22"/>
          <w:szCs w:val="22"/>
          <w:lang w:val="en-GB"/>
        </w:rPr>
        <w:t xml:space="preserve"> programme.</w:t>
      </w:r>
      <w:r w:rsidR="00B52397">
        <w:rPr>
          <w:rFonts w:ascii="Times New Roman" w:hAnsi="Times New Roman"/>
          <w:b w:val="0"/>
          <w:sz w:val="22"/>
          <w:szCs w:val="22"/>
          <w:lang w:val="en-GB"/>
        </w:rPr>
        <w:t xml:space="preserve"> </w:t>
      </w:r>
      <w:r w:rsidR="00B52397" w:rsidRPr="00CA649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E66E21">
        <w:rPr>
          <w:rFonts w:ascii="Times New Roman" w:hAnsi="Times New Roman"/>
          <w:b w:val="0"/>
          <w:sz w:val="22"/>
          <w:szCs w:val="22"/>
          <w:lang w:val="en-GB"/>
        </w:rPr>
        <w:t>rice (Volume 4.2.3).</w:t>
      </w:r>
    </w:p>
    <w:p w:rsidR="001050EE" w:rsidRPr="001625C0" w:rsidRDefault="001050EE" w:rsidP="001625C0">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lastRenderedPageBreak/>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Pr="00E725FE" w:rsidRDefault="001050EE" w:rsidP="00E66E21">
      <w:pPr>
        <w:spacing w:before="120" w:after="120"/>
        <w:ind w:left="1276" w:hanging="709"/>
        <w:jc w:val="both"/>
        <w:rPr>
          <w:sz w:val="22"/>
          <w:szCs w:val="22"/>
        </w:rPr>
      </w:pPr>
      <w:r w:rsidRPr="00A12DBD">
        <w:rPr>
          <w:bCs/>
          <w:sz w:val="22"/>
          <w:szCs w:val="22"/>
        </w:rPr>
        <w:t>40.2</w:t>
      </w:r>
      <w:r w:rsidRPr="00A12DBD">
        <w:rPr>
          <w:bCs/>
          <w:sz w:val="22"/>
          <w:szCs w:val="22"/>
        </w:rPr>
        <w:tab/>
      </w:r>
      <w:r w:rsidR="00E66E21">
        <w:rPr>
          <w:sz w:val="22"/>
          <w:szCs w:val="22"/>
        </w:rPr>
        <w:t>N/A</w:t>
      </w:r>
    </w:p>
    <w:p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940E6C">
        <w:rPr>
          <w:sz w:val="22"/>
          <w:szCs w:val="22"/>
        </w:rPr>
        <w:t>N/A</w:t>
      </w:r>
    </w:p>
    <w:p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1625C0" w:rsidRPr="001625C0">
        <w:rPr>
          <w:b/>
          <w:sz w:val="22"/>
          <w:szCs w:val="22"/>
        </w:rPr>
        <w:t>RSD</w:t>
      </w:r>
      <w:r w:rsidRPr="00A12DBD">
        <w:rPr>
          <w:sz w:val="22"/>
          <w:szCs w:val="22"/>
        </w:rPr>
        <w:t xml:space="preserve">. </w:t>
      </w:r>
    </w:p>
    <w:p w:rsidR="001050EE" w:rsidRPr="00A12DBD"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1625C0">
        <w:rPr>
          <w:sz w:val="22"/>
          <w:szCs w:val="22"/>
        </w:rPr>
        <w:t>N/A</w:t>
      </w:r>
      <w:r w:rsidRPr="00F162E3">
        <w:rPr>
          <w:sz w:val="22"/>
          <w:szCs w:val="22"/>
        </w:rPr>
        <w:t>.</w:t>
      </w:r>
    </w:p>
    <w:p w:rsidR="00CE1910" w:rsidRDefault="00B47A2A" w:rsidP="00940E6C">
      <w:pPr>
        <w:spacing w:before="120" w:after="120"/>
        <w:ind w:left="1276" w:hanging="709"/>
        <w:jc w:val="both"/>
        <w:rPr>
          <w:sz w:val="22"/>
          <w:szCs w:val="22"/>
        </w:rPr>
      </w:pPr>
      <w:r w:rsidRPr="00A12DBD">
        <w:rPr>
          <w:sz w:val="22"/>
          <w:szCs w:val="22"/>
        </w:rPr>
        <w:t>44.3</w:t>
      </w:r>
      <w:r w:rsidRPr="00A12DBD">
        <w:rPr>
          <w:sz w:val="22"/>
          <w:szCs w:val="22"/>
        </w:rPr>
        <w:tab/>
      </w:r>
      <w:r w:rsidR="00940E6C">
        <w:rPr>
          <w:sz w:val="22"/>
          <w:szCs w:val="22"/>
        </w:rPr>
        <w:t>N/A</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E66E21">
        <w:rPr>
          <w:sz w:val="22"/>
          <w:szCs w:val="22"/>
        </w:rPr>
        <w:t>N/A.</w:t>
      </w:r>
    </w:p>
    <w:p w:rsidR="00742A44" w:rsidRPr="00CA6498" w:rsidRDefault="00E66E21" w:rsidP="00E66E21">
      <w:pPr>
        <w:spacing w:before="120" w:after="120"/>
        <w:ind w:left="1276" w:hanging="709"/>
        <w:jc w:val="both"/>
        <w:rPr>
          <w:sz w:val="22"/>
          <w:szCs w:val="22"/>
        </w:rPr>
      </w:pPr>
      <w:r>
        <w:rPr>
          <w:sz w:val="22"/>
          <w:szCs w:val="22"/>
        </w:rPr>
        <w:t>46.2</w:t>
      </w:r>
      <w:r w:rsidR="00714838" w:rsidRPr="00CA6498">
        <w:rPr>
          <w:sz w:val="22"/>
          <w:szCs w:val="22"/>
        </w:rPr>
        <w:t>.</w:t>
      </w:r>
      <w:r>
        <w:rPr>
          <w:sz w:val="22"/>
          <w:szCs w:val="22"/>
        </w:rPr>
        <w:tab/>
        <w:t>No pre-financing payment will be realized.</w:t>
      </w:r>
    </w:p>
    <w:p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E66E21">
        <w:rPr>
          <w:bCs/>
          <w:sz w:val="22"/>
          <w:szCs w:val="22"/>
        </w:rPr>
        <w:t>N/A</w:t>
      </w:r>
      <w:r w:rsidR="008206C3" w:rsidRPr="00CA6498">
        <w:rPr>
          <w:bCs/>
          <w:sz w:val="22"/>
          <w:szCs w:val="22"/>
        </w:rPr>
        <w:t xml:space="preserve"> </w:t>
      </w:r>
    </w:p>
    <w:p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p w:rsidR="00E66E21" w:rsidRDefault="00E66E21" w:rsidP="007A05DD">
      <w:pPr>
        <w:spacing w:before="120" w:after="120"/>
        <w:ind w:left="1276"/>
        <w:jc w:val="both"/>
        <w:rPr>
          <w:sz w:val="22"/>
          <w:szCs w:val="22"/>
        </w:rPr>
      </w:pPr>
    </w:p>
    <w:p w:rsidR="00E66E21" w:rsidRPr="00CA6498" w:rsidRDefault="00E66E21" w:rsidP="007A05DD">
      <w:pPr>
        <w:spacing w:before="120" w:after="120"/>
        <w:ind w:left="1276"/>
        <w:jc w:val="both"/>
        <w:rPr>
          <w:sz w:val="22"/>
          <w:szCs w:val="22"/>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940E6C">
        <w:tc>
          <w:tcPr>
            <w:tcW w:w="533" w:type="dxa"/>
            <w:shd w:val="clear" w:color="auto" w:fill="auto"/>
            <w:vAlign w:val="center"/>
          </w:tcPr>
          <w:p w:rsidR="00A44D93" w:rsidRPr="00CA6498" w:rsidRDefault="00A44D93" w:rsidP="00940E6C">
            <w:pPr>
              <w:spacing w:before="120" w:after="120"/>
              <w:jc w:val="center"/>
              <w:rPr>
                <w:sz w:val="22"/>
                <w:szCs w:val="22"/>
              </w:rPr>
            </w:pPr>
            <w:r w:rsidRPr="00CA6498">
              <w:rPr>
                <w:sz w:val="22"/>
                <w:szCs w:val="22"/>
              </w:rPr>
              <w:t>1.</w:t>
            </w:r>
          </w:p>
        </w:tc>
        <w:tc>
          <w:tcPr>
            <w:tcW w:w="1276" w:type="dxa"/>
            <w:shd w:val="clear" w:color="auto" w:fill="auto"/>
            <w:vAlign w:val="center"/>
          </w:tcPr>
          <w:p w:rsidR="00A44D93" w:rsidRPr="00CA6498" w:rsidRDefault="00940E6C" w:rsidP="00940E6C">
            <w:pPr>
              <w:spacing w:before="120" w:after="120"/>
              <w:jc w:val="center"/>
              <w:rPr>
                <w:sz w:val="22"/>
                <w:szCs w:val="22"/>
              </w:rPr>
            </w:pPr>
            <w:r>
              <w:rPr>
                <w:sz w:val="22"/>
                <w:szCs w:val="22"/>
              </w:rPr>
              <w:t>50</w:t>
            </w:r>
            <w:r w:rsidR="001625C0" w:rsidRPr="00CA6498">
              <w:rPr>
                <w:sz w:val="22"/>
                <w:szCs w:val="22"/>
              </w:rPr>
              <w:t>%</w:t>
            </w:r>
          </w:p>
        </w:tc>
        <w:tc>
          <w:tcPr>
            <w:tcW w:w="2552" w:type="dxa"/>
            <w:shd w:val="clear" w:color="auto" w:fill="auto"/>
            <w:vAlign w:val="center"/>
          </w:tcPr>
          <w:p w:rsidR="00A44D93" w:rsidRPr="00CA6498" w:rsidRDefault="001625C0" w:rsidP="00940E6C">
            <w:pPr>
              <w:spacing w:before="120" w:after="120"/>
              <w:rPr>
                <w:sz w:val="22"/>
                <w:szCs w:val="22"/>
              </w:rPr>
            </w:pPr>
            <w:r w:rsidRPr="00CA6498">
              <w:rPr>
                <w:sz w:val="22"/>
                <w:szCs w:val="22"/>
              </w:rPr>
              <w:t xml:space="preserve">Interim payment of Article </w:t>
            </w:r>
            <w:r w:rsidR="00940E6C">
              <w:rPr>
                <w:sz w:val="22"/>
                <w:szCs w:val="22"/>
              </w:rPr>
              <w:t>50</w:t>
            </w:r>
          </w:p>
        </w:tc>
        <w:tc>
          <w:tcPr>
            <w:tcW w:w="3890" w:type="dxa"/>
            <w:shd w:val="clear" w:color="auto" w:fill="auto"/>
            <w:vAlign w:val="center"/>
          </w:tcPr>
          <w:p w:rsidR="00A44D93" w:rsidRPr="00940E6C" w:rsidRDefault="001625C0" w:rsidP="00940E6C">
            <w:pPr>
              <w:spacing w:before="120" w:after="120"/>
              <w:rPr>
                <w:sz w:val="22"/>
                <w:szCs w:val="22"/>
                <w:lang w:val="en-US"/>
              </w:rPr>
            </w:pPr>
            <w:r w:rsidRPr="001625C0">
              <w:rPr>
                <w:sz w:val="22"/>
                <w:szCs w:val="22"/>
              </w:rPr>
              <w:t>After completion of</w:t>
            </w:r>
            <w:r w:rsidRPr="005967FA">
              <w:rPr>
                <w:sz w:val="22"/>
                <w:szCs w:val="22"/>
              </w:rPr>
              <w:t xml:space="preserve"> </w:t>
            </w:r>
            <w:r w:rsidR="00940E6C">
              <w:rPr>
                <w:sz w:val="22"/>
                <w:szCs w:val="22"/>
              </w:rPr>
              <w:t>phase I</w:t>
            </w:r>
            <w:r w:rsidR="00E66E21">
              <w:rPr>
                <w:sz w:val="22"/>
                <w:szCs w:val="22"/>
              </w:rPr>
              <w:t xml:space="preserve"> of construction works</w:t>
            </w:r>
          </w:p>
        </w:tc>
      </w:tr>
      <w:tr w:rsidR="00A44D93" w:rsidRPr="005967FA" w:rsidTr="00940E6C">
        <w:tc>
          <w:tcPr>
            <w:tcW w:w="533" w:type="dxa"/>
            <w:shd w:val="clear" w:color="auto" w:fill="auto"/>
            <w:vAlign w:val="center"/>
          </w:tcPr>
          <w:p w:rsidR="00A44D93" w:rsidRPr="00CA6498" w:rsidRDefault="00215FF5" w:rsidP="00940E6C">
            <w:pPr>
              <w:spacing w:before="120" w:after="120"/>
              <w:jc w:val="center"/>
              <w:rPr>
                <w:sz w:val="22"/>
                <w:szCs w:val="22"/>
              </w:rPr>
            </w:pPr>
            <w:r w:rsidRPr="00CA6498">
              <w:rPr>
                <w:sz w:val="22"/>
                <w:szCs w:val="22"/>
              </w:rPr>
              <w:t>2</w:t>
            </w:r>
            <w:r w:rsidR="00A44D93" w:rsidRPr="00CA6498">
              <w:rPr>
                <w:sz w:val="22"/>
                <w:szCs w:val="22"/>
              </w:rPr>
              <w:t>.</w:t>
            </w:r>
          </w:p>
        </w:tc>
        <w:tc>
          <w:tcPr>
            <w:tcW w:w="1276" w:type="dxa"/>
            <w:shd w:val="clear" w:color="auto" w:fill="auto"/>
            <w:vAlign w:val="center"/>
          </w:tcPr>
          <w:p w:rsidR="00A44D93" w:rsidRPr="00CA6498" w:rsidRDefault="00940E6C" w:rsidP="00940E6C">
            <w:pPr>
              <w:spacing w:before="120" w:after="120"/>
              <w:jc w:val="center"/>
              <w:rPr>
                <w:sz w:val="22"/>
                <w:szCs w:val="22"/>
              </w:rPr>
            </w:pPr>
            <w:r>
              <w:rPr>
                <w:sz w:val="22"/>
                <w:szCs w:val="22"/>
              </w:rPr>
              <w:t>50</w:t>
            </w:r>
            <w:r w:rsidR="001625C0" w:rsidRPr="00CA6498">
              <w:rPr>
                <w:sz w:val="22"/>
                <w:szCs w:val="22"/>
              </w:rPr>
              <w:t>%</w:t>
            </w:r>
          </w:p>
        </w:tc>
        <w:tc>
          <w:tcPr>
            <w:tcW w:w="2552" w:type="dxa"/>
            <w:shd w:val="clear" w:color="auto" w:fill="auto"/>
            <w:vAlign w:val="center"/>
          </w:tcPr>
          <w:p w:rsidR="00A44D93" w:rsidRPr="00CA6498" w:rsidRDefault="001625C0" w:rsidP="00940E6C">
            <w:pPr>
              <w:spacing w:before="120" w:after="120"/>
              <w:rPr>
                <w:sz w:val="22"/>
                <w:szCs w:val="22"/>
              </w:rPr>
            </w:pPr>
            <w:r>
              <w:rPr>
                <w:sz w:val="22"/>
                <w:szCs w:val="22"/>
              </w:rPr>
              <w:t>Final</w:t>
            </w:r>
            <w:r w:rsidRPr="00CA6498">
              <w:rPr>
                <w:sz w:val="22"/>
                <w:szCs w:val="22"/>
              </w:rPr>
              <w:t xml:space="preserve"> payment of Article 50</w:t>
            </w:r>
          </w:p>
        </w:tc>
        <w:tc>
          <w:tcPr>
            <w:tcW w:w="3890" w:type="dxa"/>
            <w:shd w:val="clear" w:color="auto" w:fill="auto"/>
            <w:vAlign w:val="center"/>
          </w:tcPr>
          <w:p w:rsidR="00B77041" w:rsidRPr="005967FA" w:rsidRDefault="001625C0" w:rsidP="00940E6C">
            <w:pPr>
              <w:spacing w:before="120" w:after="120"/>
              <w:rPr>
                <w:sz w:val="22"/>
                <w:szCs w:val="22"/>
              </w:rPr>
            </w:pPr>
            <w:r w:rsidRPr="00CA6498">
              <w:rPr>
                <w:sz w:val="22"/>
                <w:szCs w:val="22"/>
              </w:rPr>
              <w:t xml:space="preserve">After issuing of the </w:t>
            </w:r>
            <w:r>
              <w:rPr>
                <w:sz w:val="22"/>
                <w:szCs w:val="22"/>
              </w:rPr>
              <w:t>c</w:t>
            </w:r>
            <w:r w:rsidRPr="00CA6498">
              <w:rPr>
                <w:sz w:val="22"/>
                <w:szCs w:val="22"/>
              </w:rPr>
              <w:t>ertificate of provisional acceptance</w:t>
            </w:r>
            <w:bookmarkStart w:id="25" w:name="_GoBack"/>
            <w:bookmarkEnd w:id="25"/>
          </w:p>
        </w:tc>
      </w:tr>
    </w:tbl>
    <w:p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1625C0">
        <w:rPr>
          <w:bCs/>
          <w:sz w:val="22"/>
          <w:szCs w:val="22"/>
        </w:rPr>
        <w:t>The interim payment</w:t>
      </w:r>
      <w:r w:rsidR="00940E6C">
        <w:rPr>
          <w:bCs/>
          <w:sz w:val="22"/>
          <w:szCs w:val="22"/>
        </w:rPr>
        <w:t xml:space="preserve"> and Final payment</w:t>
      </w:r>
      <w:r w:rsidR="00BA692F" w:rsidRPr="00CA6498">
        <w:rPr>
          <w:bCs/>
          <w:sz w:val="22"/>
          <w:szCs w:val="22"/>
        </w:rPr>
        <w:t xml:space="preserve">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rsidR="001050EE" w:rsidRPr="00E725FE" w:rsidRDefault="001050EE" w:rsidP="001625C0">
      <w:pPr>
        <w:autoSpaceDE w:val="0"/>
        <w:autoSpaceDN w:val="0"/>
        <w:adjustRightInd w:val="0"/>
        <w:spacing w:before="120" w:after="120"/>
        <w:ind w:left="1276" w:hanging="709"/>
        <w:jc w:val="both"/>
        <w:rPr>
          <w:sz w:val="22"/>
          <w:szCs w:val="22"/>
          <w:lang w:bidi="kn-IN"/>
        </w:rPr>
      </w:pPr>
      <w:r w:rsidRPr="001625C0">
        <w:rPr>
          <w:rStyle w:val="DefaultMargins"/>
          <w:rFonts w:ascii="Times New Roman" w:hAnsi="Times New Roman" w:cs="Times New Roman"/>
          <w:bCs/>
          <w:spacing w:val="-3"/>
          <w:sz w:val="22"/>
          <w:szCs w:val="22"/>
          <w:lang w:val="en-GB"/>
        </w:rPr>
        <w:t>68.4</w:t>
      </w:r>
      <w:r w:rsidRPr="001625C0">
        <w:rPr>
          <w:rStyle w:val="DefaultMargins"/>
          <w:rFonts w:ascii="Times New Roman" w:hAnsi="Times New Roman" w:cs="Times New Roman"/>
          <w:spacing w:val="-3"/>
          <w:sz w:val="22"/>
          <w:szCs w:val="22"/>
          <w:lang w:val="en-GB"/>
        </w:rPr>
        <w:tab/>
      </w:r>
      <w:r w:rsidRPr="001625C0">
        <w:rPr>
          <w:sz w:val="22"/>
          <w:szCs w:val="22"/>
          <w:lang w:bidi="kn-IN"/>
        </w:rPr>
        <w:t xml:space="preserve">Any dispute arising out of or relating to this </w:t>
      </w:r>
      <w:r w:rsidR="00B6292A" w:rsidRPr="001625C0">
        <w:rPr>
          <w:sz w:val="22"/>
          <w:szCs w:val="22"/>
          <w:lang w:bidi="kn-IN"/>
        </w:rPr>
        <w:t>c</w:t>
      </w:r>
      <w:r w:rsidRPr="001625C0">
        <w:rPr>
          <w:sz w:val="22"/>
          <w:szCs w:val="22"/>
          <w:lang w:bidi="kn-IN"/>
        </w:rPr>
        <w:t xml:space="preserve">ontract which cannot be settled otherwise shall be referred to the exclusive jurisdiction of </w:t>
      </w:r>
      <w:r w:rsidR="001625C0" w:rsidRPr="001625C0">
        <w:rPr>
          <w:b/>
          <w:sz w:val="22"/>
          <w:szCs w:val="22"/>
          <w:lang w:bidi="kn-IN"/>
        </w:rPr>
        <w:t>Court in Novi Sad</w:t>
      </w:r>
      <w:r w:rsidRPr="001625C0">
        <w:rPr>
          <w:sz w:val="22"/>
          <w:szCs w:val="22"/>
          <w:lang w:bidi="kn-IN"/>
        </w:rPr>
        <w:t xml:space="preserve"> </w:t>
      </w:r>
      <w:r w:rsidR="002079A9" w:rsidRPr="001625C0">
        <w:rPr>
          <w:sz w:val="22"/>
          <w:szCs w:val="22"/>
          <w:lang w:bidi="kn-IN"/>
        </w:rPr>
        <w:t xml:space="preserve">in accordance with </w:t>
      </w:r>
      <w:r w:rsidRPr="001625C0">
        <w:rPr>
          <w:sz w:val="22"/>
          <w:szCs w:val="22"/>
          <w:lang w:bidi="kn-IN"/>
        </w:rPr>
        <w:t xml:space="preserve">the national legislation </w:t>
      </w:r>
      <w:r w:rsidR="002079A9" w:rsidRPr="001625C0">
        <w:rPr>
          <w:sz w:val="22"/>
          <w:szCs w:val="22"/>
          <w:lang w:bidi="kn-IN"/>
        </w:rPr>
        <w:t xml:space="preserve">of the state </w:t>
      </w:r>
      <w:r w:rsidRPr="001625C0">
        <w:rPr>
          <w:sz w:val="22"/>
          <w:szCs w:val="22"/>
          <w:lang w:bidi="kn-IN"/>
        </w:rPr>
        <w:t xml:space="preserve">of the </w:t>
      </w:r>
      <w:r w:rsidR="00B6292A" w:rsidRPr="001625C0">
        <w:rPr>
          <w:sz w:val="22"/>
          <w:szCs w:val="22"/>
          <w:lang w:bidi="kn-IN"/>
        </w:rPr>
        <w:t>c</w:t>
      </w:r>
      <w:r w:rsidRPr="001625C0">
        <w:rPr>
          <w:sz w:val="22"/>
          <w:szCs w:val="22"/>
          <w:lang w:bidi="kn-IN"/>
        </w:rPr>
        <w:t xml:space="preserve">ontracting </w:t>
      </w:r>
      <w:r w:rsidR="00B6292A" w:rsidRPr="001625C0">
        <w:rPr>
          <w:sz w:val="22"/>
          <w:szCs w:val="22"/>
          <w:lang w:bidi="kn-IN"/>
        </w:rPr>
        <w:t>a</w:t>
      </w:r>
      <w:r w:rsidRPr="001625C0">
        <w:rPr>
          <w:sz w:val="22"/>
          <w:szCs w:val="22"/>
          <w:lang w:bidi="kn-IN"/>
        </w:rPr>
        <w:t>uthority.</w:t>
      </w:r>
    </w:p>
    <w:p w:rsidR="004321C9" w:rsidRPr="001625C0" w:rsidRDefault="004321C9" w:rsidP="004C6937">
      <w:pPr>
        <w:keepNext/>
        <w:keepLines/>
        <w:tabs>
          <w:tab w:val="left" w:pos="1134"/>
        </w:tabs>
        <w:spacing w:before="240" w:after="120"/>
        <w:ind w:left="1134" w:hanging="1134"/>
        <w:jc w:val="both"/>
        <w:rPr>
          <w:b/>
          <w:szCs w:val="24"/>
        </w:rPr>
      </w:pPr>
      <w:r w:rsidRPr="001625C0">
        <w:rPr>
          <w:b/>
          <w:szCs w:val="24"/>
        </w:rPr>
        <w:t>Article 72</w:t>
      </w:r>
      <w:r w:rsidRPr="001625C0">
        <w:rPr>
          <w:b/>
          <w:szCs w:val="24"/>
        </w:rPr>
        <w:tab/>
        <w:t xml:space="preserve">Data </w:t>
      </w:r>
      <w:r w:rsidR="00B6292A" w:rsidRPr="001625C0">
        <w:rPr>
          <w:b/>
          <w:szCs w:val="24"/>
        </w:rPr>
        <w:t>p</w:t>
      </w:r>
      <w:r w:rsidRPr="001625C0">
        <w:rPr>
          <w:b/>
          <w:szCs w:val="24"/>
        </w:rPr>
        <w:t>rotection</w:t>
      </w:r>
    </w:p>
    <w:p w:rsidR="00127C86" w:rsidRPr="001625C0" w:rsidRDefault="00127C86" w:rsidP="00940E6C">
      <w:pPr>
        <w:ind w:left="720"/>
        <w:jc w:val="both"/>
        <w:rPr>
          <w:sz w:val="22"/>
          <w:szCs w:val="22"/>
        </w:rPr>
      </w:pPr>
      <w:r w:rsidRPr="001625C0">
        <w:rPr>
          <w:sz w:val="22"/>
          <w:szCs w:val="22"/>
        </w:rPr>
        <w:t xml:space="preserve">1. </w:t>
      </w:r>
      <w:r w:rsidR="00940E6C">
        <w:rPr>
          <w:sz w:val="22"/>
          <w:szCs w:val="22"/>
        </w:rPr>
        <w:tab/>
      </w:r>
      <w:r w:rsidRPr="001625C0">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127C86" w:rsidRPr="005C0DEE" w:rsidRDefault="00127C86" w:rsidP="00940E6C">
      <w:pPr>
        <w:ind w:left="720"/>
        <w:jc w:val="both"/>
        <w:rPr>
          <w:sz w:val="22"/>
          <w:szCs w:val="22"/>
          <w:u w:val="single"/>
        </w:rPr>
      </w:pPr>
      <w:r w:rsidRPr="001625C0">
        <w:rPr>
          <w:sz w:val="22"/>
          <w:szCs w:val="22"/>
        </w:rPr>
        <w:t xml:space="preserve">2. </w:t>
      </w:r>
      <w:r w:rsidR="00940E6C">
        <w:rPr>
          <w:sz w:val="22"/>
          <w:szCs w:val="22"/>
        </w:rPr>
        <w:tab/>
      </w:r>
      <w:r w:rsidRPr="001625C0">
        <w:rPr>
          <w:sz w:val="22"/>
          <w:szCs w:val="22"/>
        </w:rPr>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625C0">
        <w:rPr>
          <w:rStyle w:val="FootnoteReference"/>
          <w:sz w:val="22"/>
          <w:szCs w:val="22"/>
        </w:rPr>
        <w:footnoteReference w:id="1"/>
      </w:r>
      <w:r w:rsidRPr="001625C0">
        <w:rPr>
          <w:sz w:val="22"/>
          <w:szCs w:val="22"/>
        </w:rPr>
        <w:t xml:space="preserve"> and as detailed in the specific privacy statement published at ePRAG.</w:t>
      </w:r>
    </w:p>
    <w:p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6D3" w:rsidRPr="00E725FE" w:rsidRDefault="001556D3">
      <w:r w:rsidRPr="00E725FE">
        <w:separator/>
      </w:r>
    </w:p>
  </w:endnote>
  <w:endnote w:type="continuationSeparator" w:id="0">
    <w:p w:rsidR="001556D3" w:rsidRPr="00E725FE" w:rsidRDefault="001556D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Pr="00B3283E" w:rsidRDefault="00535F34" w:rsidP="00B3283E">
    <w:pPr>
      <w:pStyle w:val="Footer"/>
      <w:tabs>
        <w:tab w:val="clear" w:pos="4320"/>
        <w:tab w:val="clear" w:pos="8640"/>
        <w:tab w:val="right" w:pos="9214"/>
      </w:tabs>
      <w:ind w:right="5"/>
      <w:rPr>
        <w:rStyle w:val="PageNumber"/>
        <w:sz w:val="18"/>
        <w:szCs w:val="18"/>
      </w:rPr>
    </w:pPr>
    <w:r>
      <w:rPr>
        <w:b/>
        <w:sz w:val="18"/>
      </w:rPr>
      <w:t>July 2019</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4F7848">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4F7848">
      <w:rPr>
        <w:rStyle w:val="PageNumber"/>
        <w:noProof/>
        <w:sz w:val="18"/>
        <w:szCs w:val="18"/>
      </w:rPr>
      <w:t>4</w:t>
    </w:r>
    <w:r w:rsidR="00795633" w:rsidRPr="00B3283E">
      <w:rPr>
        <w:rStyle w:val="PageNumber"/>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6D3" w:rsidRPr="00E725FE" w:rsidRDefault="001556D3">
      <w:r w:rsidRPr="00E725FE">
        <w:separator/>
      </w:r>
    </w:p>
  </w:footnote>
  <w:footnote w:type="continuationSeparator" w:id="0">
    <w:p w:rsidR="001556D3" w:rsidRPr="00E725FE" w:rsidRDefault="001556D3">
      <w:r w:rsidRPr="00E725FE">
        <w:continuationSeparator/>
      </w:r>
    </w:p>
  </w:footnote>
  <w:footnote w:id="1">
    <w:p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A0" w:rsidRDefault="005F28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A0" w:rsidRDefault="005F2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9ED"/>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6D3"/>
    <w:rsid w:val="001557A3"/>
    <w:rsid w:val="001625C0"/>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4F7848"/>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0E6C"/>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6E21"/>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greenwayssombor@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394C9-657A-4FDB-B079-AD3D7845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Windows User</cp:lastModifiedBy>
  <cp:revision>7</cp:revision>
  <cp:lastPrinted>2014-02-12T13:59:00Z</cp:lastPrinted>
  <dcterms:created xsi:type="dcterms:W3CDTF">2018-12-18T13:16:00Z</dcterms:created>
  <dcterms:modified xsi:type="dcterms:W3CDTF">2020-01-20T14:47:00Z</dcterms:modified>
</cp:coreProperties>
</file>