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:rsidR="009D1893" w:rsidRDefault="00CD2624" w:rsidP="009D1893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:rsidR="004677C7" w:rsidRPr="00E725FE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WORKS </w:t>
      </w:r>
      <w:r w:rsidR="00CD2624" w:rsidRPr="00E725FE">
        <w:rPr>
          <w:rFonts w:ascii="Times New Roman" w:hAnsi="Times New Roman"/>
          <w:sz w:val="22"/>
          <w:szCs w:val="22"/>
          <w:lang w:val="en-GB"/>
        </w:rPr>
        <w:t>CONTRACT FOR EUROPEAN UNION</w:t>
      </w:r>
      <w:r w:rsidR="004677C7" w:rsidRPr="004677C7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677C7" w:rsidRPr="00E725FE">
        <w:rPr>
          <w:rFonts w:ascii="Times New Roman" w:hAnsi="Times New Roman"/>
          <w:sz w:val="22"/>
          <w:szCs w:val="22"/>
          <w:lang w:val="en-GB"/>
        </w:rPr>
        <w:t>EXTERNAL ACTION</w:t>
      </w:r>
      <w:r w:rsidR="004677C7">
        <w:rPr>
          <w:rFonts w:ascii="Times New Roman" w:hAnsi="Times New Roman"/>
          <w:sz w:val="22"/>
          <w:szCs w:val="22"/>
          <w:lang w:val="en-GB"/>
        </w:rPr>
        <w:t>S</w:t>
      </w:r>
    </w:p>
    <w:p w:rsidR="004677C7" w:rsidRPr="004677C7" w:rsidRDefault="0034613B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No</w:t>
      </w:r>
      <w:r w:rsidR="005B545A">
        <w:rPr>
          <w:b/>
          <w:sz w:val="22"/>
          <w:szCs w:val="22"/>
        </w:rPr>
        <w:t>.</w:t>
      </w:r>
      <w:r w:rsidR="004677C7" w:rsidRPr="004677C7">
        <w:rPr>
          <w:b/>
          <w:sz w:val="22"/>
          <w:szCs w:val="22"/>
        </w:rPr>
        <w:t xml:space="preserve"> </w:t>
      </w:r>
      <w:r w:rsidR="005B545A" w:rsidRPr="005B545A">
        <w:rPr>
          <w:b/>
          <w:sz w:val="22"/>
          <w:szCs w:val="22"/>
        </w:rPr>
        <w:t>HUSRB/1602/31/0227-8/bicycle service points 7.1.1</w:t>
      </w:r>
    </w:p>
    <w:p w:rsidR="00CD2624" w:rsidRPr="00E725FE" w:rsidRDefault="004677C7" w:rsidP="00D364B4">
      <w:pPr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FINANCED FROM THE </w:t>
      </w:r>
      <w:r w:rsidRPr="0027051D">
        <w:rPr>
          <w:b/>
          <w:sz w:val="22"/>
          <w:szCs w:val="22"/>
        </w:rPr>
        <w:t>GENERAL BUDGET</w:t>
      </w:r>
      <w:r w:rsidR="003B7759" w:rsidRPr="0027051D">
        <w:rPr>
          <w:b/>
          <w:sz w:val="22"/>
          <w:szCs w:val="22"/>
        </w:rPr>
        <w:t>OF THE UNION</w:t>
      </w:r>
    </w:p>
    <w:p w:rsidR="00D364B4" w:rsidRPr="00D364B4" w:rsidRDefault="00D364B4" w:rsidP="00D364B4">
      <w:pPr>
        <w:spacing w:after="120"/>
      </w:pPr>
      <w:r w:rsidRPr="00D364B4">
        <w:t>Between</w:t>
      </w:r>
    </w:p>
    <w:p w:rsidR="00C519D5" w:rsidRPr="001742D1" w:rsidRDefault="00C519D5" w:rsidP="00C519D5">
      <w:pPr>
        <w:widowControl w:val="0"/>
        <w:snapToGrid w:val="0"/>
        <w:jc w:val="both"/>
        <w:rPr>
          <w:b/>
          <w:szCs w:val="24"/>
        </w:rPr>
      </w:pPr>
      <w:r w:rsidRPr="001742D1">
        <w:rPr>
          <w:b/>
          <w:szCs w:val="24"/>
        </w:rPr>
        <w:t>City of Sombor</w:t>
      </w:r>
    </w:p>
    <w:p w:rsidR="00C519D5" w:rsidRPr="001742D1" w:rsidRDefault="00C519D5" w:rsidP="00C519D5">
      <w:pPr>
        <w:widowControl w:val="0"/>
        <w:snapToGrid w:val="0"/>
        <w:jc w:val="both"/>
        <w:rPr>
          <w:b/>
          <w:szCs w:val="24"/>
        </w:rPr>
      </w:pPr>
      <w:r w:rsidRPr="001742D1">
        <w:rPr>
          <w:b/>
          <w:szCs w:val="24"/>
        </w:rPr>
        <w:t>Trg cara Uroša 1, 25000 Sombor</w:t>
      </w:r>
    </w:p>
    <w:p w:rsidR="00C519D5" w:rsidRPr="001742D1" w:rsidRDefault="00C519D5" w:rsidP="00C519D5">
      <w:pPr>
        <w:widowControl w:val="0"/>
        <w:snapToGrid w:val="0"/>
        <w:jc w:val="both"/>
        <w:rPr>
          <w:b/>
          <w:szCs w:val="24"/>
        </w:rPr>
      </w:pPr>
      <w:r w:rsidRPr="001742D1">
        <w:rPr>
          <w:b/>
          <w:szCs w:val="24"/>
        </w:rPr>
        <w:t>Official registration number: 08337152</w:t>
      </w:r>
    </w:p>
    <w:p w:rsidR="00E54183" w:rsidRPr="00E725FE" w:rsidRDefault="00C519D5" w:rsidP="00C519D5">
      <w:pPr>
        <w:widowControl w:val="0"/>
        <w:snapToGrid w:val="0"/>
        <w:rPr>
          <w:sz w:val="22"/>
          <w:szCs w:val="22"/>
        </w:rPr>
      </w:pPr>
      <w:r w:rsidRPr="001742D1">
        <w:rPr>
          <w:b/>
          <w:szCs w:val="24"/>
        </w:rPr>
        <w:t>VAT number: 100123158</w:t>
      </w:r>
    </w:p>
    <w:p w:rsidR="00CD2624" w:rsidRPr="00E725FE" w:rsidRDefault="00CD2624" w:rsidP="00C519D5">
      <w:pPr>
        <w:widowControl w:val="0"/>
        <w:snapToGrid w:val="0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),</w:t>
      </w:r>
    </w:p>
    <w:p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 xml:space="preserve">Full official </w:t>
      </w:r>
      <w:r w:rsidR="0034613B">
        <w:rPr>
          <w:sz w:val="22"/>
          <w:szCs w:val="22"/>
          <w:highlight w:val="yellow"/>
        </w:rPr>
        <w:t>n</w:t>
      </w:r>
      <w:r w:rsidRPr="0092758C">
        <w:rPr>
          <w:sz w:val="22"/>
          <w:szCs w:val="22"/>
          <w:highlight w:val="yellow"/>
        </w:rPr>
        <w:t xml:space="preserve">ame of </w:t>
      </w:r>
      <w:r w:rsidR="0034613B">
        <w:rPr>
          <w:sz w:val="22"/>
          <w:szCs w:val="22"/>
          <w:highlight w:val="yellow"/>
        </w:rPr>
        <w:t>the c</w:t>
      </w:r>
      <w:r w:rsidRPr="0092758C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1"/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2"/>
      </w:r>
    </w:p>
    <w:p w:rsidR="00CD2624" w:rsidRPr="00E725FE" w:rsidRDefault="007F26B5" w:rsidP="006E603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92758C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="00E725FE">
        <w:rPr>
          <w:sz w:val="22"/>
          <w:szCs w:val="22"/>
        </w:rPr>
        <w:t>,</w:t>
      </w:r>
      <w:r w:rsidRPr="00E725FE">
        <w:rPr>
          <w:rStyle w:val="FootnoteReference"/>
          <w:sz w:val="22"/>
          <w:szCs w:val="22"/>
        </w:rPr>
        <w:footnoteReference w:id="3"/>
      </w:r>
      <w:r w:rsidRPr="00E725FE">
        <w:rPr>
          <w:sz w:val="22"/>
          <w:szCs w:val="22"/>
        </w:rPr>
        <w:t xml:space="preserve"> 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:rsidR="00CD2624" w:rsidRPr="00E725FE" w:rsidRDefault="00CD2624" w:rsidP="005B545A">
      <w:pPr>
        <w:spacing w:before="240"/>
        <w:jc w:val="center"/>
        <w:outlineLvl w:val="0"/>
        <w:rPr>
          <w:sz w:val="22"/>
          <w:szCs w:val="22"/>
        </w:rPr>
      </w:pPr>
      <w:r w:rsidRPr="00E725FE">
        <w:rPr>
          <w:b/>
          <w:sz w:val="22"/>
          <w:szCs w:val="22"/>
        </w:rPr>
        <w:t>PROJECT</w:t>
      </w:r>
      <w:r w:rsidRPr="00E725FE">
        <w:rPr>
          <w:sz w:val="22"/>
          <w:szCs w:val="22"/>
        </w:rPr>
        <w:t xml:space="preserve"> </w:t>
      </w:r>
      <w:r w:rsidR="005B545A" w:rsidRPr="005B545A">
        <w:rPr>
          <w:b/>
          <w:sz w:val="22"/>
          <w:szCs w:val="22"/>
        </w:rPr>
        <w:t>Ecotourism destination development of the Baja-Sombor crossborder region by the development of thematic greenways and tourism packages,</w:t>
      </w:r>
      <w:r w:rsidR="005B545A">
        <w:rPr>
          <w:sz w:val="22"/>
          <w:szCs w:val="22"/>
        </w:rPr>
        <w:t xml:space="preserve"> </w:t>
      </w:r>
      <w:r w:rsidR="005B545A" w:rsidRPr="005B545A">
        <w:rPr>
          <w:b/>
          <w:sz w:val="22"/>
          <w:szCs w:val="22"/>
        </w:rPr>
        <w:t>HUSRB/1602/31/0227</w:t>
      </w:r>
    </w:p>
    <w:p w:rsidR="005B545A" w:rsidRDefault="004677C7" w:rsidP="009D1893">
      <w:pPr>
        <w:spacing w:before="240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CONTRACT TITLE </w:t>
      </w:r>
      <w:r w:rsidR="00F43590" w:rsidRPr="00F43590">
        <w:rPr>
          <w:b/>
          <w:sz w:val="22"/>
          <w:szCs w:val="22"/>
        </w:rPr>
        <w:t xml:space="preserve">Construction of 2 bicycle service points </w:t>
      </w:r>
    </w:p>
    <w:p w:rsidR="004677C7" w:rsidRDefault="00F43590" w:rsidP="005B545A">
      <w:pPr>
        <w:jc w:val="center"/>
        <w:outlineLvl w:val="0"/>
        <w:rPr>
          <w:b/>
          <w:sz w:val="22"/>
          <w:szCs w:val="22"/>
        </w:rPr>
      </w:pPr>
      <w:r w:rsidRPr="00F43590">
        <w:rPr>
          <w:b/>
          <w:sz w:val="22"/>
          <w:szCs w:val="22"/>
        </w:rPr>
        <w:t>for the project Baja-Sombor Greenways</w:t>
      </w:r>
    </w:p>
    <w:p w:rsidR="00CD2624" w:rsidRPr="00E725FE" w:rsidRDefault="004677C7" w:rsidP="009D1893">
      <w:pPr>
        <w:spacing w:before="240"/>
        <w:ind w:left="720" w:hanging="720"/>
        <w:jc w:val="both"/>
        <w:rPr>
          <w:sz w:val="22"/>
          <w:szCs w:val="22"/>
        </w:rPr>
      </w:pPr>
      <w:r w:rsidRPr="004677C7">
        <w:rPr>
          <w:b/>
          <w:sz w:val="22"/>
          <w:szCs w:val="22"/>
        </w:rPr>
        <w:t xml:space="preserve">Identification number </w:t>
      </w:r>
      <w:r w:rsidR="005B545A" w:rsidRPr="005B545A">
        <w:rPr>
          <w:b/>
          <w:sz w:val="22"/>
          <w:szCs w:val="22"/>
        </w:rPr>
        <w:t>HUSRB/1602/31/0227-8/bicycle service points 7.1.1</w:t>
      </w:r>
    </w:p>
    <w:p w:rsidR="00CD2624" w:rsidRPr="00E725FE" w:rsidRDefault="00CD2624" w:rsidP="009D1893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34613B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:rsidR="00CD2624" w:rsidRPr="00E725FE" w:rsidRDefault="00CD2624" w:rsidP="00841F3A">
      <w:pPr>
        <w:spacing w:before="240"/>
        <w:ind w:right="-567"/>
        <w:jc w:val="both"/>
        <w:rPr>
          <w:sz w:val="22"/>
          <w:szCs w:val="22"/>
        </w:rPr>
      </w:pPr>
      <w:r w:rsidRPr="00841F3A">
        <w:rPr>
          <w:sz w:val="22"/>
          <w:szCs w:val="22"/>
        </w:rPr>
        <w:t>Construction of</w:t>
      </w:r>
      <w:r w:rsidR="00841F3A">
        <w:rPr>
          <w:b/>
          <w:sz w:val="22"/>
          <w:szCs w:val="22"/>
        </w:rPr>
        <w:t xml:space="preserve"> </w:t>
      </w:r>
      <w:r w:rsidR="00841F3A" w:rsidRPr="00FD379C">
        <w:rPr>
          <w:sz w:val="22"/>
          <w:szCs w:val="22"/>
        </w:rPr>
        <w:t>2 bicycle service points in Bezdan, Kanalska obala bb, 3135/1 KO Bezdan and City of Sombor, KO 3279/1 Sombor-1. Both bicycle points have total area of 30 m2. Contractor has to realize several types of works – Construction works, Hydro techn</w:t>
      </w:r>
      <w:r w:rsidR="00841F3A">
        <w:rPr>
          <w:sz w:val="22"/>
          <w:szCs w:val="22"/>
        </w:rPr>
        <w:t xml:space="preserve">ical works and Electrical works, </w:t>
      </w:r>
      <w:r w:rsidRPr="00E725FE">
        <w:rPr>
          <w:sz w:val="22"/>
          <w:szCs w:val="22"/>
        </w:rPr>
        <w:t xml:space="preserve">and has accepted a tender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</w:p>
    <w:p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g</w:t>
      </w:r>
      <w:r w:rsidRPr="002F0C4E">
        <w:rPr>
          <w:sz w:val="22"/>
          <w:szCs w:val="22"/>
        </w:rPr>
        <w:t xml:space="preserve">eneral </w:t>
      </w:r>
      <w:r w:rsidR="0034613B">
        <w:rPr>
          <w:sz w:val="22"/>
          <w:szCs w:val="22"/>
        </w:rPr>
        <w:t>c</w:t>
      </w:r>
      <w:r w:rsidRPr="002F0C4E">
        <w:rPr>
          <w:sz w:val="22"/>
          <w:szCs w:val="22"/>
        </w:rPr>
        <w:t>onditions,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t</w:t>
      </w:r>
      <w:r w:rsidRPr="002F0C4E">
        <w:rPr>
          <w:sz w:val="22"/>
          <w:szCs w:val="22"/>
        </w:rPr>
        <w:t xml:space="preserve">echnical </w:t>
      </w:r>
      <w:r w:rsidR="00900E37" w:rsidRPr="002F0C4E">
        <w:t xml:space="preserve">and/or </w:t>
      </w:r>
      <w:r w:rsidR="0034613B">
        <w:t>p</w:t>
      </w:r>
      <w:r w:rsidR="00900E37" w:rsidRPr="002F0C4E">
        <w:t xml:space="preserve">erformance </w:t>
      </w:r>
      <w:r w:rsidR="0034613B">
        <w:rPr>
          <w:sz w:val="22"/>
          <w:szCs w:val="22"/>
        </w:rPr>
        <w:t>s</w:t>
      </w:r>
      <w:r w:rsidRPr="002F0C4E">
        <w:rPr>
          <w:sz w:val="22"/>
          <w:szCs w:val="22"/>
        </w:rPr>
        <w:t>pecifications,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 xml:space="preserve">esign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>ocumentation (drawings),</w:t>
      </w:r>
    </w:p>
    <w:p w:rsidR="00CD2624" w:rsidRPr="0092758C" w:rsidRDefault="00B5758A" w:rsidP="0092758C">
      <w:pPr>
        <w:numPr>
          <w:ilvl w:val="0"/>
          <w:numId w:val="111"/>
        </w:numPr>
        <w:ind w:left="993" w:right="-45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CD2624" w:rsidRPr="002F0C4E">
        <w:rPr>
          <w:sz w:val="22"/>
          <w:szCs w:val="22"/>
        </w:rPr>
        <w:t>breakdown</w:t>
      </w:r>
      <w:r w:rsidR="00527193" w:rsidRPr="002F0C4E">
        <w:rPr>
          <w:sz w:val="22"/>
          <w:szCs w:val="22"/>
        </w:rPr>
        <w:t xml:space="preserve"> of</w:t>
      </w:r>
      <w:r w:rsidR="00527193" w:rsidRPr="0092758C">
        <w:rPr>
          <w:sz w:val="22"/>
          <w:szCs w:val="22"/>
        </w:rPr>
        <w:t xml:space="preserve"> lump-sum price</w:t>
      </w:r>
      <w:r w:rsidR="00CD2624" w:rsidRPr="0092758C">
        <w:rPr>
          <w:sz w:val="22"/>
          <w:szCs w:val="22"/>
        </w:rPr>
        <w:t>,</w:t>
      </w:r>
    </w:p>
    <w:p w:rsidR="00CD2624" w:rsidRPr="00E725FE" w:rsidRDefault="002921E2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>
        <w:rPr>
          <w:sz w:val="22"/>
          <w:szCs w:val="22"/>
        </w:rPr>
        <w:t>the tender,</w:t>
      </w:r>
    </w:p>
    <w:p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:rsidR="00CD2624" w:rsidRPr="0027051D" w:rsidRDefault="00CD2624" w:rsidP="0027051D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  <w:lang w:val="en-US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VAT/other taxes)</w:t>
      </w:r>
      <w:r w:rsidR="007F26B5">
        <w:rPr>
          <w:sz w:val="22"/>
          <w:szCs w:val="22"/>
        </w:rPr>
        <w:t xml:space="preserve"> </w:t>
      </w:r>
      <w:r w:rsidR="0027051D" w:rsidRPr="0027051D">
        <w:rPr>
          <w:b/>
          <w:sz w:val="22"/>
          <w:szCs w:val="22"/>
        </w:rPr>
        <w:t>RSD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964FDB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</w:p>
    <w:p w:rsidR="00CD2624" w:rsidRPr="00E725FE" w:rsidRDefault="00F062A3" w:rsidP="0092758C">
      <w:pPr>
        <w:tabs>
          <w:tab w:val="left" w:pos="851"/>
          <w:tab w:val="right" w:leader="dot" w:pos="8505"/>
        </w:tabs>
        <w:spacing w:before="120" w:after="240"/>
        <w:ind w:left="851" w:right="9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 xml:space="preserve">Contract price </w:t>
      </w:r>
      <w:r w:rsidR="0027051D" w:rsidRPr="0027051D">
        <w:rPr>
          <w:b/>
          <w:sz w:val="22"/>
          <w:szCs w:val="22"/>
        </w:rPr>
        <w:t>RSD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7F26B5">
        <w:rPr>
          <w:sz w:val="22"/>
          <w:szCs w:val="22"/>
          <w:highlight w:val="yellow"/>
        </w:rPr>
        <w:t>amount</w:t>
      </w:r>
      <w:r w:rsidR="00D0622A" w:rsidRPr="00ED5063">
        <w:rPr>
          <w:sz w:val="22"/>
          <w:szCs w:val="22"/>
          <w:highlight w:val="yellow"/>
        </w:rPr>
        <w:t xml:space="preserve"> in words</w:t>
      </w:r>
      <w:r w:rsidR="00D0622A">
        <w:rPr>
          <w:sz w:val="22"/>
          <w:szCs w:val="22"/>
        </w:rPr>
        <w:t xml:space="preserve">&gt; </w:t>
      </w:r>
    </w:p>
    <w:p w:rsidR="00CD2624" w:rsidRDefault="00CD2624" w:rsidP="00312D2D">
      <w:pPr>
        <w:spacing w:after="240"/>
        <w:ind w:left="567"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:rsidR="002F0C4E" w:rsidRPr="00DD74D3" w:rsidRDefault="001E702D" w:rsidP="002F0C4E">
      <w:pPr>
        <w:spacing w:after="240"/>
        <w:ind w:left="567" w:right="-45" w:hanging="567"/>
        <w:jc w:val="both"/>
        <w:rPr>
          <w:sz w:val="22"/>
          <w:szCs w:val="22"/>
        </w:rPr>
      </w:pPr>
      <w:r w:rsidRPr="00DD74D3">
        <w:rPr>
          <w:sz w:val="22"/>
          <w:szCs w:val="22"/>
        </w:rPr>
        <w:t>(5)</w:t>
      </w:r>
      <w:r w:rsidRPr="00DD74D3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p</w:t>
      </w:r>
      <w:r w:rsidR="002F0C4E" w:rsidRPr="00DD74D3">
        <w:rPr>
          <w:sz w:val="22"/>
          <w:szCs w:val="22"/>
        </w:rPr>
        <w:t>arties agree to the set of rights and obligations described in the attached contractual documents, with the following main characteristics, further detailed in the attachments: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440"/>
        <w:gridCol w:w="5972"/>
        <w:gridCol w:w="1047"/>
      </w:tblGrid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7412" w:type="dxa"/>
            <w:gridSpan w:val="2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F43590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Contract-</w:t>
            </w:r>
            <w:r w:rsidR="00F43590">
              <w:rPr>
                <w:rFonts w:eastAsia="Calibri"/>
                <w:snapToGrid/>
                <w:sz w:val="22"/>
                <w:szCs w:val="22"/>
              </w:rPr>
              <w:t xml:space="preserve"> 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>article: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Price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Lump sum contract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Prices </w:t>
            </w:r>
            <w:r w:rsidR="00F85D5B" w:rsidRPr="00DD74D3">
              <w:rPr>
                <w:rFonts w:eastAsia="Calibri"/>
                <w:snapToGrid/>
                <w:sz w:val="22"/>
                <w:szCs w:val="22"/>
              </w:rPr>
              <w:t>cannot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be revised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48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Duration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C519D5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b/>
                <w:snapToGrid/>
                <w:sz w:val="22"/>
                <w:szCs w:val="22"/>
              </w:rPr>
              <w:t>2</w:t>
            </w:r>
            <w:r w:rsidR="002F0C4E" w:rsidRPr="0027051D">
              <w:rPr>
                <w:rFonts w:eastAsia="Calibri"/>
                <w:b/>
                <w:snapToGrid/>
                <w:sz w:val="22"/>
                <w:szCs w:val="22"/>
              </w:rPr>
              <w:t xml:space="preserve"> months</w:t>
            </w:r>
            <w:r w:rsidR="002F0C4E" w:rsidRPr="00DD74D3">
              <w:rPr>
                <w:rFonts w:eastAsia="Calibri"/>
                <w:snapToGrid/>
                <w:sz w:val="22"/>
                <w:szCs w:val="22"/>
              </w:rPr>
              <w:t xml:space="preserve"> implementation of works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34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Provisional acceptance, after completion of works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60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Defects liability period of 365 days, after provisional acceptance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61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Final acceptance, after expiry of defects liability period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62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Delay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0.1% of the contract price for every day of delay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Supervisor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F43590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Contracting Authority will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</w:tr>
      <w:tr w:rsidR="002F0C4E" w:rsidRPr="00DD74D3" w:rsidTr="00F43590">
        <w:tc>
          <w:tcPr>
            <w:tcW w:w="360" w:type="dxa"/>
            <w:shd w:val="clear" w:color="auto" w:fill="auto"/>
          </w:tcPr>
          <w:p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Bank guarantees </w:t>
            </w:r>
          </w:p>
        </w:tc>
        <w:tc>
          <w:tcPr>
            <w:tcW w:w="5972" w:type="dxa"/>
            <w:shd w:val="clear" w:color="auto" w:fill="auto"/>
            <w:vAlign w:val="center"/>
          </w:tcPr>
          <w:p w:rsidR="002F0C4E" w:rsidRPr="00DD74D3" w:rsidRDefault="002F0C4E" w:rsidP="00F43590">
            <w:pPr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no performance, pre</w:t>
            </w:r>
            <w:r w:rsidR="00841F3A">
              <w:rPr>
                <w:rFonts w:eastAsia="Calibri"/>
                <w:snapToGrid/>
                <w:sz w:val="22"/>
                <w:szCs w:val="22"/>
              </w:rPr>
              <w:t>-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>financing and retention guarantees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15, 46, 47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Insurances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For damage to 3</w:t>
            </w:r>
            <w:r w:rsidRPr="00DD74D3">
              <w:rPr>
                <w:rFonts w:eastAsia="Calibri"/>
                <w:snapToGrid/>
                <w:sz w:val="22"/>
                <w:szCs w:val="22"/>
                <w:vertAlign w:val="superscript"/>
              </w:rPr>
              <w:t>rd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parties, unlimited for bodily injury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Contractor all risk insurance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against accidents at work 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for soundness of works  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Payments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C519D5" w:rsidP="00841F3A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Interim payment </w:t>
            </w:r>
            <w:r w:rsidR="00841F3A">
              <w:rPr>
                <w:rFonts w:eastAsia="Calibri"/>
                <w:snapToGrid/>
                <w:sz w:val="22"/>
                <w:szCs w:val="22"/>
              </w:rPr>
              <w:t>up to 5</w:t>
            </w:r>
            <w:r w:rsidR="00F43590">
              <w:rPr>
                <w:rFonts w:eastAsia="Calibri"/>
                <w:snapToGrid/>
                <w:sz w:val="22"/>
                <w:szCs w:val="22"/>
              </w:rPr>
              <w:t>0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% of the contract price, after completion of </w:t>
            </w:r>
            <w:r w:rsidR="00841F3A">
              <w:rPr>
                <w:rFonts w:eastAsia="Calibri"/>
                <w:snapToGrid/>
                <w:sz w:val="22"/>
                <w:szCs w:val="22"/>
              </w:rPr>
              <w:t>5</w:t>
            </w:r>
            <w:bookmarkStart w:id="4" w:name="_GoBack"/>
            <w:bookmarkEnd w:id="4"/>
            <w:r w:rsidR="00841F3A">
              <w:rPr>
                <w:rFonts w:eastAsia="Calibri"/>
                <w:snapToGrid/>
                <w:sz w:val="22"/>
                <w:szCs w:val="22"/>
              </w:rPr>
              <w:t>0%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of quantities</w:t>
            </w:r>
            <w:r w:rsidRPr="00841F3A">
              <w:rPr>
                <w:rFonts w:eastAsia="Calibri"/>
                <w:snapToGrid/>
                <w:sz w:val="22"/>
                <w:szCs w:val="22"/>
              </w:rPr>
              <w:t>, cf. 49 SC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F43590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F43590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 xml:space="preserve">Final payment after competition of works 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F43590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F43590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</w:tbl>
    <w:p w:rsidR="00F43590" w:rsidRDefault="00F43590" w:rsidP="00F43590">
      <w:pPr>
        <w:ind w:left="562" w:right="-43" w:hanging="562"/>
        <w:jc w:val="both"/>
        <w:rPr>
          <w:szCs w:val="24"/>
        </w:rPr>
      </w:pPr>
    </w:p>
    <w:p w:rsidR="00CD2624" w:rsidRPr="000F3174" w:rsidRDefault="002E200A" w:rsidP="00F062A3">
      <w:pPr>
        <w:spacing w:after="240"/>
        <w:ind w:left="567" w:right="-45" w:hanging="567"/>
        <w:jc w:val="both"/>
        <w:rPr>
          <w:sz w:val="22"/>
          <w:szCs w:val="22"/>
        </w:rPr>
      </w:pPr>
      <w:r w:rsidRPr="007D00FF">
        <w:rPr>
          <w:szCs w:val="24"/>
        </w:rPr>
        <w:t>(</w:t>
      </w:r>
      <w:r w:rsidR="002F0C4E" w:rsidRPr="007D00FF">
        <w:rPr>
          <w:b/>
          <w:sz w:val="22"/>
          <w:szCs w:val="22"/>
        </w:rPr>
        <w:t>6</w:t>
      </w:r>
      <w:r w:rsidRPr="007D00FF">
        <w:rPr>
          <w:b/>
          <w:sz w:val="22"/>
          <w:szCs w:val="22"/>
        </w:rPr>
        <w:t>)</w:t>
      </w:r>
      <w:r w:rsidR="00CD2624" w:rsidRPr="007D00FF">
        <w:rPr>
          <w:sz w:val="22"/>
          <w:szCs w:val="22"/>
        </w:rPr>
        <w:tab/>
        <w:t xml:space="preserve">Other specific conditions applying to the </w:t>
      </w:r>
      <w:r w:rsidR="0034613B" w:rsidRPr="007D00FF">
        <w:rPr>
          <w:sz w:val="22"/>
          <w:szCs w:val="22"/>
        </w:rPr>
        <w:t>c</w:t>
      </w:r>
      <w:r w:rsidR="00CD2624" w:rsidRPr="007D00FF">
        <w:rPr>
          <w:sz w:val="22"/>
          <w:szCs w:val="22"/>
        </w:rPr>
        <w:t>ontract</w:t>
      </w:r>
    </w:p>
    <w:p w:rsidR="002E200A" w:rsidRDefault="002E200A" w:rsidP="00F062A3">
      <w:pPr>
        <w:spacing w:after="240"/>
        <w:jc w:val="both"/>
        <w:rPr>
          <w:sz w:val="22"/>
          <w:szCs w:val="22"/>
        </w:rPr>
      </w:pPr>
      <w:r w:rsidRPr="002E200A">
        <w:rPr>
          <w:sz w:val="22"/>
          <w:szCs w:val="22"/>
        </w:rPr>
        <w:t xml:space="preserve">In witness whereof the parties hereto have signed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 xml:space="preserve">ontract. This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 shall take effect on the date</w:t>
      </w:r>
      <w:r w:rsidR="00F062A3">
        <w:rPr>
          <w:sz w:val="22"/>
          <w:szCs w:val="22"/>
        </w:rPr>
        <w:t xml:space="preserve"> </w:t>
      </w:r>
      <w:r w:rsidRPr="002E200A">
        <w:rPr>
          <w:sz w:val="22"/>
          <w:szCs w:val="22"/>
        </w:rPr>
        <w:t xml:space="preserve">on which it is signed by the last party, namely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ontractor</w:t>
      </w:r>
      <w:r>
        <w:rPr>
          <w:sz w:val="22"/>
          <w:szCs w:val="22"/>
        </w:rPr>
        <w:t>.</w:t>
      </w:r>
    </w:p>
    <w:p w:rsidR="000578F3" w:rsidRDefault="00CD2624" w:rsidP="002F0C4E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Done in English in </w:t>
      </w:r>
      <w:r w:rsidR="00DB571C" w:rsidRPr="0027051D">
        <w:rPr>
          <w:sz w:val="22"/>
          <w:szCs w:val="22"/>
        </w:rPr>
        <w:t>two</w:t>
      </w:r>
      <w:r w:rsidR="0027051D" w:rsidRPr="0027051D">
        <w:rPr>
          <w:sz w:val="22"/>
          <w:szCs w:val="22"/>
        </w:rPr>
        <w:t xml:space="preserve"> </w:t>
      </w:r>
      <w:r w:rsidRPr="0027051D">
        <w:rPr>
          <w:sz w:val="22"/>
          <w:szCs w:val="22"/>
        </w:rPr>
        <w:t>originals</w:t>
      </w:r>
      <w:r w:rsidRPr="00E725FE">
        <w:rPr>
          <w:sz w:val="22"/>
          <w:szCs w:val="22"/>
        </w:rPr>
        <w:t>:</w:t>
      </w:r>
      <w:r w:rsidRPr="00E725FE">
        <w:rPr>
          <w:i/>
          <w:sz w:val="22"/>
          <w:szCs w:val="22"/>
        </w:rPr>
        <w:t xml:space="preserve"> </w:t>
      </w:r>
      <w:r w:rsidRPr="0027051D">
        <w:rPr>
          <w:sz w:val="22"/>
          <w:szCs w:val="22"/>
        </w:rPr>
        <w:t xml:space="preserve">one original for the </w:t>
      </w:r>
      <w:r w:rsidR="0034613B" w:rsidRPr="0027051D">
        <w:rPr>
          <w:sz w:val="22"/>
          <w:szCs w:val="22"/>
        </w:rPr>
        <w:t>c</w:t>
      </w:r>
      <w:r w:rsidRPr="0027051D">
        <w:rPr>
          <w:sz w:val="22"/>
          <w:szCs w:val="22"/>
        </w:rPr>
        <w:t xml:space="preserve">ontracting </w:t>
      </w:r>
      <w:r w:rsidR="0034613B" w:rsidRPr="0027051D">
        <w:rPr>
          <w:sz w:val="22"/>
          <w:szCs w:val="22"/>
        </w:rPr>
        <w:t>a</w:t>
      </w:r>
      <w:r w:rsidRPr="0027051D">
        <w:rPr>
          <w:sz w:val="22"/>
          <w:szCs w:val="22"/>
        </w:rPr>
        <w:t>uthority</w:t>
      </w:r>
      <w:r w:rsidRPr="00E725FE">
        <w:rPr>
          <w:sz w:val="22"/>
          <w:szCs w:val="22"/>
        </w:rPr>
        <w:t xml:space="preserve"> and one original for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ontractor.</w:t>
      </w:r>
    </w:p>
    <w:p w:rsidR="000F3174" w:rsidRPr="00E725FE" w:rsidRDefault="000F3174" w:rsidP="002F0C4E">
      <w:pPr>
        <w:jc w:val="both"/>
        <w:rPr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1134"/>
        <w:gridCol w:w="3224"/>
      </w:tblGrid>
      <w:tr w:rsidR="00CD2624" w:rsidRPr="00E725FE" w:rsidTr="0027051D">
        <w:trPr>
          <w:trHeight w:val="520"/>
        </w:trPr>
        <w:tc>
          <w:tcPr>
            <w:tcW w:w="4253" w:type="dxa"/>
            <w:gridSpan w:val="2"/>
          </w:tcPr>
          <w:p w:rsidR="00CD2624" w:rsidRPr="00E725FE" w:rsidRDefault="00CD2624" w:rsidP="0027051D">
            <w:pPr>
              <w:pStyle w:val="BodyText"/>
              <w:keepNext/>
              <w:spacing w:before="120" w:after="120"/>
              <w:ind w:left="567" w:hanging="56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2"/>
          </w:tcPr>
          <w:p w:rsidR="00CD2624" w:rsidRPr="00E725FE" w:rsidRDefault="00CD2624" w:rsidP="0027051D">
            <w:pPr>
              <w:pStyle w:val="BodyText"/>
              <w:keepNext/>
              <w:spacing w:before="120" w:after="120"/>
              <w:ind w:left="567" w:hanging="56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5B545A" w:rsidRPr="00E725FE" w:rsidTr="005B545A">
        <w:trPr>
          <w:trHeight w:val="555"/>
        </w:trPr>
        <w:tc>
          <w:tcPr>
            <w:tcW w:w="1134" w:type="dxa"/>
            <w:vAlign w:val="center"/>
          </w:tcPr>
          <w:p w:rsidR="005B545A" w:rsidRPr="00E725FE" w:rsidRDefault="005B545A" w:rsidP="005B545A">
            <w:pPr>
              <w:pStyle w:val="BodyText"/>
              <w:keepNext/>
              <w:spacing w:before="120" w:after="120"/>
              <w:ind w:left="567" w:hanging="567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</w:tcPr>
          <w:p w:rsidR="005B545A" w:rsidRPr="00E725FE" w:rsidRDefault="005B545A" w:rsidP="005B545A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B545A" w:rsidRPr="00E725FE" w:rsidRDefault="005B545A" w:rsidP="005B545A">
            <w:pPr>
              <w:pStyle w:val="BodyText"/>
              <w:keepNext/>
              <w:spacing w:before="120" w:after="120"/>
              <w:ind w:left="567" w:hanging="567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  <w:vAlign w:val="center"/>
          </w:tcPr>
          <w:p w:rsidR="005B545A" w:rsidRPr="00740885" w:rsidRDefault="005B545A" w:rsidP="005B545A">
            <w:pPr>
              <w:pStyle w:val="BodyText"/>
              <w:keepNext/>
              <w:ind w:left="567" w:hanging="56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40885">
              <w:rPr>
                <w:rFonts w:ascii="Times New Roman" w:hAnsi="Times New Roman"/>
                <w:b/>
                <w:sz w:val="22"/>
                <w:szCs w:val="22"/>
              </w:rPr>
              <w:t>Dušanka Golubović</w:t>
            </w:r>
          </w:p>
        </w:tc>
      </w:tr>
      <w:tr w:rsidR="005B545A" w:rsidRPr="00E725FE" w:rsidTr="005B545A">
        <w:trPr>
          <w:trHeight w:val="577"/>
        </w:trPr>
        <w:tc>
          <w:tcPr>
            <w:tcW w:w="1134" w:type="dxa"/>
            <w:vAlign w:val="center"/>
          </w:tcPr>
          <w:p w:rsidR="005B545A" w:rsidRPr="00E725FE" w:rsidRDefault="005B545A" w:rsidP="005B545A">
            <w:pPr>
              <w:pStyle w:val="BodyText"/>
              <w:keepNext/>
              <w:spacing w:before="120" w:after="120"/>
              <w:ind w:left="567" w:hanging="567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</w:tcPr>
          <w:p w:rsidR="005B545A" w:rsidRPr="00E725FE" w:rsidRDefault="005B545A" w:rsidP="005B545A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B545A" w:rsidRPr="00E725FE" w:rsidRDefault="005B545A" w:rsidP="005B545A">
            <w:pPr>
              <w:pStyle w:val="BodyText"/>
              <w:keepNext/>
              <w:spacing w:before="120" w:after="120"/>
              <w:ind w:left="567" w:hanging="567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  <w:vAlign w:val="center"/>
          </w:tcPr>
          <w:p w:rsidR="005B545A" w:rsidRPr="00740885" w:rsidRDefault="005B545A" w:rsidP="005B545A">
            <w:pPr>
              <w:pStyle w:val="BodyText"/>
              <w:keepNext/>
              <w:ind w:left="567" w:hanging="56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40885">
              <w:rPr>
                <w:rFonts w:ascii="Times New Roman" w:hAnsi="Times New Roman"/>
                <w:b/>
                <w:sz w:val="22"/>
                <w:szCs w:val="22"/>
              </w:rPr>
              <w:t>Mayor</w:t>
            </w:r>
          </w:p>
        </w:tc>
      </w:tr>
      <w:tr w:rsidR="00CD2624" w:rsidRPr="00E725FE" w:rsidTr="005B545A">
        <w:trPr>
          <w:trHeight w:val="878"/>
        </w:trPr>
        <w:tc>
          <w:tcPr>
            <w:tcW w:w="1134" w:type="dxa"/>
            <w:vAlign w:val="center"/>
          </w:tcPr>
          <w:p w:rsidR="00CD2624" w:rsidRPr="00E725FE" w:rsidRDefault="00CD2624" w:rsidP="005B545A">
            <w:pPr>
              <w:pStyle w:val="BodyText"/>
              <w:spacing w:before="120" w:after="120"/>
              <w:ind w:left="567" w:hanging="567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D2624" w:rsidRPr="00E725FE" w:rsidRDefault="00CD2624" w:rsidP="005B545A">
            <w:pPr>
              <w:pStyle w:val="BodyText"/>
              <w:spacing w:before="120" w:after="120"/>
              <w:ind w:left="567" w:hanging="567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:rsidTr="005B545A">
        <w:trPr>
          <w:trHeight w:val="428"/>
        </w:trPr>
        <w:tc>
          <w:tcPr>
            <w:tcW w:w="1134" w:type="dxa"/>
            <w:vAlign w:val="center"/>
          </w:tcPr>
          <w:p w:rsidR="00CD2624" w:rsidRPr="00E725FE" w:rsidRDefault="00CD2624" w:rsidP="005B545A">
            <w:pPr>
              <w:pStyle w:val="BodyText"/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D2624" w:rsidRPr="00E725FE" w:rsidRDefault="00CD2624" w:rsidP="005B545A">
            <w:pPr>
              <w:pStyle w:val="BodyText"/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DD74D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1BA" w:rsidRPr="00E725FE" w:rsidRDefault="007E61BA">
      <w:r w:rsidRPr="00E725FE">
        <w:separator/>
      </w:r>
    </w:p>
  </w:endnote>
  <w:endnote w:type="continuationSeparator" w:id="0">
    <w:p w:rsidR="007E61BA" w:rsidRPr="00E725FE" w:rsidRDefault="007E61BA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93" w:rsidRDefault="009D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93" w:rsidRPr="00063B37" w:rsidRDefault="003D0290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841F3A">
      <w:rPr>
        <w:rStyle w:val="PageNumber"/>
        <w:noProof/>
        <w:sz w:val="18"/>
        <w:szCs w:val="18"/>
      </w:rPr>
      <w:t>2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841F3A">
      <w:rPr>
        <w:rStyle w:val="PageNumber"/>
        <w:noProof/>
        <w:sz w:val="18"/>
        <w:szCs w:val="18"/>
      </w:rPr>
      <w:t>3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E725FE" w:rsidRDefault="009D1893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797B52">
      <w:rPr>
        <w:noProof/>
        <w:sz w:val="18"/>
        <w:szCs w:val="18"/>
      </w:rPr>
      <w:t>ds4n_contract_simpl_en.doc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93" w:rsidRPr="00063B37" w:rsidRDefault="00DD74D3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E725FE" w:rsidRDefault="009D1893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5276A">
      <w:rPr>
        <w:noProof/>
        <w:sz w:val="18"/>
        <w:szCs w:val="18"/>
      </w:rPr>
      <w:t>d4n_contract_enTC.doc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1BA" w:rsidRPr="00E725FE" w:rsidRDefault="007E61BA">
      <w:r w:rsidRPr="00E725FE">
        <w:separator/>
      </w:r>
    </w:p>
  </w:footnote>
  <w:footnote w:type="continuationSeparator" w:id="0">
    <w:p w:rsidR="007E61BA" w:rsidRPr="00E725FE" w:rsidRDefault="007E61BA">
      <w:r w:rsidRPr="00E725FE">
        <w:continuationSeparator/>
      </w:r>
    </w:p>
  </w:footnote>
  <w:footnote w:id="1">
    <w:p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Where the contracting party is an individual.</w:t>
      </w:r>
    </w:p>
  </w:footnote>
  <w:footnote w:id="2">
    <w:p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 xml:space="preserve">Where applicable. </w:t>
      </w:r>
    </w:p>
  </w:footnote>
  <w:footnote w:id="3">
    <w:p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2A3" w:rsidRPr="00F062A3" w:rsidRDefault="00F062A3" w:rsidP="00F062A3">
    <w:pPr>
      <w:pStyle w:val="Header"/>
      <w:jc w:val="right"/>
      <w:rPr>
        <w:rFonts w:ascii="Times New Roman" w:hAnsi="Times New Roman"/>
        <w:sz w:val="22"/>
        <w:szCs w:val="22"/>
      </w:rPr>
    </w:pPr>
    <w:r w:rsidRPr="00F062A3">
      <w:rPr>
        <w:rFonts w:ascii="Times New Roman" w:hAnsi="Times New Roman"/>
        <w:sz w:val="22"/>
        <w:szCs w:val="22"/>
      </w:rPr>
      <w:t>N</w:t>
    </w:r>
    <w:r w:rsidR="005B545A">
      <w:rPr>
        <w:rFonts w:ascii="Times New Roman" w:hAnsi="Times New Roman"/>
        <w:sz w:val="22"/>
        <w:szCs w:val="22"/>
      </w:rPr>
      <w:t xml:space="preserve">O. </w:t>
    </w:r>
    <w:r w:rsidR="005B545A" w:rsidRPr="005B545A">
      <w:rPr>
        <w:rFonts w:ascii="Times New Roman" w:hAnsi="Times New Roman"/>
        <w:sz w:val="22"/>
        <w:szCs w:val="22"/>
      </w:rPr>
      <w:t>HUSRB/1602/31/0227-8/bicycle service points 7.1.1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7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9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30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0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1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2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3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4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1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5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6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 w15:restartNumberingAfterBreak="0">
    <w:nsid w:val="61AC50B4"/>
    <w:multiLevelType w:val="hybridMultilevel"/>
    <w:tmpl w:val="7E1C648E"/>
    <w:lvl w:ilvl="0" w:tplc="B9E4DF2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76704C6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D74893B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0E8F79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E986462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625EFA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33870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0F8AE3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4080EB7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60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2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B031F05"/>
    <w:multiLevelType w:val="hybridMultilevel"/>
    <w:tmpl w:val="1CE28068"/>
    <w:lvl w:ilvl="0" w:tplc="FE803AE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FF425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246E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E074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986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5E8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964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22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AC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7" w15:restartNumberingAfterBreak="0">
    <w:nsid w:val="6FA1531B"/>
    <w:multiLevelType w:val="hybridMultilevel"/>
    <w:tmpl w:val="FC001C60"/>
    <w:lvl w:ilvl="0" w:tplc="6244371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BEC2B1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566B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FE89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829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84A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E84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C08F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0CD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9" w15:restartNumberingAfterBreak="0">
    <w:nsid w:val="71E405D9"/>
    <w:multiLevelType w:val="hybridMultilevel"/>
    <w:tmpl w:val="21EA856C"/>
    <w:lvl w:ilvl="0" w:tplc="28EADF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AE22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AA841BA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4FD06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1617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9639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C4E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62C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38AA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3497D25"/>
    <w:multiLevelType w:val="hybridMultilevel"/>
    <w:tmpl w:val="EFF4FE36"/>
    <w:lvl w:ilvl="0" w:tplc="DE24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D3BC8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F2E1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20C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ED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DCAF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C05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87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670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53539EE"/>
    <w:multiLevelType w:val="hybridMultilevel"/>
    <w:tmpl w:val="907692F2"/>
    <w:lvl w:ilvl="0" w:tplc="DC4A7C3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B03EC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8619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C88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C09F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729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908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E06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9AA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5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8411940"/>
    <w:multiLevelType w:val="hybridMultilevel"/>
    <w:tmpl w:val="C734D21E"/>
    <w:lvl w:ilvl="0" w:tplc="679EAAE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A8462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44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A9E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0D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3A1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866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D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882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A1D7248"/>
    <w:multiLevelType w:val="hybridMultilevel"/>
    <w:tmpl w:val="4CC0E22C"/>
    <w:lvl w:ilvl="0" w:tplc="304A110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CE82949"/>
    <w:multiLevelType w:val="hybridMultilevel"/>
    <w:tmpl w:val="9FDC57E0"/>
    <w:lvl w:ilvl="0" w:tplc="918AD6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A55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BC6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AAF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48A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7E1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2E8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AAC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78DA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2"/>
  </w:num>
  <w:num w:numId="2">
    <w:abstractNumId w:val="54"/>
  </w:num>
  <w:num w:numId="3">
    <w:abstractNumId w:val="78"/>
  </w:num>
  <w:num w:numId="4">
    <w:abstractNumId w:val="78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1"/>
  </w:num>
  <w:num w:numId="6">
    <w:abstractNumId w:val="49"/>
  </w:num>
  <w:num w:numId="7">
    <w:abstractNumId w:val="9"/>
  </w:num>
  <w:num w:numId="8">
    <w:abstractNumId w:val="63"/>
  </w:num>
  <w:num w:numId="9">
    <w:abstractNumId w:val="24"/>
  </w:num>
  <w:num w:numId="10">
    <w:abstractNumId w:val="33"/>
  </w:num>
  <w:num w:numId="11">
    <w:abstractNumId w:val="10"/>
  </w:num>
  <w:num w:numId="12">
    <w:abstractNumId w:val="25"/>
  </w:num>
  <w:num w:numId="13">
    <w:abstractNumId w:val="47"/>
  </w:num>
  <w:num w:numId="14">
    <w:abstractNumId w:val="13"/>
  </w:num>
  <w:num w:numId="15">
    <w:abstractNumId w:val="35"/>
  </w:num>
  <w:num w:numId="16">
    <w:abstractNumId w:val="73"/>
  </w:num>
  <w:num w:numId="17">
    <w:abstractNumId w:val="12"/>
  </w:num>
  <w:num w:numId="18">
    <w:abstractNumId w:val="17"/>
  </w:num>
  <w:num w:numId="19">
    <w:abstractNumId w:val="48"/>
  </w:num>
  <w:num w:numId="20">
    <w:abstractNumId w:val="74"/>
  </w:num>
  <w:num w:numId="21">
    <w:abstractNumId w:val="26"/>
  </w:num>
  <w:num w:numId="22">
    <w:abstractNumId w:val="16"/>
  </w:num>
  <w:num w:numId="23">
    <w:abstractNumId w:val="80"/>
  </w:num>
  <w:num w:numId="24">
    <w:abstractNumId w:val="42"/>
  </w:num>
  <w:num w:numId="25">
    <w:abstractNumId w:val="40"/>
  </w:num>
  <w:num w:numId="26">
    <w:abstractNumId w:val="59"/>
  </w:num>
  <w:num w:numId="27">
    <w:abstractNumId w:val="7"/>
  </w:num>
  <w:num w:numId="28">
    <w:abstractNumId w:val="70"/>
  </w:num>
  <w:num w:numId="29">
    <w:abstractNumId w:val="37"/>
  </w:num>
  <w:num w:numId="30">
    <w:abstractNumId w:val="22"/>
  </w:num>
  <w:num w:numId="31">
    <w:abstractNumId w:val="75"/>
  </w:num>
  <w:num w:numId="32">
    <w:abstractNumId w:val="79"/>
  </w:num>
  <w:num w:numId="33">
    <w:abstractNumId w:val="11"/>
  </w:num>
  <w:num w:numId="34">
    <w:abstractNumId w:val="67"/>
  </w:num>
  <w:num w:numId="35">
    <w:abstractNumId w:val="53"/>
  </w:num>
  <w:num w:numId="36">
    <w:abstractNumId w:val="4"/>
  </w:num>
  <w:num w:numId="37">
    <w:abstractNumId w:val="3"/>
  </w:num>
  <w:num w:numId="38">
    <w:abstractNumId w:val="36"/>
  </w:num>
  <w:num w:numId="39">
    <w:abstractNumId w:val="44"/>
  </w:num>
  <w:num w:numId="40">
    <w:abstractNumId w:val="62"/>
  </w:num>
  <w:num w:numId="41">
    <w:abstractNumId w:val="15"/>
  </w:num>
  <w:num w:numId="42">
    <w:abstractNumId w:val="39"/>
  </w:num>
  <w:num w:numId="43">
    <w:abstractNumId w:val="57"/>
  </w:num>
  <w:num w:numId="44">
    <w:abstractNumId w:val="69"/>
  </w:num>
  <w:num w:numId="45">
    <w:abstractNumId w:val="45"/>
  </w:num>
  <w:num w:numId="46">
    <w:abstractNumId w:val="51"/>
  </w:num>
  <w:num w:numId="47">
    <w:abstractNumId w:val="34"/>
  </w:num>
  <w:num w:numId="48">
    <w:abstractNumId w:val="68"/>
  </w:num>
  <w:num w:numId="49">
    <w:abstractNumId w:val="29"/>
  </w:num>
  <w:num w:numId="50">
    <w:abstractNumId w:val="65"/>
  </w:num>
  <w:num w:numId="51">
    <w:abstractNumId w:val="50"/>
  </w:num>
  <w:num w:numId="52">
    <w:abstractNumId w:val="61"/>
  </w:num>
  <w:num w:numId="53">
    <w:abstractNumId w:val="6"/>
  </w:num>
  <w:num w:numId="54">
    <w:abstractNumId w:val="46"/>
  </w:num>
  <w:num w:numId="55">
    <w:abstractNumId w:val="76"/>
  </w:num>
  <w:num w:numId="56">
    <w:abstractNumId w:val="27"/>
  </w:num>
  <w:num w:numId="57">
    <w:abstractNumId w:val="66"/>
  </w:num>
  <w:num w:numId="58">
    <w:abstractNumId w:val="60"/>
  </w:num>
  <w:num w:numId="59">
    <w:abstractNumId w:val="71"/>
  </w:num>
  <w:num w:numId="60">
    <w:abstractNumId w:val="23"/>
  </w:num>
  <w:num w:numId="61">
    <w:abstractNumId w:val="1"/>
  </w:num>
  <w:num w:numId="62">
    <w:abstractNumId w:val="55"/>
  </w:num>
  <w:num w:numId="63">
    <w:abstractNumId w:val="56"/>
  </w:num>
  <w:num w:numId="64">
    <w:abstractNumId w:val="43"/>
  </w:num>
  <w:num w:numId="65">
    <w:abstractNumId w:val="18"/>
  </w:num>
  <w:num w:numId="66">
    <w:abstractNumId w:val="64"/>
    <w:lvlOverride w:ilvl="0">
      <w:startOverride w:val="1"/>
    </w:lvlOverride>
  </w:num>
  <w:num w:numId="67">
    <w:abstractNumId w:val="64"/>
    <w:lvlOverride w:ilvl="0">
      <w:startOverride w:val="1"/>
    </w:lvlOverride>
  </w:num>
  <w:num w:numId="68">
    <w:abstractNumId w:val="64"/>
    <w:lvlOverride w:ilvl="0">
      <w:startOverride w:val="1"/>
    </w:lvlOverride>
  </w:num>
  <w:num w:numId="69">
    <w:abstractNumId w:val="64"/>
    <w:lvlOverride w:ilvl="0">
      <w:startOverride w:val="1"/>
    </w:lvlOverride>
  </w:num>
  <w:num w:numId="70">
    <w:abstractNumId w:val="64"/>
    <w:lvlOverride w:ilvl="0">
      <w:startOverride w:val="1"/>
    </w:lvlOverride>
  </w:num>
  <w:num w:numId="71">
    <w:abstractNumId w:val="64"/>
    <w:lvlOverride w:ilvl="0">
      <w:startOverride w:val="1"/>
    </w:lvlOverride>
  </w:num>
  <w:num w:numId="72">
    <w:abstractNumId w:val="64"/>
    <w:lvlOverride w:ilvl="0">
      <w:startOverride w:val="1"/>
    </w:lvlOverride>
  </w:num>
  <w:num w:numId="73">
    <w:abstractNumId w:val="64"/>
    <w:lvlOverride w:ilvl="0">
      <w:startOverride w:val="1"/>
    </w:lvlOverride>
  </w:num>
  <w:num w:numId="74">
    <w:abstractNumId w:val="64"/>
    <w:lvlOverride w:ilvl="0">
      <w:startOverride w:val="1"/>
    </w:lvlOverride>
  </w:num>
  <w:num w:numId="75">
    <w:abstractNumId w:val="64"/>
    <w:lvlOverride w:ilvl="0">
      <w:startOverride w:val="1"/>
    </w:lvlOverride>
  </w:num>
  <w:num w:numId="76">
    <w:abstractNumId w:val="64"/>
    <w:lvlOverride w:ilvl="0">
      <w:startOverride w:val="1"/>
    </w:lvlOverride>
  </w:num>
  <w:num w:numId="77">
    <w:abstractNumId w:val="64"/>
    <w:lvlOverride w:ilvl="0">
      <w:startOverride w:val="1"/>
    </w:lvlOverride>
  </w:num>
  <w:num w:numId="78">
    <w:abstractNumId w:val="64"/>
    <w:lvlOverride w:ilvl="0">
      <w:startOverride w:val="1"/>
    </w:lvlOverride>
  </w:num>
  <w:num w:numId="79">
    <w:abstractNumId w:val="64"/>
    <w:lvlOverride w:ilvl="0">
      <w:startOverride w:val="1"/>
    </w:lvlOverride>
  </w:num>
  <w:num w:numId="80">
    <w:abstractNumId w:val="64"/>
    <w:lvlOverride w:ilvl="0">
      <w:startOverride w:val="1"/>
    </w:lvlOverride>
  </w:num>
  <w:num w:numId="81">
    <w:abstractNumId w:val="64"/>
    <w:lvlOverride w:ilvl="0">
      <w:startOverride w:val="1"/>
    </w:lvlOverride>
  </w:num>
  <w:num w:numId="82">
    <w:abstractNumId w:val="64"/>
  </w:num>
  <w:num w:numId="83">
    <w:abstractNumId w:val="64"/>
    <w:lvlOverride w:ilvl="0">
      <w:startOverride w:val="1"/>
    </w:lvlOverride>
  </w:num>
  <w:num w:numId="84">
    <w:abstractNumId w:val="64"/>
    <w:lvlOverride w:ilvl="0">
      <w:startOverride w:val="1"/>
    </w:lvlOverride>
  </w:num>
  <w:num w:numId="85">
    <w:abstractNumId w:val="64"/>
    <w:lvlOverride w:ilvl="0">
      <w:startOverride w:val="1"/>
    </w:lvlOverride>
  </w:num>
  <w:num w:numId="86">
    <w:abstractNumId w:val="64"/>
    <w:lvlOverride w:ilvl="0">
      <w:startOverride w:val="1"/>
    </w:lvlOverride>
  </w:num>
  <w:num w:numId="87">
    <w:abstractNumId w:val="64"/>
    <w:lvlOverride w:ilvl="0">
      <w:startOverride w:val="1"/>
    </w:lvlOverride>
  </w:num>
  <w:num w:numId="88">
    <w:abstractNumId w:val="64"/>
    <w:lvlOverride w:ilvl="0">
      <w:startOverride w:val="1"/>
    </w:lvlOverride>
  </w:num>
  <w:num w:numId="89">
    <w:abstractNumId w:val="64"/>
    <w:lvlOverride w:ilvl="0">
      <w:startOverride w:val="1"/>
    </w:lvlOverride>
  </w:num>
  <w:num w:numId="90">
    <w:abstractNumId w:val="64"/>
    <w:lvlOverride w:ilvl="0">
      <w:startOverride w:val="1"/>
    </w:lvlOverride>
  </w:num>
  <w:num w:numId="91">
    <w:abstractNumId w:val="64"/>
    <w:lvlOverride w:ilvl="0">
      <w:startOverride w:val="1"/>
    </w:lvlOverride>
  </w:num>
  <w:num w:numId="92">
    <w:abstractNumId w:val="64"/>
    <w:lvlOverride w:ilvl="0">
      <w:startOverride w:val="1"/>
    </w:lvlOverride>
  </w:num>
  <w:num w:numId="93">
    <w:abstractNumId w:val="64"/>
    <w:lvlOverride w:ilvl="0">
      <w:startOverride w:val="1"/>
    </w:lvlOverride>
  </w:num>
  <w:num w:numId="94">
    <w:abstractNumId w:val="64"/>
    <w:lvlOverride w:ilvl="0">
      <w:startOverride w:val="1"/>
    </w:lvlOverride>
  </w:num>
  <w:num w:numId="95">
    <w:abstractNumId w:val="64"/>
    <w:lvlOverride w:ilvl="0">
      <w:startOverride w:val="1"/>
    </w:lvlOverride>
  </w:num>
  <w:num w:numId="96">
    <w:abstractNumId w:val="64"/>
    <w:lvlOverride w:ilvl="0">
      <w:startOverride w:val="1"/>
    </w:lvlOverride>
  </w:num>
  <w:num w:numId="97">
    <w:abstractNumId w:val="64"/>
    <w:lvlOverride w:ilvl="0">
      <w:startOverride w:val="1"/>
    </w:lvlOverride>
  </w:num>
  <w:num w:numId="98">
    <w:abstractNumId w:val="64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2"/>
  </w:num>
  <w:num w:numId="103">
    <w:abstractNumId w:val="2"/>
  </w:num>
  <w:num w:numId="104">
    <w:abstractNumId w:val="31"/>
  </w:num>
  <w:num w:numId="105">
    <w:abstractNumId w:val="28"/>
  </w:num>
  <w:num w:numId="106">
    <w:abstractNumId w:val="19"/>
  </w:num>
  <w:num w:numId="107">
    <w:abstractNumId w:val="38"/>
  </w:num>
  <w:num w:numId="108">
    <w:abstractNumId w:val="58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30"/>
  </w:num>
  <w:num w:numId="111">
    <w:abstractNumId w:val="20"/>
  </w:num>
  <w:num w:numId="112">
    <w:abstractNumId w:val="52"/>
  </w:num>
  <w:num w:numId="113">
    <w:abstractNumId w:val="77"/>
  </w:num>
  <w:num w:numId="114">
    <w:abstractNumId w:val="21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608A"/>
    <w:rsid w:val="00020A5B"/>
    <w:rsid w:val="00025D04"/>
    <w:rsid w:val="00030A2D"/>
    <w:rsid w:val="00031E63"/>
    <w:rsid w:val="000502DF"/>
    <w:rsid w:val="00055A26"/>
    <w:rsid w:val="000578F3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549B"/>
    <w:rsid w:val="000C6752"/>
    <w:rsid w:val="000C7952"/>
    <w:rsid w:val="000D13E7"/>
    <w:rsid w:val="000D17C2"/>
    <w:rsid w:val="000D7C74"/>
    <w:rsid w:val="000E0648"/>
    <w:rsid w:val="000E537A"/>
    <w:rsid w:val="000F3174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96F72"/>
    <w:rsid w:val="001978EF"/>
    <w:rsid w:val="001A4E4A"/>
    <w:rsid w:val="001B31E6"/>
    <w:rsid w:val="001B7C07"/>
    <w:rsid w:val="001C1D2A"/>
    <w:rsid w:val="001E3673"/>
    <w:rsid w:val="001E440F"/>
    <w:rsid w:val="001E702D"/>
    <w:rsid w:val="001E735A"/>
    <w:rsid w:val="002021F4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7051D"/>
    <w:rsid w:val="00286A23"/>
    <w:rsid w:val="00290D0E"/>
    <w:rsid w:val="002921E2"/>
    <w:rsid w:val="0029441A"/>
    <w:rsid w:val="00294671"/>
    <w:rsid w:val="00295092"/>
    <w:rsid w:val="002B13F4"/>
    <w:rsid w:val="002D0A12"/>
    <w:rsid w:val="002D0B03"/>
    <w:rsid w:val="002D294D"/>
    <w:rsid w:val="002D75A2"/>
    <w:rsid w:val="002E200A"/>
    <w:rsid w:val="002F0C4E"/>
    <w:rsid w:val="002F6D2E"/>
    <w:rsid w:val="00301DE9"/>
    <w:rsid w:val="00305CB1"/>
    <w:rsid w:val="003111D9"/>
    <w:rsid w:val="00311D2D"/>
    <w:rsid w:val="00312D2D"/>
    <w:rsid w:val="003308BB"/>
    <w:rsid w:val="0033332D"/>
    <w:rsid w:val="0034034D"/>
    <w:rsid w:val="0034613B"/>
    <w:rsid w:val="00346E32"/>
    <w:rsid w:val="003521FE"/>
    <w:rsid w:val="00356B1D"/>
    <w:rsid w:val="00362638"/>
    <w:rsid w:val="00363B97"/>
    <w:rsid w:val="003721D9"/>
    <w:rsid w:val="00382FE0"/>
    <w:rsid w:val="00386E36"/>
    <w:rsid w:val="00392541"/>
    <w:rsid w:val="003A2536"/>
    <w:rsid w:val="003A358D"/>
    <w:rsid w:val="003B7759"/>
    <w:rsid w:val="003C06D1"/>
    <w:rsid w:val="003C07AB"/>
    <w:rsid w:val="003C112D"/>
    <w:rsid w:val="003C1679"/>
    <w:rsid w:val="003C2000"/>
    <w:rsid w:val="003C31D2"/>
    <w:rsid w:val="003C60D0"/>
    <w:rsid w:val="003D0290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A6915"/>
    <w:rsid w:val="004B33AB"/>
    <w:rsid w:val="004C192E"/>
    <w:rsid w:val="004D61E0"/>
    <w:rsid w:val="004D6FB2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95E"/>
    <w:rsid w:val="0059510B"/>
    <w:rsid w:val="00596E41"/>
    <w:rsid w:val="005A3B22"/>
    <w:rsid w:val="005B545A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6B1D"/>
    <w:rsid w:val="00637AA6"/>
    <w:rsid w:val="00641155"/>
    <w:rsid w:val="0065276A"/>
    <w:rsid w:val="006610EB"/>
    <w:rsid w:val="00664730"/>
    <w:rsid w:val="00670009"/>
    <w:rsid w:val="00674750"/>
    <w:rsid w:val="0068098D"/>
    <w:rsid w:val="0068234B"/>
    <w:rsid w:val="00684EBF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D8D"/>
    <w:rsid w:val="00732CF6"/>
    <w:rsid w:val="00740350"/>
    <w:rsid w:val="00741C18"/>
    <w:rsid w:val="00746BFC"/>
    <w:rsid w:val="00750718"/>
    <w:rsid w:val="00752C96"/>
    <w:rsid w:val="00756C80"/>
    <w:rsid w:val="00780E05"/>
    <w:rsid w:val="00785513"/>
    <w:rsid w:val="00797B52"/>
    <w:rsid w:val="007A1074"/>
    <w:rsid w:val="007A1685"/>
    <w:rsid w:val="007A5020"/>
    <w:rsid w:val="007B00C5"/>
    <w:rsid w:val="007B1996"/>
    <w:rsid w:val="007C1642"/>
    <w:rsid w:val="007D00FF"/>
    <w:rsid w:val="007D5114"/>
    <w:rsid w:val="007D6359"/>
    <w:rsid w:val="007D6CD0"/>
    <w:rsid w:val="007D732B"/>
    <w:rsid w:val="007E33CF"/>
    <w:rsid w:val="007E34D8"/>
    <w:rsid w:val="007E3FCC"/>
    <w:rsid w:val="007E61BA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41F3A"/>
    <w:rsid w:val="008555A1"/>
    <w:rsid w:val="00857577"/>
    <w:rsid w:val="0085796F"/>
    <w:rsid w:val="008626D5"/>
    <w:rsid w:val="00866754"/>
    <w:rsid w:val="0086700B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758C"/>
    <w:rsid w:val="00940313"/>
    <w:rsid w:val="009455FD"/>
    <w:rsid w:val="0094728C"/>
    <w:rsid w:val="009639E9"/>
    <w:rsid w:val="0096475A"/>
    <w:rsid w:val="00966028"/>
    <w:rsid w:val="009706F3"/>
    <w:rsid w:val="00974535"/>
    <w:rsid w:val="00980BB8"/>
    <w:rsid w:val="00984C48"/>
    <w:rsid w:val="00990012"/>
    <w:rsid w:val="009B2EFD"/>
    <w:rsid w:val="009B571E"/>
    <w:rsid w:val="009C6859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5429D"/>
    <w:rsid w:val="00A75260"/>
    <w:rsid w:val="00A77ECC"/>
    <w:rsid w:val="00A81065"/>
    <w:rsid w:val="00A8166C"/>
    <w:rsid w:val="00AA1F74"/>
    <w:rsid w:val="00AA515C"/>
    <w:rsid w:val="00AC5EC2"/>
    <w:rsid w:val="00AD18BD"/>
    <w:rsid w:val="00AD2105"/>
    <w:rsid w:val="00AE38F8"/>
    <w:rsid w:val="00AE4BF8"/>
    <w:rsid w:val="00AF0195"/>
    <w:rsid w:val="00B078C7"/>
    <w:rsid w:val="00B110FD"/>
    <w:rsid w:val="00B11FAE"/>
    <w:rsid w:val="00B150F8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A6B6D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19D5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24DE"/>
    <w:rsid w:val="00CF3F1F"/>
    <w:rsid w:val="00CF7557"/>
    <w:rsid w:val="00D01BFE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773E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D74D3"/>
    <w:rsid w:val="00DE0B72"/>
    <w:rsid w:val="00DE11D4"/>
    <w:rsid w:val="00DF3894"/>
    <w:rsid w:val="00DF4416"/>
    <w:rsid w:val="00DF48F8"/>
    <w:rsid w:val="00DF5742"/>
    <w:rsid w:val="00E01657"/>
    <w:rsid w:val="00E06F05"/>
    <w:rsid w:val="00E12E18"/>
    <w:rsid w:val="00E142EC"/>
    <w:rsid w:val="00E246FA"/>
    <w:rsid w:val="00E24C7B"/>
    <w:rsid w:val="00E25768"/>
    <w:rsid w:val="00E40327"/>
    <w:rsid w:val="00E54183"/>
    <w:rsid w:val="00E61684"/>
    <w:rsid w:val="00E725FE"/>
    <w:rsid w:val="00E72F15"/>
    <w:rsid w:val="00E75A03"/>
    <w:rsid w:val="00E76613"/>
    <w:rsid w:val="00E76CEA"/>
    <w:rsid w:val="00E95D40"/>
    <w:rsid w:val="00EB5D04"/>
    <w:rsid w:val="00EB70F1"/>
    <w:rsid w:val="00EC0A31"/>
    <w:rsid w:val="00EC2BBE"/>
    <w:rsid w:val="00EC472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30546"/>
    <w:rsid w:val="00F43590"/>
    <w:rsid w:val="00F54C76"/>
    <w:rsid w:val="00F70558"/>
    <w:rsid w:val="00F709B6"/>
    <w:rsid w:val="00F81477"/>
    <w:rsid w:val="00F8386F"/>
    <w:rsid w:val="00F85039"/>
    <w:rsid w:val="00F8572E"/>
    <w:rsid w:val="00F85D5B"/>
    <w:rsid w:val="00F866AA"/>
    <w:rsid w:val="00F9163A"/>
    <w:rsid w:val="00F96B09"/>
    <w:rsid w:val="00FA09A8"/>
    <w:rsid w:val="00FA10D2"/>
    <w:rsid w:val="00FA4CF7"/>
    <w:rsid w:val="00FB1539"/>
    <w:rsid w:val="00FC0E6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80712A5-A40B-444D-837C-33A125F7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759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B7759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2F0C4E"/>
    <w:rPr>
      <w:rFonts w:ascii="Calibri" w:eastAsia="Calibri" w:hAnsi="Calibr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BB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0578F3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  <w:style w:type="paragraph" w:styleId="ListNumber">
    <w:name w:val="List Number"/>
    <w:basedOn w:val="Normal"/>
    <w:rsid w:val="000F3174"/>
    <w:pPr>
      <w:numPr>
        <w:numId w:val="114"/>
      </w:numPr>
      <w:spacing w:after="240"/>
      <w:jc w:val="both"/>
    </w:pPr>
    <w:rPr>
      <w:snapToGrid/>
    </w:rPr>
  </w:style>
  <w:style w:type="paragraph" w:customStyle="1" w:styleId="ListNumberLevel2">
    <w:name w:val="List Number (Level 2)"/>
    <w:basedOn w:val="Normal"/>
    <w:rsid w:val="000F3174"/>
    <w:pPr>
      <w:numPr>
        <w:ilvl w:val="1"/>
        <w:numId w:val="114"/>
      </w:numPr>
      <w:spacing w:after="240"/>
      <w:jc w:val="both"/>
    </w:pPr>
    <w:rPr>
      <w:snapToGrid/>
    </w:rPr>
  </w:style>
  <w:style w:type="paragraph" w:customStyle="1" w:styleId="ListNumberLevel3">
    <w:name w:val="List Number (Level 3)"/>
    <w:basedOn w:val="Normal"/>
    <w:rsid w:val="000F3174"/>
    <w:pPr>
      <w:numPr>
        <w:ilvl w:val="2"/>
        <w:numId w:val="114"/>
      </w:numPr>
      <w:spacing w:after="240"/>
      <w:jc w:val="both"/>
    </w:pPr>
    <w:rPr>
      <w:snapToGrid/>
    </w:rPr>
  </w:style>
  <w:style w:type="paragraph" w:customStyle="1" w:styleId="ListNumberLevel4">
    <w:name w:val="List Number (Level 4)"/>
    <w:basedOn w:val="Normal"/>
    <w:rsid w:val="000F3174"/>
    <w:pPr>
      <w:numPr>
        <w:ilvl w:val="3"/>
        <w:numId w:val="114"/>
      </w:numPr>
      <w:spacing w:after="240"/>
      <w:jc w:val="both"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D1563-4615-40A1-8E93-21FD8C535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Windows User</cp:lastModifiedBy>
  <cp:revision>14</cp:revision>
  <cp:lastPrinted>2015-01-23T10:55:00Z</cp:lastPrinted>
  <dcterms:created xsi:type="dcterms:W3CDTF">2018-12-18T13:17:00Z</dcterms:created>
  <dcterms:modified xsi:type="dcterms:W3CDTF">2020-01-20T11:36:00Z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