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3CF0" w:rsidRDefault="008F0EC8">
      <w:pPr>
        <w:jc w:val="center"/>
        <w:rPr>
          <w:sz w:val="18"/>
          <w:szCs w:val="18"/>
          <w:lang w:val="en-GB"/>
        </w:rPr>
      </w:pPr>
      <w:r>
        <w:rPr>
          <w:sz w:val="18"/>
          <w:szCs w:val="18"/>
          <w:lang w:val="en-GB"/>
        </w:rPr>
        <w:t>document for completion by the contracting authority</w:t>
      </w:r>
    </w:p>
    <w:p w:rsidR="00BE3CF0" w:rsidRDefault="008F0EC8">
      <w:pPr>
        <w:jc w:val="center"/>
        <w:rPr>
          <w:b/>
          <w:sz w:val="18"/>
          <w:szCs w:val="18"/>
          <w:u w:val="single"/>
          <w:lang w:val="en-GB"/>
        </w:rPr>
      </w:pPr>
      <w:r>
        <w:rPr>
          <w:sz w:val="18"/>
          <w:szCs w:val="18"/>
          <w:lang w:val="en-GB"/>
        </w:rPr>
        <w:t xml:space="preserve">to be submitted as </w:t>
      </w:r>
      <w:r>
        <w:rPr>
          <w:b/>
          <w:sz w:val="18"/>
          <w:szCs w:val="18"/>
          <w:u w:val="single"/>
          <w:lang w:val="en-GB"/>
        </w:rPr>
        <w:t>ANNEX to the tender dossier</w:t>
      </w:r>
    </w:p>
    <w:p w:rsidR="00BE3CF0" w:rsidRDefault="00BE3CF0">
      <w:pPr>
        <w:jc w:val="center"/>
        <w:rPr>
          <w:b/>
          <w:sz w:val="28"/>
          <w:szCs w:val="28"/>
          <w:lang w:val="en-GB"/>
        </w:rPr>
      </w:pPr>
      <w:r w:rsidRPr="00BE3CF0">
        <w:rPr>
          <w:sz w:val="22"/>
          <w:szCs w:val="22"/>
          <w:lang w:val="en-GB"/>
        </w:rPr>
        <w:pict>
          <v:shapetype id="_x0000_t32" coordsize="21600,21600" o:spt="32" o:oned="t" path="m,l21600,21600e" filled="f">
            <v:path arrowok="t" fillok="f" o:connecttype="none"/>
            <o:lock v:ext="edit" shapetype="t"/>
          </v:shapetype>
          <v:shape id="7E65ABCF-8B07-41EB-5BC07F18C380" o:spid="_x0000_s1030" type="#_x0000_t32" style="position:absolute;left:0;text-align:left;margin-left:0;margin-top:0;width:10pt;height:10pt;z-index:251657728" filled="t" strokecolor="#d4d4d4" strokeweight="1.75pt">
            <v:path arrowok="f" fillok="t" o:connecttype="segments"/>
            <o:lock v:ext="edit" shapetype="f"/>
          </v:shape>
        </w:pict>
      </w:r>
      <w:r w:rsidR="008F0EC8">
        <w:rPr>
          <w:b/>
          <w:sz w:val="28"/>
          <w:szCs w:val="28"/>
          <w:lang w:val="en-GB"/>
        </w:rPr>
        <w:t>WORKS CONTRACT NOTICE</w:t>
      </w:r>
    </w:p>
    <w:p w:rsidR="00BE3CF0" w:rsidRDefault="008F0EC8">
      <w:pPr>
        <w:jc w:val="center"/>
        <w:rPr>
          <w:rStyle w:val="Strong"/>
          <w:sz w:val="22"/>
          <w:szCs w:val="22"/>
          <w:lang w:val="en-GB"/>
        </w:rPr>
      </w:pPr>
      <w:r>
        <w:rPr>
          <w:rStyle w:val="Strong"/>
          <w:sz w:val="22"/>
          <w:szCs w:val="22"/>
          <w:lang w:val="en-GB"/>
        </w:rPr>
        <w:t>Installation of the bike trail equipment and infrastructure</w:t>
      </w:r>
    </w:p>
    <w:p w:rsidR="00BE3CF0" w:rsidRDefault="008F0EC8">
      <w:pPr>
        <w:jc w:val="center"/>
        <w:rPr>
          <w:rStyle w:val="Strong"/>
          <w:b w:val="0"/>
          <w:sz w:val="22"/>
          <w:szCs w:val="22"/>
          <w:lang w:val="en-GB"/>
        </w:rPr>
      </w:pPr>
      <w:r>
        <w:rPr>
          <w:b/>
          <w:sz w:val="22"/>
          <w:szCs w:val="22"/>
          <w:lang w:val="en-GB"/>
        </w:rPr>
        <w:t xml:space="preserve">City </w:t>
      </w:r>
      <w:r>
        <w:rPr>
          <w:b/>
          <w:sz w:val="22"/>
          <w:szCs w:val="22"/>
          <w:lang w:val="en-GB"/>
        </w:rPr>
        <w:t>of Sombor</w:t>
      </w:r>
    </w:p>
    <w:p w:rsidR="00BE3CF0" w:rsidRDefault="008F0EC8">
      <w:pPr>
        <w:pStyle w:val="PRAGHeading2"/>
        <w:rPr>
          <w:rStyle w:val="Strong"/>
          <w:sz w:val="22"/>
          <w:szCs w:val="22"/>
          <w:lang w:val="en-GB"/>
        </w:rPr>
      </w:pPr>
      <w:r>
        <w:rPr>
          <w:rStyle w:val="Strong"/>
          <w:sz w:val="22"/>
          <w:szCs w:val="22"/>
          <w:lang w:val="en-GB"/>
        </w:rPr>
        <w:t>Reference</w:t>
      </w:r>
    </w:p>
    <w:p w:rsidR="00BE3CF0" w:rsidRDefault="008F0EC8">
      <w:pPr>
        <w:ind w:left="709"/>
        <w:rPr>
          <w:sz w:val="22"/>
          <w:szCs w:val="22"/>
          <w:lang w:val="en-GB"/>
        </w:rPr>
      </w:pPr>
      <w:r>
        <w:rPr>
          <w:sz w:val="22"/>
          <w:szCs w:val="22"/>
          <w:lang w:val="en-GB"/>
        </w:rPr>
        <w:t>DTP2-0002-2.2 TD4</w:t>
      </w:r>
    </w:p>
    <w:p w:rsidR="00BE3CF0" w:rsidRDefault="008F0EC8">
      <w:pPr>
        <w:pStyle w:val="PRAGHeading2"/>
        <w:rPr>
          <w:rStyle w:val="Strong"/>
          <w:sz w:val="22"/>
          <w:szCs w:val="22"/>
          <w:lang w:val="en-GB"/>
        </w:rPr>
      </w:pPr>
      <w:r>
        <w:rPr>
          <w:rStyle w:val="Strong"/>
          <w:sz w:val="22"/>
          <w:szCs w:val="22"/>
          <w:lang w:val="en-GB"/>
        </w:rPr>
        <w:t>Procedure</w:t>
      </w:r>
    </w:p>
    <w:p w:rsidR="00BE3CF0" w:rsidRDefault="008F0EC8">
      <w:pPr>
        <w:pStyle w:val="PRAGHeading2"/>
        <w:numPr>
          <w:ilvl w:val="0"/>
          <w:numId w:val="0"/>
        </w:numPr>
        <w:ind w:left="709"/>
        <w:rPr>
          <w:sz w:val="22"/>
          <w:szCs w:val="22"/>
          <w:lang w:val="en-GB"/>
        </w:rPr>
      </w:pPr>
      <w:r>
        <w:rPr>
          <w:sz w:val="22"/>
          <w:szCs w:val="22"/>
          <w:lang w:val="en-GB"/>
        </w:rPr>
        <w:t xml:space="preserve"> Simplified</w:t>
      </w:r>
    </w:p>
    <w:p w:rsidR="00BE3CF0" w:rsidRDefault="008F0EC8">
      <w:pPr>
        <w:pStyle w:val="PRAGHeading2"/>
        <w:rPr>
          <w:rStyle w:val="Strong"/>
          <w:sz w:val="22"/>
          <w:szCs w:val="22"/>
          <w:lang w:val="en-GB"/>
        </w:rPr>
      </w:pPr>
      <w:r>
        <w:rPr>
          <w:rStyle w:val="Strong"/>
          <w:sz w:val="22"/>
          <w:szCs w:val="22"/>
          <w:lang w:val="en-GB"/>
        </w:rPr>
        <w:t>Programme title</w:t>
      </w:r>
    </w:p>
    <w:p w:rsidR="00BE3CF0" w:rsidRDefault="008F0EC8">
      <w:pPr>
        <w:pStyle w:val="PRAGHeading2"/>
        <w:numPr>
          <w:ilvl w:val="0"/>
          <w:numId w:val="0"/>
        </w:numPr>
        <w:ind w:left="709"/>
        <w:jc w:val="both"/>
        <w:rPr>
          <w:sz w:val="22"/>
          <w:szCs w:val="22"/>
          <w:lang w:val="en-GB"/>
        </w:rPr>
      </w:pPr>
      <w:r>
        <w:rPr>
          <w:sz w:val="22"/>
          <w:szCs w:val="22"/>
          <w:lang w:val="en-GB"/>
        </w:rPr>
        <w:t>Interreg Danube Transnational Programme</w:t>
      </w:r>
    </w:p>
    <w:p w:rsidR="00BE3CF0" w:rsidRDefault="008F0EC8">
      <w:pPr>
        <w:pStyle w:val="PRAGHeading2"/>
        <w:jc w:val="both"/>
        <w:rPr>
          <w:rStyle w:val="Strong"/>
          <w:sz w:val="22"/>
          <w:szCs w:val="22"/>
          <w:lang w:val="en-GB"/>
        </w:rPr>
      </w:pPr>
      <w:r>
        <w:rPr>
          <w:rStyle w:val="Strong"/>
          <w:sz w:val="22"/>
          <w:szCs w:val="22"/>
          <w:lang w:val="en-GB"/>
        </w:rPr>
        <w:t>Financing</w:t>
      </w:r>
    </w:p>
    <w:p w:rsidR="00BE3CF0" w:rsidRDefault="008F0EC8">
      <w:pPr>
        <w:spacing w:before="240"/>
        <w:ind w:left="720"/>
        <w:jc w:val="both"/>
        <w:rPr>
          <w:sz w:val="22"/>
          <w:szCs w:val="22"/>
          <w:lang w:val="en-GB"/>
        </w:rPr>
      </w:pPr>
      <w:r>
        <w:rPr>
          <w:sz w:val="22"/>
          <w:szCs w:val="22"/>
          <w:lang w:val="en-GB"/>
        </w:rPr>
        <w:t xml:space="preserve">The project is co-financed by the European Union, in accordance with the rules of Interreg Danube Transnational programme. </w:t>
      </w:r>
    </w:p>
    <w:p w:rsidR="00BE3CF0" w:rsidRDefault="008F0EC8">
      <w:pPr>
        <w:spacing w:before="240"/>
        <w:ind w:left="720"/>
        <w:jc w:val="both"/>
        <w:rPr>
          <w:sz w:val="22"/>
          <w:szCs w:val="22"/>
          <w:lang w:val="en-GB"/>
        </w:rPr>
      </w:pPr>
      <w:r>
        <w:rPr>
          <w:sz w:val="22"/>
          <w:szCs w:val="22"/>
          <w:lang w:val="en-GB"/>
        </w:rPr>
        <w:t>The pr</w:t>
      </w:r>
      <w:r>
        <w:rPr>
          <w:sz w:val="22"/>
          <w:szCs w:val="22"/>
          <w:lang w:val="en-GB"/>
        </w:rPr>
        <w:t>oject is co-financed by the City of Sombor.</w:t>
      </w:r>
    </w:p>
    <w:p w:rsidR="00BE3CF0" w:rsidRDefault="008F0EC8">
      <w:pPr>
        <w:pStyle w:val="PRAGHeading2"/>
        <w:jc w:val="both"/>
        <w:rPr>
          <w:rStyle w:val="Strong"/>
          <w:sz w:val="22"/>
          <w:szCs w:val="22"/>
          <w:lang w:val="en-GB"/>
        </w:rPr>
      </w:pPr>
      <w:r>
        <w:rPr>
          <w:rStyle w:val="Strong"/>
          <w:sz w:val="22"/>
          <w:szCs w:val="22"/>
          <w:lang w:val="en-GB"/>
        </w:rPr>
        <w:t>Contracting authority</w:t>
      </w:r>
    </w:p>
    <w:p w:rsidR="00BE3CF0" w:rsidRDefault="008F0EC8">
      <w:pPr>
        <w:spacing w:before="0" w:after="0"/>
        <w:ind w:left="360"/>
        <w:jc w:val="both"/>
        <w:rPr>
          <w:sz w:val="22"/>
          <w:szCs w:val="22"/>
          <w:lang w:val="en-GB"/>
        </w:rPr>
      </w:pPr>
      <w:r>
        <w:rPr>
          <w:sz w:val="22"/>
          <w:szCs w:val="22"/>
        </w:rPr>
        <w:tab/>
      </w:r>
      <w:r>
        <w:rPr>
          <w:sz w:val="22"/>
          <w:szCs w:val="22"/>
          <w:lang w:val="en-GB"/>
        </w:rPr>
        <w:t>City of Sombor</w:t>
      </w:r>
    </w:p>
    <w:p w:rsidR="00BE3CF0" w:rsidRDefault="008F0EC8">
      <w:pPr>
        <w:spacing w:before="0" w:after="0"/>
        <w:ind w:left="360"/>
        <w:jc w:val="both"/>
        <w:rPr>
          <w:sz w:val="22"/>
          <w:szCs w:val="22"/>
          <w:lang w:val="en-GB"/>
        </w:rPr>
      </w:pPr>
      <w:r>
        <w:rPr>
          <w:sz w:val="22"/>
          <w:szCs w:val="22"/>
          <w:lang w:val="en-GB"/>
        </w:rPr>
        <w:tab/>
        <w:t>Trg Cara Urosa 1</w:t>
      </w:r>
    </w:p>
    <w:p w:rsidR="00BE3CF0" w:rsidRDefault="008F0EC8">
      <w:pPr>
        <w:spacing w:before="0" w:after="0"/>
        <w:ind w:left="360"/>
        <w:jc w:val="both"/>
        <w:rPr>
          <w:sz w:val="22"/>
          <w:szCs w:val="22"/>
          <w:lang w:val="en-GB"/>
        </w:rPr>
      </w:pPr>
      <w:r>
        <w:rPr>
          <w:sz w:val="22"/>
          <w:szCs w:val="22"/>
          <w:lang w:val="en-GB"/>
        </w:rPr>
        <w:tab/>
        <w:t>25 000 Sombor</w:t>
      </w:r>
    </w:p>
    <w:p w:rsidR="00BE3CF0" w:rsidRDefault="00BE3CF0">
      <w:pPr>
        <w:ind w:left="360"/>
        <w:jc w:val="both"/>
        <w:rPr>
          <w:sz w:val="22"/>
          <w:szCs w:val="22"/>
          <w:lang w:val="en-GB"/>
        </w:rPr>
      </w:pPr>
    </w:p>
    <w:p w:rsidR="00BE3CF0" w:rsidRDefault="00BE3CF0">
      <w:pPr>
        <w:ind w:left="360"/>
        <w:jc w:val="center"/>
        <w:rPr>
          <w:rStyle w:val="Strong"/>
          <w:sz w:val="22"/>
          <w:szCs w:val="22"/>
          <w:lang w:val="en-GB"/>
        </w:rPr>
      </w:pPr>
      <w:r w:rsidRPr="00BE3CF0">
        <w:rPr>
          <w:b/>
          <w:sz w:val="22"/>
          <w:szCs w:val="22"/>
          <w:lang w:val="en-GB" w:eastAsia="en-GB"/>
        </w:rPr>
        <w:pict>
          <v:shape id="9AF703A8-84C3-536B-43E1D1B84669" o:spid="_x0000_s1029" type="#_x0000_t32" style="position:absolute;left:0;text-align:left;margin-left:0;margin-top:0;width:10pt;height:10pt;z-index:251659776" filled="t" strokecolor="#d4d4d4" strokeweight="1.75pt">
            <v:path arrowok="f" fillok="t" o:connecttype="segments"/>
            <o:lock v:ext="edit" shapetype="f"/>
          </v:shape>
        </w:pict>
      </w:r>
      <w:r w:rsidR="008F0EC8">
        <w:rPr>
          <w:rStyle w:val="Strong"/>
          <w:sz w:val="22"/>
          <w:szCs w:val="22"/>
          <w:lang w:val="en-GB"/>
        </w:rPr>
        <w:t>CONTRACT SPECIFICATIONS</w:t>
      </w:r>
    </w:p>
    <w:p w:rsidR="00BE3CF0" w:rsidRDefault="008F0EC8">
      <w:pPr>
        <w:pStyle w:val="PRAGHeading2"/>
        <w:rPr>
          <w:rStyle w:val="Strong"/>
          <w:sz w:val="22"/>
          <w:szCs w:val="22"/>
          <w:lang w:val="en-GB"/>
        </w:rPr>
      </w:pPr>
      <w:r>
        <w:rPr>
          <w:rStyle w:val="Strong"/>
          <w:sz w:val="22"/>
          <w:szCs w:val="22"/>
          <w:lang w:val="en-GB"/>
        </w:rPr>
        <w:t>Nature of contract</w:t>
      </w:r>
    </w:p>
    <w:p w:rsidR="00BE3CF0" w:rsidRDefault="008F0EC8">
      <w:pPr>
        <w:pStyle w:val="PRAGHeading2"/>
        <w:numPr>
          <w:ilvl w:val="0"/>
          <w:numId w:val="0"/>
        </w:numPr>
        <w:ind w:left="720"/>
        <w:rPr>
          <w:rStyle w:val="Strong"/>
          <w:b w:val="0"/>
          <w:sz w:val="22"/>
          <w:szCs w:val="22"/>
          <w:lang w:val="en-GB"/>
        </w:rPr>
      </w:pPr>
      <w:r>
        <w:rPr>
          <w:rStyle w:val="Strong"/>
          <w:b w:val="0"/>
          <w:sz w:val="22"/>
          <w:szCs w:val="22"/>
          <w:lang w:val="en-GB"/>
        </w:rPr>
        <w:t>Lump-sum</w:t>
      </w:r>
    </w:p>
    <w:p w:rsidR="00BE3CF0" w:rsidRDefault="008F0EC8">
      <w:pPr>
        <w:pStyle w:val="PRAGHeading2"/>
        <w:rPr>
          <w:rStyle w:val="Strong"/>
          <w:sz w:val="22"/>
          <w:szCs w:val="22"/>
          <w:lang w:val="en-GB"/>
        </w:rPr>
      </w:pPr>
      <w:r>
        <w:rPr>
          <w:rStyle w:val="Strong"/>
          <w:sz w:val="22"/>
          <w:szCs w:val="22"/>
          <w:lang w:val="en-GB"/>
        </w:rPr>
        <w:t>Description of the contract</w:t>
      </w:r>
    </w:p>
    <w:p w:rsidR="00BE3CF0" w:rsidRDefault="008F0EC8">
      <w:pPr>
        <w:ind w:left="709"/>
        <w:jc w:val="both"/>
        <w:rPr>
          <w:sz w:val="22"/>
          <w:szCs w:val="22"/>
        </w:rPr>
      </w:pPr>
      <w:r>
        <w:rPr>
          <w:sz w:val="22"/>
          <w:szCs w:val="22"/>
          <w:lang w:val="en-GB"/>
        </w:rPr>
        <w:t>The subject of this contract is installation of the bike trail equipment and infrastructure in the City of Sombor, necessary for actual implementation of Amazon of Europe (AoE) Bike Trail project, financed under Interreg Danube Transnational Programme. The</w:t>
      </w:r>
      <w:r>
        <w:rPr>
          <w:sz w:val="22"/>
          <w:szCs w:val="22"/>
          <w:lang w:val="en-GB"/>
        </w:rPr>
        <w:t xml:space="preserve"> Contractor shall install</w:t>
      </w:r>
      <w:r>
        <w:rPr>
          <w:sz w:val="22"/>
          <w:szCs w:val="22"/>
        </w:rPr>
        <w:t xml:space="preserve">: resting points for bikers with shelter, info boards with details about the while trail, related section, and relevant natural and cultural attractions and signposts along the AoE Trail Route Plan (50 km around the Sombor), based </w:t>
      </w:r>
      <w:r>
        <w:rPr>
          <w:sz w:val="22"/>
          <w:szCs w:val="22"/>
        </w:rPr>
        <w:t>on common AoE brending and design (previously developed project result – Trail Implementation Standards).</w:t>
      </w:r>
    </w:p>
    <w:p w:rsidR="00BE3CF0" w:rsidRDefault="008F0EC8">
      <w:pPr>
        <w:pStyle w:val="PRAGHeading2"/>
        <w:rPr>
          <w:rStyle w:val="Strong"/>
          <w:sz w:val="22"/>
          <w:szCs w:val="22"/>
          <w:lang w:val="en-GB"/>
        </w:rPr>
      </w:pPr>
      <w:r>
        <w:rPr>
          <w:rStyle w:val="Strong"/>
          <w:sz w:val="22"/>
          <w:szCs w:val="22"/>
          <w:lang w:val="en-GB"/>
        </w:rPr>
        <w:t>Provisional commencement date of the contract</w:t>
      </w:r>
    </w:p>
    <w:p w:rsidR="00BE3CF0" w:rsidRDefault="008F0EC8">
      <w:pPr>
        <w:ind w:left="709"/>
        <w:rPr>
          <w:sz w:val="22"/>
          <w:szCs w:val="22"/>
          <w:lang w:val="en-GB"/>
        </w:rPr>
      </w:pPr>
      <w:r>
        <w:rPr>
          <w:sz w:val="22"/>
          <w:szCs w:val="22"/>
          <w:lang w:val="en-GB"/>
        </w:rPr>
        <w:lastRenderedPageBreak/>
        <w:t>08.01.2021.</w:t>
      </w:r>
    </w:p>
    <w:p w:rsidR="00BE3CF0" w:rsidRDefault="008F0EC8">
      <w:pPr>
        <w:pStyle w:val="PRAGHeading2"/>
        <w:rPr>
          <w:rStyle w:val="Strong"/>
          <w:b w:val="0"/>
          <w:sz w:val="22"/>
          <w:szCs w:val="22"/>
          <w:lang w:val="en-GB"/>
        </w:rPr>
      </w:pPr>
      <w:r>
        <w:rPr>
          <w:rStyle w:val="Strong"/>
          <w:b w:val="0"/>
          <w:sz w:val="22"/>
          <w:szCs w:val="22"/>
          <w:lang w:val="en-GB"/>
        </w:rPr>
        <w:t>P</w:t>
      </w:r>
      <w:r>
        <w:rPr>
          <w:b/>
          <w:sz w:val="22"/>
          <w:szCs w:val="22"/>
          <w:lang w:val="en-GB"/>
        </w:rPr>
        <w:t>eriod of implementation of tasks</w:t>
      </w:r>
    </w:p>
    <w:p w:rsidR="00BE3CF0" w:rsidRDefault="008F0EC8">
      <w:pPr>
        <w:ind w:left="709"/>
        <w:rPr>
          <w:sz w:val="22"/>
          <w:szCs w:val="22"/>
          <w:lang w:val="en-GB"/>
        </w:rPr>
      </w:pPr>
      <w:r>
        <w:rPr>
          <w:sz w:val="22"/>
          <w:szCs w:val="22"/>
          <w:lang w:val="en-GB"/>
        </w:rPr>
        <w:t>60 days</w:t>
      </w:r>
    </w:p>
    <w:p w:rsidR="00BE3CF0" w:rsidRDefault="00BE3CF0">
      <w:pPr>
        <w:ind w:left="709"/>
        <w:rPr>
          <w:sz w:val="22"/>
          <w:szCs w:val="22"/>
          <w:lang w:val="en-GB"/>
        </w:rPr>
      </w:pPr>
    </w:p>
    <w:p w:rsidR="00BE3CF0" w:rsidRDefault="00BE3CF0">
      <w:pPr>
        <w:ind w:left="360"/>
        <w:jc w:val="center"/>
        <w:rPr>
          <w:rStyle w:val="Strong"/>
          <w:sz w:val="22"/>
          <w:szCs w:val="22"/>
          <w:lang w:val="en-GB"/>
        </w:rPr>
      </w:pPr>
      <w:r w:rsidRPr="00BE3CF0">
        <w:rPr>
          <w:b/>
          <w:sz w:val="22"/>
          <w:szCs w:val="22"/>
          <w:lang w:val="en-GB" w:eastAsia="en-GB"/>
        </w:rPr>
        <w:pict>
          <v:shape id="5B669734-1204-3CE9-F67F22FB6E56" o:spid="_x0000_s1028" type="#_x0000_t32" style="position:absolute;left:0;text-align:left;margin-left:0;margin-top:0;width:10pt;height:10pt;z-index:251658752" filled="t" strokecolor="#d4d4d4" strokeweight="1.75pt">
            <v:path arrowok="f" fillok="t" o:connecttype="segments"/>
            <o:lock v:ext="edit" shapetype="f"/>
          </v:shape>
        </w:pict>
      </w:r>
      <w:r w:rsidR="008F0EC8">
        <w:rPr>
          <w:rStyle w:val="Strong"/>
          <w:sz w:val="22"/>
          <w:szCs w:val="22"/>
          <w:lang w:val="en-GB"/>
        </w:rPr>
        <w:t>TERMS OF PARTICIPATION</w:t>
      </w:r>
    </w:p>
    <w:p w:rsidR="00BE3CF0" w:rsidRDefault="008F0EC8">
      <w:pPr>
        <w:pStyle w:val="PRAGHeading2"/>
        <w:rPr>
          <w:rStyle w:val="Strong"/>
          <w:sz w:val="22"/>
          <w:szCs w:val="22"/>
          <w:lang w:val="en-GB"/>
        </w:rPr>
      </w:pPr>
      <w:r>
        <w:rPr>
          <w:rStyle w:val="Strong"/>
          <w:sz w:val="22"/>
          <w:szCs w:val="22"/>
          <w:lang w:val="en-GB"/>
        </w:rPr>
        <w:t xml:space="preserve">Eligibility and rules of </w:t>
      </w:r>
      <w:r>
        <w:rPr>
          <w:rStyle w:val="Strong"/>
          <w:sz w:val="22"/>
          <w:szCs w:val="22"/>
          <w:lang w:val="en-GB"/>
        </w:rPr>
        <w:t>origin</w:t>
      </w:r>
    </w:p>
    <w:p w:rsidR="00BE3CF0" w:rsidRDefault="008F0EC8">
      <w:pPr>
        <w:pStyle w:val="PRAGHeading2"/>
        <w:numPr>
          <w:ilvl w:val="0"/>
          <w:numId w:val="0"/>
        </w:numPr>
        <w:ind w:left="709"/>
        <w:rPr>
          <w:sz w:val="22"/>
          <w:szCs w:val="22"/>
          <w:highlight w:val="yellow"/>
          <w:lang w:val="en-GB"/>
        </w:rPr>
      </w:pPr>
      <w:r>
        <w:rPr>
          <w:sz w:val="22"/>
          <w:szCs w:val="22"/>
          <w:lang w:val="en-GB"/>
        </w:rPr>
        <w:t>Participation in this tender procedure is open only to the invited tenderers.</w:t>
      </w:r>
    </w:p>
    <w:p w:rsidR="00BE3CF0" w:rsidRDefault="008F0EC8">
      <w:pPr>
        <w:pStyle w:val="PRAGHeading2"/>
        <w:numPr>
          <w:ilvl w:val="0"/>
          <w:numId w:val="0"/>
        </w:numPr>
        <w:ind w:left="709"/>
        <w:jc w:val="both"/>
        <w:rPr>
          <w:sz w:val="22"/>
          <w:szCs w:val="22"/>
          <w:lang w:val="en-GB"/>
        </w:rPr>
      </w:pPr>
      <w:r>
        <w:rPr>
          <w:sz w:val="22"/>
          <w:szCs w:val="22"/>
          <w:lang w:val="en-GB"/>
        </w:rPr>
        <w:t xml:space="preserve">Participation is open to all </w:t>
      </w:r>
      <w:r>
        <w:rPr>
          <w:rFonts w:eastAsia="Calibri" w:cs="Arial"/>
          <w:sz w:val="22"/>
          <w:szCs w:val="22"/>
          <w:lang w:val="en-GB"/>
        </w:rPr>
        <w:t xml:space="preserve">natural persons who are nationals of and </w:t>
      </w:r>
      <w:r>
        <w:rPr>
          <w:sz w:val="22"/>
          <w:szCs w:val="22"/>
          <w:lang w:val="en-GB"/>
        </w:rPr>
        <w:t>legal persons [participating either individually or in a grouping (consortium) of tenderers] which ar</w:t>
      </w:r>
      <w:r>
        <w:rPr>
          <w:sz w:val="22"/>
          <w:szCs w:val="22"/>
          <w:lang w:val="en-GB"/>
        </w:rPr>
        <w:t xml:space="preserve">e effectively established in a  Member State of the European Union or in a eligible country or territory  as defined under </w:t>
      </w:r>
      <w:r>
        <w:rPr>
          <w:rFonts w:eastAsia="Calibri" w:cs="Arial"/>
          <w:bCs/>
          <w:sz w:val="22"/>
          <w:szCs w:val="22"/>
          <w:lang w:val="en-GB"/>
        </w:rPr>
        <w:t xml:space="preserve">the Regulation </w:t>
      </w:r>
      <w:r>
        <w:rPr>
          <w:sz w:val="22"/>
          <w:szCs w:val="22"/>
          <w:lang w:val="en-GB"/>
        </w:rPr>
        <w:t>(EU) No </w:t>
      </w:r>
      <w:r>
        <w:rPr>
          <w:rFonts w:eastAsia="MS Mincho"/>
          <w:sz w:val="22"/>
          <w:szCs w:val="22"/>
          <w:lang w:val="en-GB" w:eastAsia="ja-JP"/>
        </w:rPr>
        <w:t xml:space="preserve">236/2014 </w:t>
      </w:r>
      <w:r>
        <w:rPr>
          <w:rFonts w:eastAsia="Calibri" w:cs="Arial"/>
          <w:bCs/>
          <w:sz w:val="22"/>
          <w:szCs w:val="22"/>
          <w:lang w:val="en-GB"/>
        </w:rPr>
        <w:t xml:space="preserve">establishing common rules and procedures for the implementation of the Union's </w:t>
      </w:r>
      <w:r>
        <w:rPr>
          <w:rFonts w:eastAsia="Calibri" w:cs="Arial"/>
          <w:bCs/>
          <w:sz w:val="22"/>
          <w:szCs w:val="22"/>
          <w:lang w:val="en-GB"/>
        </w:rPr>
        <w:t xml:space="preserve">instruments for external action (CIR) </w:t>
      </w:r>
      <w:r>
        <w:rPr>
          <w:sz w:val="22"/>
          <w:szCs w:val="22"/>
          <w:lang w:val="en-GB"/>
        </w:rPr>
        <w:t>for the applicable Instrument under which the contract is financed (see also heading 17 below)</w:t>
      </w:r>
      <w:r>
        <w:rPr>
          <w:rFonts w:eastAsia="Calibri" w:cs="Arial"/>
          <w:sz w:val="22"/>
          <w:szCs w:val="22"/>
          <w:lang w:val="en-GB"/>
        </w:rPr>
        <w:t xml:space="preserve">. </w:t>
      </w:r>
      <w:r>
        <w:rPr>
          <w:sz w:val="22"/>
          <w:szCs w:val="22"/>
          <w:lang w:val="en-GB"/>
        </w:rPr>
        <w:t>Participation is also open to international organisations. All goods purchased under the contract must originate from an e</w:t>
      </w:r>
      <w:r>
        <w:rPr>
          <w:sz w:val="22"/>
          <w:szCs w:val="22"/>
          <w:lang w:val="en-GB"/>
        </w:rPr>
        <w:t>ligible source country as defined above.</w:t>
      </w:r>
      <w:r>
        <w:rPr>
          <w:lang w:val="en-GB"/>
        </w:rPr>
        <w:t xml:space="preserve"> </w:t>
      </w:r>
      <w:r>
        <w:rPr>
          <w:sz w:val="22"/>
          <w:szCs w:val="22"/>
          <w:lang w:val="en-GB"/>
        </w:rPr>
        <w:t>However, the goods to be purchased may originate from any country, whenever the total price of the estimated quantity of those goods, as reflected in a separate item of the breakdown of the lump-sum price (Volume 4.</w:t>
      </w:r>
      <w:r>
        <w:rPr>
          <w:sz w:val="22"/>
          <w:szCs w:val="22"/>
          <w:lang w:val="en-GB"/>
        </w:rPr>
        <w:t xml:space="preserve">2.3) is below EUR 100 000. </w:t>
      </w:r>
    </w:p>
    <w:p w:rsidR="00BE3CF0" w:rsidRDefault="008F0EC8">
      <w:pPr>
        <w:pStyle w:val="PRAGHeading2"/>
        <w:keepNext/>
        <w:keepLines/>
        <w:jc w:val="both"/>
        <w:rPr>
          <w:rStyle w:val="Strong"/>
          <w:sz w:val="22"/>
          <w:szCs w:val="22"/>
          <w:lang w:val="en-GB"/>
        </w:rPr>
      </w:pPr>
      <w:r>
        <w:rPr>
          <w:rStyle w:val="Strong"/>
          <w:sz w:val="22"/>
          <w:szCs w:val="22"/>
          <w:lang w:val="en-GB"/>
        </w:rPr>
        <w:t>Subcontracting</w:t>
      </w:r>
    </w:p>
    <w:p w:rsidR="00BE3CF0" w:rsidRDefault="008F0EC8">
      <w:pPr>
        <w:pStyle w:val="PRAGHeading2"/>
        <w:keepNext/>
        <w:keepLines/>
        <w:numPr>
          <w:ilvl w:val="0"/>
          <w:numId w:val="0"/>
        </w:numPr>
        <w:ind w:left="720"/>
        <w:jc w:val="both"/>
        <w:rPr>
          <w:rStyle w:val="Strong"/>
          <w:sz w:val="22"/>
          <w:szCs w:val="22"/>
          <w:lang w:val="en-GB"/>
        </w:rPr>
      </w:pPr>
      <w:r>
        <w:rPr>
          <w:rStyle w:val="Strong"/>
          <w:b w:val="0"/>
          <w:sz w:val="22"/>
          <w:szCs w:val="22"/>
          <w:lang w:val="en-GB"/>
        </w:rPr>
        <w:t xml:space="preserve">Subcontracting is allowed. </w:t>
      </w:r>
      <w:r>
        <w:rPr>
          <w:sz w:val="22"/>
          <w:szCs w:val="22"/>
          <w:lang w:val="en-GB"/>
        </w:rPr>
        <w:t xml:space="preserve">Subcontractors, suppliers and entities upon whose capacity the tenderer relies for the selection criteria, </w:t>
      </w:r>
      <w:r>
        <w:rPr>
          <w:sz w:val="22"/>
          <w:szCs w:val="22"/>
          <w:lang w:val="en-GB"/>
        </w:rPr>
        <w:t>must be eligible in respect of the rules on nationality and origin for the financing programme detailed in Section 10 above.</w:t>
      </w:r>
    </w:p>
    <w:p w:rsidR="00BE3CF0" w:rsidRDefault="008F0EC8">
      <w:pPr>
        <w:pStyle w:val="PRAGHeading2"/>
        <w:jc w:val="both"/>
        <w:rPr>
          <w:rStyle w:val="Strong"/>
          <w:sz w:val="22"/>
          <w:szCs w:val="22"/>
          <w:lang w:val="en-GB"/>
        </w:rPr>
      </w:pPr>
      <w:r>
        <w:rPr>
          <w:rStyle w:val="Strong"/>
          <w:sz w:val="22"/>
          <w:szCs w:val="22"/>
          <w:lang w:val="en-GB"/>
        </w:rPr>
        <w:t>Grounds for exclusion</w:t>
      </w:r>
    </w:p>
    <w:p w:rsidR="00BE3CF0" w:rsidRDefault="008F0EC8">
      <w:pPr>
        <w:keepNext/>
        <w:keepLines/>
        <w:ind w:left="709"/>
        <w:jc w:val="both"/>
        <w:rPr>
          <w:sz w:val="22"/>
          <w:szCs w:val="22"/>
          <w:lang w:val="en-GB"/>
        </w:rPr>
      </w:pPr>
      <w:r>
        <w:rPr>
          <w:sz w:val="22"/>
          <w:szCs w:val="22"/>
          <w:lang w:val="en-GB"/>
        </w:rPr>
        <w:t>Natural persons, companies or undertakings falling into a situation set out in Section 2.6.10.1.1. (‘exclusio</w:t>
      </w:r>
      <w:r>
        <w:rPr>
          <w:sz w:val="22"/>
          <w:szCs w:val="22"/>
          <w:lang w:val="en-GB"/>
        </w:rPr>
        <w:t>n from participation in procurement procedures’) and Section 2.6.10.1.2. (‘rejection from a given procedure’) of the practical guide, are not entitled to participate in this tender procedure or be awarded a contract. Should they do so, their tender will be</w:t>
      </w:r>
      <w:r>
        <w:rPr>
          <w:sz w:val="22"/>
          <w:szCs w:val="22"/>
          <w:lang w:val="en-GB"/>
        </w:rPr>
        <w:t xml:space="preserve"> considered unsuitable or irregular respectively. Tenderers must provide declarations to the effect that they are not in any of the exclusion situations listed in Section 2.6.10.1. of the practical guide. The declarations must cover all the members of a jo</w:t>
      </w:r>
      <w:r>
        <w:rPr>
          <w:sz w:val="22"/>
          <w:szCs w:val="22"/>
          <w:lang w:val="en-GB"/>
        </w:rPr>
        <w:t>int venture/consortium. Tenderers guilty of making false declarations may also incur financial penalties up to 10% of the value of the contract and exclusion in accordance with the Financial Regulation in force.</w:t>
      </w:r>
    </w:p>
    <w:p w:rsidR="00BE3CF0" w:rsidRDefault="008F0EC8">
      <w:pPr>
        <w:keepNext/>
        <w:keepLines/>
        <w:ind w:left="709"/>
        <w:jc w:val="both"/>
        <w:rPr>
          <w:sz w:val="22"/>
          <w:szCs w:val="22"/>
          <w:lang w:val="en-GB"/>
        </w:rPr>
      </w:pPr>
      <w:r>
        <w:rPr>
          <w:sz w:val="22"/>
          <w:szCs w:val="22"/>
          <w:lang w:val="en-GB"/>
        </w:rPr>
        <w:t>Those exclusion situations apply to all memb</w:t>
      </w:r>
      <w:r>
        <w:rPr>
          <w:sz w:val="22"/>
          <w:szCs w:val="22"/>
          <w:lang w:val="en-GB"/>
        </w:rPr>
        <w:t>ers of a joint venture/consortium, all subcontractors and all suppliers to tenderers, as well as to all entities upon whose capacity the tenderer relies for the selection criteria.</w:t>
      </w:r>
    </w:p>
    <w:p w:rsidR="00BE3CF0" w:rsidRDefault="008F0EC8">
      <w:pPr>
        <w:keepNext/>
        <w:keepLines/>
        <w:ind w:left="709"/>
        <w:jc w:val="both"/>
        <w:rPr>
          <w:sz w:val="22"/>
          <w:szCs w:val="22"/>
          <w:lang w:val="en-GB"/>
        </w:rPr>
      </w:pPr>
      <w:r>
        <w:rPr>
          <w:sz w:val="22"/>
          <w:szCs w:val="22"/>
          <w:lang w:val="en-GB"/>
        </w:rPr>
        <w:t>Tenderers included in the lists of EU restrictive measures (see Section 2.4</w:t>
      </w:r>
      <w:r>
        <w:rPr>
          <w:sz w:val="22"/>
          <w:szCs w:val="22"/>
          <w:lang w:val="en-GB"/>
        </w:rPr>
        <w:t>. of the PRAG) at the moment of the award decision cannot be awarded the contract.</w:t>
      </w:r>
    </w:p>
    <w:p w:rsidR="00BE3CF0" w:rsidRDefault="008F0EC8">
      <w:pPr>
        <w:pStyle w:val="PRAGHeading2"/>
        <w:jc w:val="both"/>
        <w:rPr>
          <w:rStyle w:val="Strong"/>
          <w:sz w:val="22"/>
          <w:szCs w:val="22"/>
          <w:lang w:val="en-GB"/>
        </w:rPr>
      </w:pPr>
      <w:r>
        <w:rPr>
          <w:rStyle w:val="Strong"/>
          <w:sz w:val="22"/>
          <w:szCs w:val="22"/>
          <w:lang w:val="en-GB"/>
        </w:rPr>
        <w:t>Number of tenders</w:t>
      </w:r>
    </w:p>
    <w:p w:rsidR="00BE3CF0" w:rsidRDefault="008F0EC8">
      <w:pPr>
        <w:ind w:left="709"/>
        <w:jc w:val="both"/>
        <w:rPr>
          <w:sz w:val="22"/>
          <w:szCs w:val="22"/>
          <w:lang w:val="en-GB"/>
        </w:rPr>
      </w:pPr>
      <w:r>
        <w:rPr>
          <w:sz w:val="22"/>
          <w:szCs w:val="22"/>
          <w:lang w:val="en-GB"/>
        </w:rPr>
        <w:lastRenderedPageBreak/>
        <w:t>Tenderers may submit only one tender. Tenders for parts of the works will not be considered. Tenderers may not submit a tender for a variant solution in ad</w:t>
      </w:r>
      <w:r>
        <w:rPr>
          <w:sz w:val="22"/>
          <w:szCs w:val="22"/>
          <w:lang w:val="en-GB"/>
        </w:rPr>
        <w:t>dition to their tender for the works required in the tender dossier.</w:t>
      </w:r>
    </w:p>
    <w:p w:rsidR="00BE3CF0" w:rsidRDefault="00BE3CF0">
      <w:pPr>
        <w:keepNext/>
        <w:keepLines/>
        <w:jc w:val="both"/>
        <w:rPr>
          <w:sz w:val="22"/>
          <w:szCs w:val="22"/>
          <w:lang w:val="en-GB"/>
        </w:rPr>
      </w:pPr>
      <w:r w:rsidRPr="00BE3CF0">
        <w:rPr>
          <w:sz w:val="22"/>
          <w:szCs w:val="22"/>
          <w:lang w:val="en-GB"/>
        </w:rPr>
        <w:pict>
          <v:shape id="8A450E97-AE5E-EEC6-05D4322F6174" o:spid="_x0000_s1027" type="#_x0000_t32" style="position:absolute;left:0;text-align:left;margin-left:0;margin-top:0;width:10pt;height:10pt;z-index:251655680" filled="t" strokecolor="#d4d4d4" strokeweight="1.75pt">
            <v:path arrowok="f" fillok="t" o:connecttype="segments"/>
            <o:lock v:ext="edit" shapetype="f"/>
          </v:shape>
        </w:pict>
      </w:r>
    </w:p>
    <w:p w:rsidR="00BE3CF0" w:rsidRDefault="008F0EC8">
      <w:pPr>
        <w:keepNext/>
        <w:keepLines/>
        <w:ind w:left="360"/>
        <w:jc w:val="both"/>
        <w:rPr>
          <w:rStyle w:val="Strong"/>
          <w:sz w:val="22"/>
          <w:szCs w:val="22"/>
          <w:lang w:val="en-GB"/>
        </w:rPr>
      </w:pPr>
      <w:r>
        <w:rPr>
          <w:rStyle w:val="Strong"/>
          <w:sz w:val="22"/>
          <w:szCs w:val="22"/>
          <w:lang w:val="en-GB"/>
        </w:rPr>
        <w:t>SELECTION AND AWARD CRITERIA</w:t>
      </w:r>
    </w:p>
    <w:p w:rsidR="00BE3CF0" w:rsidRDefault="008F0EC8">
      <w:pPr>
        <w:pStyle w:val="PRAGHeading2"/>
        <w:jc w:val="both"/>
        <w:rPr>
          <w:rStyle w:val="Strong"/>
          <w:sz w:val="22"/>
          <w:szCs w:val="22"/>
          <w:lang w:val="en-GB"/>
        </w:rPr>
      </w:pPr>
      <w:r>
        <w:rPr>
          <w:rStyle w:val="Strong"/>
          <w:sz w:val="22"/>
          <w:szCs w:val="22"/>
          <w:lang w:val="en-GB"/>
        </w:rPr>
        <w:t>Selection criteria</w:t>
      </w:r>
    </w:p>
    <w:p w:rsidR="00BE3CF0" w:rsidRDefault="008F0EC8">
      <w:pPr>
        <w:pStyle w:val="Heading3"/>
        <w:numPr>
          <w:ilvl w:val="0"/>
          <w:numId w:val="0"/>
        </w:numPr>
        <w:ind w:left="720"/>
        <w:rPr>
          <w:lang w:val="en-GB"/>
        </w:rPr>
      </w:pPr>
      <w:r>
        <w:t xml:space="preserve">In order to be eligible for the award of the contract, tenderers must provide evidence that they meet the selection criteria. </w:t>
      </w:r>
      <w:r>
        <w:rPr>
          <w:lang w:val="en-GB"/>
        </w:rPr>
        <w:t>If a tender</w:t>
      </w:r>
      <w:r>
        <w:rPr>
          <w:lang w:val="en-GB"/>
        </w:rPr>
        <w:t xml:space="preserve"> is submitted by a consortium, unless specified, the selection criteria will be applied to the consortium as a whole.</w:t>
      </w:r>
    </w:p>
    <w:p w:rsidR="00BE3CF0" w:rsidRDefault="008F0EC8">
      <w:pPr>
        <w:ind w:left="720"/>
        <w:jc w:val="both"/>
        <w:rPr>
          <w:sz w:val="22"/>
          <w:lang w:val="en-GB"/>
        </w:rPr>
      </w:pPr>
      <w:r>
        <w:rPr>
          <w:sz w:val="22"/>
          <w:lang w:val="en-GB"/>
        </w:rPr>
        <w:t>The selection criteria for each tenderer are as follows:</w:t>
      </w:r>
    </w:p>
    <w:p w:rsidR="00BE3CF0" w:rsidRDefault="008F0EC8">
      <w:pPr>
        <w:ind w:left="720"/>
        <w:jc w:val="both"/>
        <w:rPr>
          <w:b/>
          <w:i/>
          <w:sz w:val="22"/>
          <w:u w:val="single"/>
          <w:lang w:val="en-GB"/>
        </w:rPr>
      </w:pPr>
      <w:r>
        <w:rPr>
          <w:b/>
          <w:i/>
          <w:sz w:val="22"/>
          <w:lang w:val="en-GB"/>
        </w:rPr>
        <w:t>14.a</w:t>
      </w:r>
      <w:r>
        <w:rPr>
          <w:b/>
          <w:i/>
          <w:sz w:val="22"/>
          <w:lang w:val="en-GB"/>
        </w:rPr>
        <w:tab/>
      </w:r>
      <w:r>
        <w:rPr>
          <w:b/>
          <w:i/>
          <w:sz w:val="22"/>
          <w:u w:val="single"/>
          <w:lang w:val="en-GB"/>
        </w:rPr>
        <w:t>Economic and financial capacity of candidate:</w:t>
      </w:r>
    </w:p>
    <w:p w:rsidR="00BE3CF0" w:rsidRDefault="008F0EC8">
      <w:pPr>
        <w:ind w:left="1134" w:hanging="284"/>
        <w:jc w:val="both"/>
        <w:rPr>
          <w:sz w:val="22"/>
          <w:lang w:val="en-GB"/>
        </w:rPr>
      </w:pPr>
      <w:r>
        <w:rPr>
          <w:b/>
          <w:sz w:val="22"/>
          <w:lang w:val="en-GB"/>
        </w:rPr>
        <w:t>-</w:t>
      </w:r>
      <w:r>
        <w:rPr>
          <w:b/>
          <w:sz w:val="22"/>
          <w:lang w:val="en-GB"/>
        </w:rPr>
        <w:tab/>
      </w:r>
      <w:r>
        <w:rPr>
          <w:sz w:val="22"/>
          <w:lang w:val="en-GB"/>
        </w:rPr>
        <w:t>the average annual turnover of the tenderer in the past 3 years must be at least the same or higher than tenderer financial offer for this contract</w:t>
      </w:r>
    </w:p>
    <w:p w:rsidR="00BE3CF0" w:rsidRDefault="008F0EC8">
      <w:pPr>
        <w:ind w:left="1440" w:hanging="720"/>
        <w:jc w:val="both"/>
        <w:rPr>
          <w:b/>
          <w:i/>
          <w:sz w:val="22"/>
          <w:lang w:val="en-GB"/>
        </w:rPr>
      </w:pPr>
      <w:r>
        <w:rPr>
          <w:b/>
          <w:i/>
          <w:sz w:val="22"/>
          <w:lang w:val="en-GB"/>
        </w:rPr>
        <w:t>14.b</w:t>
      </w:r>
      <w:r>
        <w:rPr>
          <w:b/>
          <w:i/>
          <w:sz w:val="22"/>
          <w:lang w:val="en-GB"/>
        </w:rPr>
        <w:tab/>
      </w:r>
      <w:r>
        <w:rPr>
          <w:b/>
          <w:i/>
          <w:sz w:val="22"/>
          <w:u w:val="single"/>
          <w:lang w:val="en-GB"/>
        </w:rPr>
        <w:t>Technical and professional capacity of candidate:</w:t>
      </w:r>
    </w:p>
    <w:p w:rsidR="00BE3CF0" w:rsidRDefault="008F0EC8">
      <w:pPr>
        <w:ind w:left="1134" w:hanging="284"/>
        <w:jc w:val="both"/>
        <w:rPr>
          <w:sz w:val="22"/>
          <w:lang w:val="en-GB"/>
        </w:rPr>
      </w:pPr>
      <w:r>
        <w:rPr>
          <w:b/>
          <w:sz w:val="22"/>
          <w:lang w:val="en-GB"/>
        </w:rPr>
        <w:t>-</w:t>
      </w:r>
      <w:r>
        <w:rPr>
          <w:b/>
          <w:sz w:val="22"/>
          <w:lang w:val="en-GB"/>
        </w:rPr>
        <w:tab/>
      </w:r>
      <w:r>
        <w:rPr>
          <w:sz w:val="22"/>
          <w:lang w:val="en-GB"/>
        </w:rPr>
        <w:t>it must have completed at least one projects of the</w:t>
      </w:r>
      <w:r>
        <w:rPr>
          <w:sz w:val="22"/>
          <w:lang w:val="en-GB"/>
        </w:rPr>
        <w:t xml:space="preserve"> similar nature/amount/complexity as the works </w:t>
      </w:r>
      <w:r>
        <w:rPr>
          <w:b/>
          <w:sz w:val="22"/>
          <w:lang w:val="en-GB"/>
        </w:rPr>
        <w:t>concerned</w:t>
      </w:r>
      <w:r>
        <w:rPr>
          <w:sz w:val="22"/>
          <w:lang w:val="en-GB"/>
        </w:rPr>
        <w:t xml:space="preserve"> by the tender and implemented during the following period: 5 years counting from the submission deadline. The contracting authority reserves the right to ask for copies of certificates of final accep</w:t>
      </w:r>
      <w:r>
        <w:rPr>
          <w:sz w:val="22"/>
          <w:lang w:val="en-GB"/>
        </w:rPr>
        <w:t>tance signed by the supervisors/contracting authority of the projects concerned</w:t>
      </w:r>
    </w:p>
    <w:p w:rsidR="00BE3CF0" w:rsidRDefault="008F0EC8">
      <w:pPr>
        <w:ind w:left="1134" w:hanging="284"/>
        <w:jc w:val="both"/>
        <w:rPr>
          <w:sz w:val="22"/>
          <w:lang w:val="en-GB"/>
        </w:rPr>
      </w:pPr>
      <w:r>
        <w:rPr>
          <w:b/>
          <w:sz w:val="22"/>
          <w:lang w:val="en-GB"/>
        </w:rPr>
        <w:t>-</w:t>
      </w:r>
      <w:r>
        <w:rPr>
          <w:sz w:val="22"/>
          <w:lang w:val="en-GB"/>
        </w:rPr>
        <w:t xml:space="preserve">   it must have at least one employed civil engineer with appropriate licence issued or certified by Serbian Chamber of Engineers in line with Serbian Law for Construction</w:t>
      </w:r>
    </w:p>
    <w:p w:rsidR="00BE3CF0" w:rsidRDefault="008F0EC8">
      <w:pPr>
        <w:ind w:left="1134" w:hanging="284"/>
        <w:jc w:val="both"/>
        <w:rPr>
          <w:sz w:val="22"/>
          <w:u w:val="single"/>
          <w:lang w:val="en-GB"/>
        </w:rPr>
      </w:pPr>
      <w:r>
        <w:rPr>
          <w:sz w:val="22"/>
          <w:u w:val="single"/>
          <w:lang w:val="en-GB"/>
        </w:rPr>
        <w:t>Capacity-providing entities:</w:t>
      </w:r>
    </w:p>
    <w:p w:rsidR="00BE3CF0" w:rsidRDefault="008F0EC8">
      <w:pPr>
        <w:ind w:left="1134" w:hanging="284"/>
        <w:jc w:val="both"/>
        <w:rPr>
          <w:sz w:val="22"/>
          <w:lang w:val="en-GB"/>
        </w:rPr>
      </w:pPr>
      <w:r>
        <w:rPr>
          <w:sz w:val="22"/>
          <w:lang w:val="en-GB"/>
        </w:rPr>
        <w:t>An economic operator may, where appropriate and for a particular contract, rely on the capacity of other entities, regardless of the legal nature of the links which it has with them. If the tenderer relies on other entities, it</w:t>
      </w:r>
      <w:r>
        <w:rPr>
          <w:sz w:val="22"/>
          <w:lang w:val="en-GB"/>
        </w:rPr>
        <w:t xml:space="preserve"> must prove to the contracting authority that it will have at its disposal the resources necessary to perform the contract by producing a commitment on the part of those entities to place resources at its disposal. Such entities, for instance the parent co</w:t>
      </w:r>
      <w:r>
        <w:rPr>
          <w:sz w:val="22"/>
          <w:lang w:val="en-GB"/>
        </w:rPr>
        <w:t>mpany of the economic operator, must respect the same rules of eligibility and notably that of nationality, as the economic operator relying on them and must comply with the selection criteria for which the economic operator relies on them. Furthermore, th</w:t>
      </w:r>
      <w:r>
        <w:rPr>
          <w:sz w:val="22"/>
          <w:lang w:val="en-GB"/>
        </w:rPr>
        <w:t xml:space="preserve">e tender should include a separate document providing data on this third entity for the relevant selection criterion. Proof of capacity must be provided at the request of the contracting authority.  </w:t>
      </w:r>
    </w:p>
    <w:p w:rsidR="00BE3CF0" w:rsidRDefault="008F0EC8">
      <w:pPr>
        <w:ind w:left="1134" w:hanging="284"/>
        <w:jc w:val="both"/>
        <w:rPr>
          <w:sz w:val="22"/>
          <w:lang w:val="en-GB"/>
        </w:rPr>
      </w:pPr>
      <w:r>
        <w:rPr>
          <w:sz w:val="22"/>
          <w:lang w:val="en-GB"/>
        </w:rPr>
        <w:t>With regard to technical and professional criteria, a te</w:t>
      </w:r>
      <w:r>
        <w:rPr>
          <w:sz w:val="22"/>
          <w:lang w:val="en-GB"/>
        </w:rPr>
        <w:t>nderer may only rely on the capacities of other entities where the latter will perform the works for which these capacities are required.</w:t>
      </w:r>
    </w:p>
    <w:p w:rsidR="00BE3CF0" w:rsidRDefault="008F0EC8">
      <w:pPr>
        <w:ind w:left="1134" w:hanging="284"/>
        <w:jc w:val="both"/>
        <w:rPr>
          <w:sz w:val="22"/>
          <w:highlight w:val="yellow"/>
          <w:lang w:val="en-GB"/>
        </w:rPr>
      </w:pPr>
      <w:r>
        <w:rPr>
          <w:sz w:val="22"/>
          <w:lang w:val="en-GB"/>
        </w:rPr>
        <w:t>With regard to economic and financial criteria, the entities upon whose capacity the tenderer relies, become jointly a</w:t>
      </w:r>
      <w:r>
        <w:rPr>
          <w:sz w:val="22"/>
          <w:lang w:val="en-GB"/>
        </w:rPr>
        <w:t>nd severally liable for the performance of the contract.</w:t>
      </w:r>
    </w:p>
    <w:p w:rsidR="00BE3CF0" w:rsidRDefault="008F0EC8">
      <w:pPr>
        <w:spacing w:after="0"/>
        <w:ind w:left="644" w:right="360"/>
        <w:jc w:val="both"/>
        <w:rPr>
          <w:lang w:val="en-GB"/>
        </w:rPr>
      </w:pPr>
      <w:r>
        <w:rPr>
          <w:lang w:val="en-GB"/>
        </w:rPr>
        <w:lastRenderedPageBreak/>
        <w:t>Financial data to be provided by the tenderer in relation to the selection criteria must be expressed in EUR. If applicable, where a candidate refers to amounts originally expressed in a different cu</w:t>
      </w:r>
      <w:r>
        <w:rPr>
          <w:lang w:val="en-GB"/>
        </w:rPr>
        <w:t>rrency, the conversion to EUR shall be made in accordance with the InforEuro exchange rate of November</w:t>
      </w:r>
      <w:bookmarkStart w:id="0" w:name="_GoBack"/>
      <w:bookmarkEnd w:id="0"/>
      <w:r>
        <w:rPr>
          <w:lang w:val="en-GB"/>
        </w:rPr>
        <w:t xml:space="preserve"> 2020, which can be found at the following address: </w:t>
      </w:r>
      <w:hyperlink r:id="rId8" w:history="1">
        <w:r>
          <w:rPr>
            <w:rStyle w:val="Hyperlink"/>
            <w:lang w:val="en-GB"/>
          </w:rPr>
          <w:t>http://ec.europa.eu/budget/graphs/inforeu</w:t>
        </w:r>
        <w:r>
          <w:rPr>
            <w:rStyle w:val="Hyperlink"/>
            <w:lang w:val="en-GB"/>
          </w:rPr>
          <w:t>ro.html</w:t>
        </w:r>
      </w:hyperlink>
      <w:r>
        <w:rPr>
          <w:lang w:val="en-GB"/>
        </w:rPr>
        <w:t>.</w:t>
      </w:r>
    </w:p>
    <w:p w:rsidR="00BE3CF0" w:rsidRDefault="00BE3CF0">
      <w:pPr>
        <w:ind w:left="1134" w:hanging="284"/>
        <w:jc w:val="both"/>
        <w:rPr>
          <w:sz w:val="22"/>
          <w:highlight w:val="yellow"/>
          <w:lang w:val="en-GB"/>
        </w:rPr>
      </w:pPr>
    </w:p>
    <w:p w:rsidR="00BE3CF0" w:rsidRDefault="008F0EC8">
      <w:pPr>
        <w:pStyle w:val="PRAGHeading2"/>
        <w:jc w:val="both"/>
        <w:rPr>
          <w:rStyle w:val="Strong"/>
          <w:sz w:val="22"/>
          <w:szCs w:val="22"/>
          <w:lang w:val="en-GB"/>
        </w:rPr>
      </w:pPr>
      <w:r>
        <w:rPr>
          <w:rStyle w:val="Strong"/>
          <w:sz w:val="22"/>
          <w:szCs w:val="22"/>
          <w:lang w:val="en-GB"/>
        </w:rPr>
        <w:t>Award criteria</w:t>
      </w:r>
    </w:p>
    <w:p w:rsidR="00BE3CF0" w:rsidRDefault="008F0EC8">
      <w:pPr>
        <w:ind w:left="426"/>
        <w:jc w:val="both"/>
        <w:rPr>
          <w:sz w:val="22"/>
          <w:lang w:val="en-GB"/>
        </w:rPr>
      </w:pPr>
      <w:r>
        <w:rPr>
          <w:sz w:val="22"/>
          <w:lang w:val="en-GB"/>
        </w:rPr>
        <w:t xml:space="preserve">The sole award criterion will be the price: the most economically advantageous tender is the technically compliant tender with the lowest price. </w:t>
      </w:r>
    </w:p>
    <w:p w:rsidR="00BE3CF0" w:rsidRDefault="00BE3CF0">
      <w:pPr>
        <w:ind w:left="426"/>
        <w:jc w:val="both"/>
        <w:rPr>
          <w:sz w:val="22"/>
          <w:szCs w:val="22"/>
          <w:lang w:val="en-GB"/>
        </w:rPr>
      </w:pPr>
      <w:r w:rsidRPr="00BE3CF0">
        <w:rPr>
          <w:sz w:val="22"/>
          <w:szCs w:val="22"/>
          <w:lang w:val="en-GB"/>
        </w:rPr>
        <w:pict>
          <v:shape id="0F32BF96-5149-1863-7F5E0018F5B7" o:spid="_x0000_s1026" type="#_x0000_t32" style="position:absolute;left:0;text-align:left;margin-left:0;margin-top:0;width:10pt;height:10pt;z-index:251656704" filled="t" strokecolor="#d4d4d4" strokeweight="1.75pt">
            <v:path arrowok="f" fillok="t" o:connecttype="segments"/>
            <o:lock v:ext="edit" shapetype="f"/>
          </v:shape>
        </w:pict>
      </w:r>
    </w:p>
    <w:p w:rsidR="00BE3CF0" w:rsidRDefault="008F0EC8">
      <w:pPr>
        <w:ind w:left="360"/>
        <w:jc w:val="both"/>
        <w:rPr>
          <w:rStyle w:val="Strong"/>
          <w:sz w:val="22"/>
          <w:szCs w:val="22"/>
          <w:lang w:val="en-GB"/>
        </w:rPr>
      </w:pPr>
      <w:r>
        <w:rPr>
          <w:rStyle w:val="Strong"/>
          <w:sz w:val="22"/>
          <w:szCs w:val="22"/>
          <w:lang w:val="en-GB"/>
        </w:rPr>
        <w:t>TENDERING</w:t>
      </w:r>
    </w:p>
    <w:p w:rsidR="00BE3CF0" w:rsidRDefault="008F0EC8">
      <w:pPr>
        <w:pStyle w:val="PRAGHeading2"/>
        <w:jc w:val="both"/>
        <w:rPr>
          <w:rStyle w:val="Strong"/>
          <w:sz w:val="22"/>
          <w:szCs w:val="22"/>
          <w:lang w:val="en-GB"/>
        </w:rPr>
      </w:pPr>
      <w:r>
        <w:rPr>
          <w:rStyle w:val="Strong"/>
          <w:sz w:val="22"/>
          <w:szCs w:val="22"/>
          <w:lang w:val="en-GB"/>
        </w:rPr>
        <w:t xml:space="preserve">Ethics clauses </w:t>
      </w:r>
    </w:p>
    <w:p w:rsidR="00BE3CF0" w:rsidRDefault="008F0EC8">
      <w:pPr>
        <w:pStyle w:val="PRAGHeading2"/>
        <w:numPr>
          <w:ilvl w:val="0"/>
          <w:numId w:val="0"/>
        </w:numPr>
        <w:ind w:left="720"/>
        <w:jc w:val="both"/>
        <w:rPr>
          <w:rStyle w:val="Strong"/>
          <w:b w:val="0"/>
          <w:sz w:val="22"/>
          <w:szCs w:val="22"/>
          <w:lang w:val="en-GB"/>
        </w:rPr>
      </w:pPr>
      <w:r>
        <w:rPr>
          <w:rStyle w:val="Strong"/>
          <w:b w:val="0"/>
          <w:sz w:val="22"/>
          <w:szCs w:val="22"/>
          <w:lang w:val="en-GB"/>
        </w:rPr>
        <w:t>The tenderers are subject to the e</w:t>
      </w:r>
      <w:r>
        <w:rPr>
          <w:rStyle w:val="Strong"/>
          <w:b w:val="0"/>
          <w:sz w:val="22"/>
          <w:szCs w:val="22"/>
          <w:lang w:val="en-GB"/>
        </w:rPr>
        <w:t xml:space="preserve">thics clauses, detailed in Section 2.5.6. of the practical guide. </w:t>
      </w:r>
    </w:p>
    <w:p w:rsidR="00BE3CF0" w:rsidRDefault="008F0EC8">
      <w:pPr>
        <w:pStyle w:val="PRAGHeading2"/>
        <w:jc w:val="both"/>
        <w:rPr>
          <w:rStyle w:val="Strong"/>
          <w:sz w:val="22"/>
          <w:szCs w:val="22"/>
          <w:lang w:val="en-GB"/>
        </w:rPr>
      </w:pPr>
      <w:r>
        <w:rPr>
          <w:rStyle w:val="Strong"/>
          <w:sz w:val="22"/>
          <w:szCs w:val="22"/>
          <w:lang w:val="en-GB"/>
        </w:rPr>
        <w:t>Legal basis</w:t>
      </w:r>
      <w:r>
        <w:rPr>
          <w:rStyle w:val="Footnotereference"/>
          <w:b/>
          <w:sz w:val="22"/>
          <w:szCs w:val="22"/>
          <w:lang w:val="en-GB"/>
        </w:rPr>
        <w:footnoteReference w:id="2"/>
      </w:r>
    </w:p>
    <w:p w:rsidR="00BE3CF0" w:rsidRDefault="008F0EC8">
      <w:pPr>
        <w:pStyle w:val="PRAGHeading2"/>
        <w:numPr>
          <w:ilvl w:val="0"/>
          <w:numId w:val="0"/>
        </w:numPr>
        <w:ind w:left="709"/>
        <w:jc w:val="both"/>
        <w:rPr>
          <w:sz w:val="22"/>
          <w:szCs w:val="22"/>
          <w:lang w:val="en-GB" w:eastAsia="ja-JP"/>
        </w:rPr>
      </w:pPr>
      <w:r>
        <w:rPr>
          <w:sz w:val="22"/>
          <w:szCs w:val="22"/>
          <w:lang w:val="en-GB"/>
        </w:rPr>
        <w:t>Regulation</w:t>
      </w:r>
      <w:r>
        <w:rPr>
          <w:b/>
          <w:bCs/>
          <w:sz w:val="22"/>
          <w:szCs w:val="22"/>
          <w:lang w:val="en-GB"/>
        </w:rPr>
        <w:t xml:space="preserve"> </w:t>
      </w:r>
      <w:r>
        <w:rPr>
          <w:sz w:val="22"/>
          <w:szCs w:val="22"/>
          <w:lang w:val="en-GB"/>
        </w:rPr>
        <w:t>(EU) No </w:t>
      </w:r>
      <w:r>
        <w:rPr>
          <w:sz w:val="22"/>
          <w:szCs w:val="22"/>
          <w:lang w:val="en-GB" w:eastAsia="ja-JP"/>
        </w:rPr>
        <w:t>236/2014 of the European Parliament and of the Council of 11 March 2014 laying down common rules and procedures for the implementation of the Union's instrum</w:t>
      </w:r>
      <w:r>
        <w:rPr>
          <w:sz w:val="22"/>
          <w:szCs w:val="22"/>
          <w:lang w:val="en-GB" w:eastAsia="ja-JP"/>
        </w:rPr>
        <w:t>ents for financing external action .</w:t>
      </w:r>
    </w:p>
    <w:p w:rsidR="00BE3CF0" w:rsidRDefault="008F0EC8">
      <w:pPr>
        <w:pStyle w:val="PRAGHeading2"/>
        <w:numPr>
          <w:ilvl w:val="0"/>
          <w:numId w:val="0"/>
        </w:numPr>
        <w:ind w:left="709"/>
        <w:jc w:val="both"/>
        <w:rPr>
          <w:sz w:val="22"/>
          <w:szCs w:val="22"/>
          <w:lang w:eastAsia="ja-JP"/>
        </w:rPr>
      </w:pPr>
      <w:r>
        <w:rPr>
          <w:sz w:val="22"/>
          <w:szCs w:val="22"/>
          <w:lang w:eastAsia="ja-JP"/>
        </w:rPr>
        <w:t>Regulation (EU, Euratom) No. 2018/1046 of the European Parliament and of the Council of 18 July 2018 on the financial rules applicable to the general budget of the Union amending Regulations (EU) No. 1296/2013, (EU) No.</w:t>
      </w:r>
      <w:r>
        <w:rPr>
          <w:sz w:val="22"/>
          <w:szCs w:val="22"/>
          <w:lang w:eastAsia="ja-JP"/>
        </w:rPr>
        <w:t xml:space="preserve"> 1301/2013, (EU) No. 1303/2013, (EU) No. 1304/2013, (EU) No. 1309/2013, (EU) No. 1316/2013, (EU) No. 223/2014, (EU) No. 283/2014, and Decision No. 541/2014/EU and repealing Regulation (EU, Euratom) No. 966/2012 (‘Financial Regulation’). </w:t>
      </w:r>
    </w:p>
    <w:p w:rsidR="00BE3CF0" w:rsidRDefault="008F0EC8">
      <w:pPr>
        <w:pStyle w:val="PRAGHeading2"/>
        <w:numPr>
          <w:ilvl w:val="0"/>
          <w:numId w:val="0"/>
        </w:numPr>
        <w:ind w:left="709"/>
        <w:jc w:val="both"/>
        <w:rPr>
          <w:sz w:val="22"/>
          <w:szCs w:val="22"/>
          <w:lang w:val="en-GB" w:eastAsia="ja-JP"/>
        </w:rPr>
      </w:pPr>
      <w:r>
        <w:rPr>
          <w:sz w:val="22"/>
          <w:szCs w:val="22"/>
          <w:lang w:eastAsia="ja-JP"/>
        </w:rPr>
        <w:t>Commission Decisio</w:t>
      </w:r>
      <w:r>
        <w:rPr>
          <w:sz w:val="22"/>
          <w:szCs w:val="22"/>
          <w:lang w:eastAsia="ja-JP"/>
        </w:rPr>
        <w:t>n (EU) No. 2018/1520 of 9 October 2018 repealing Delegated Regulation (EU) No. 1268/2012 (‘Delegated Regulation’) on the rules of application of Regulation (EU, Euratom) No. 966/2012 of the European Parliament and of the Council on the financial rules appl</w:t>
      </w:r>
      <w:r>
        <w:rPr>
          <w:sz w:val="22"/>
          <w:szCs w:val="22"/>
          <w:lang w:eastAsia="ja-JP"/>
        </w:rPr>
        <w:t>icable to the general budget of the Union.</w:t>
      </w:r>
    </w:p>
    <w:p w:rsidR="00BE3CF0" w:rsidRDefault="008F0EC8">
      <w:pPr>
        <w:pStyle w:val="PRAGHeading2"/>
        <w:numPr>
          <w:ilvl w:val="0"/>
          <w:numId w:val="0"/>
        </w:numPr>
        <w:ind w:left="709"/>
        <w:jc w:val="both"/>
        <w:rPr>
          <w:sz w:val="22"/>
          <w:szCs w:val="22"/>
          <w:lang w:val="en-GB"/>
        </w:rPr>
      </w:pPr>
      <w:r>
        <w:t>Financing Agreement concluded between the Republic of Serbia, the European Commission and the Managing Authority</w:t>
      </w:r>
      <w:r>
        <w:rPr>
          <w:sz w:val="22"/>
          <w:szCs w:val="22"/>
          <w:lang w:val="en-GB"/>
        </w:rPr>
        <w:t>.</w:t>
      </w:r>
    </w:p>
    <w:p w:rsidR="00BE3CF0" w:rsidRDefault="008F0EC8">
      <w:pPr>
        <w:pStyle w:val="PRAGHeading2"/>
        <w:jc w:val="both"/>
        <w:rPr>
          <w:rStyle w:val="Strong"/>
          <w:sz w:val="22"/>
          <w:szCs w:val="22"/>
          <w:lang w:val="en-GB"/>
        </w:rPr>
      </w:pPr>
      <w:r>
        <w:rPr>
          <w:rStyle w:val="Strong"/>
          <w:sz w:val="22"/>
          <w:szCs w:val="22"/>
          <w:lang w:val="en-GB"/>
        </w:rPr>
        <w:t>Appeals</w:t>
      </w:r>
    </w:p>
    <w:p w:rsidR="00BE3CF0" w:rsidRDefault="008F0EC8">
      <w:pPr>
        <w:ind w:left="709"/>
        <w:jc w:val="both"/>
        <w:rPr>
          <w:sz w:val="22"/>
          <w:szCs w:val="22"/>
          <w:lang w:val="en-GB"/>
        </w:rPr>
      </w:pPr>
      <w:r>
        <w:rPr>
          <w:sz w:val="22"/>
          <w:szCs w:val="22"/>
          <w:lang w:val="en-GB" w:eastAsia="en-GB"/>
        </w:rPr>
        <w:t>Tenderers believing that they have been harmed by an error or irregularity during the award</w:t>
      </w:r>
      <w:r>
        <w:rPr>
          <w:sz w:val="22"/>
          <w:szCs w:val="22"/>
          <w:lang w:val="en-GB" w:eastAsia="en-GB"/>
        </w:rPr>
        <w:t xml:space="preserve"> process may file a complaint. See further Section 2.12. of the practical guide.</w:t>
      </w:r>
    </w:p>
    <w:p w:rsidR="00BE3CF0" w:rsidRDefault="008F0EC8">
      <w:pPr>
        <w:pStyle w:val="PRAGHeading2"/>
        <w:jc w:val="both"/>
        <w:rPr>
          <w:b/>
          <w:sz w:val="22"/>
          <w:szCs w:val="22"/>
          <w:lang w:val="en-GB"/>
        </w:rPr>
      </w:pPr>
      <w:r>
        <w:rPr>
          <w:b/>
          <w:sz w:val="22"/>
          <w:szCs w:val="22"/>
          <w:lang w:val="en-GB"/>
        </w:rPr>
        <w:t>Early detection and exclusion system</w:t>
      </w:r>
    </w:p>
    <w:p w:rsidR="00BE3CF0" w:rsidRDefault="008F0EC8">
      <w:pPr>
        <w:ind w:left="709"/>
        <w:jc w:val="both"/>
        <w:rPr>
          <w:sz w:val="22"/>
          <w:szCs w:val="22"/>
          <w:lang w:val="en-GB"/>
        </w:rPr>
      </w:pPr>
      <w:r>
        <w:rPr>
          <w:sz w:val="22"/>
          <w:szCs w:val="22"/>
          <w:lang w:val="en-GB"/>
        </w:rPr>
        <w:lastRenderedPageBreak/>
        <w:t xml:space="preserve">The tenderers and, if they are legal entities, persons who have powers of representation, decision-making or control over them, are informed that, should they be in one of the situations of early detection or exclusion, their personal details (name, given </w:t>
      </w:r>
      <w:r>
        <w:rPr>
          <w:sz w:val="22"/>
          <w:szCs w:val="22"/>
          <w:lang w:val="en-GB"/>
        </w:rPr>
        <w:t>name if natural person, address, legal form and name and given name of the persons with powers of representation, decision-making or control, if legal person) may be registered in the early detection and exclusion system (EDES)  and communicated to the per</w:t>
      </w:r>
      <w:r>
        <w:rPr>
          <w:sz w:val="22"/>
          <w:szCs w:val="22"/>
          <w:lang w:val="en-GB"/>
        </w:rPr>
        <w:t>sons and entities concerned in relation to the award or the execution of a procurement contract.</w:t>
      </w:r>
    </w:p>
    <w:sectPr w:rsidR="00BE3CF0" w:rsidSect="00BE3CF0">
      <w:footerReference w:type="default" r:id="rId9"/>
      <w:pgSz w:w="12240" w:h="15840"/>
      <w:pgMar w:top="1440" w:right="1440" w:bottom="1440" w:left="1440" w:header="851" w:footer="618"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F0EC8" w:rsidRDefault="008F0EC8">
      <w:r>
        <w:separator/>
      </w:r>
    </w:p>
  </w:endnote>
  <w:endnote w:type="continuationSeparator" w:id="1">
    <w:p w:rsidR="008F0EC8" w:rsidRDefault="008F0E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altName w:val="Arial"/>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E3CF0" w:rsidRDefault="008F0EC8">
    <w:pPr>
      <w:pStyle w:val="Footer"/>
      <w:tabs>
        <w:tab w:val="clear" w:pos="4536"/>
        <w:tab w:val="clear" w:pos="9072"/>
        <w:tab w:val="right" w:pos="9356"/>
      </w:tabs>
      <w:spacing w:before="0" w:after="0"/>
      <w:rPr>
        <w:rStyle w:val="Pagenumber"/>
        <w:sz w:val="18"/>
        <w:szCs w:val="18"/>
        <w:lang w:val="en-GB"/>
      </w:rPr>
    </w:pPr>
    <w:r>
      <w:rPr>
        <w:b/>
        <w:sz w:val="18"/>
      </w:rPr>
      <w:t>August 2020</w:t>
    </w:r>
    <w:r>
      <w:rPr>
        <w:sz w:val="18"/>
        <w:szCs w:val="18"/>
        <w:lang w:val="en-GB"/>
      </w:rPr>
      <w:tab/>
      <w:t xml:space="preserve">Page </w:t>
    </w:r>
    <w:r w:rsidR="00BE3CF0">
      <w:fldChar w:fldCharType="begin"/>
    </w:r>
    <w:r>
      <w:instrText xml:space="preserve"> PAGE </w:instrText>
    </w:r>
    <w:r w:rsidR="00BE3CF0">
      <w:fldChar w:fldCharType="separate"/>
    </w:r>
    <w:r w:rsidR="006C401E">
      <w:rPr>
        <w:noProof/>
      </w:rPr>
      <w:t>1</w:t>
    </w:r>
    <w:r w:rsidR="00BE3CF0">
      <w:fldChar w:fldCharType="end"/>
    </w:r>
    <w:r>
      <w:rPr>
        <w:rStyle w:val="Pagenumber"/>
        <w:sz w:val="18"/>
        <w:szCs w:val="18"/>
        <w:lang w:val="en-GB"/>
      </w:rPr>
      <w:t xml:space="preserve"> of </w:t>
    </w:r>
    <w:r w:rsidR="00BE3CF0">
      <w:fldChar w:fldCharType="begin"/>
    </w:r>
    <w:r>
      <w:instrText xml:space="preserve"> NUMPAGES </w:instrText>
    </w:r>
    <w:r w:rsidR="00BE3CF0">
      <w:fldChar w:fldCharType="separate"/>
    </w:r>
    <w:r w:rsidR="006C401E">
      <w:rPr>
        <w:noProof/>
      </w:rPr>
      <w:t>5</w:t>
    </w:r>
    <w:r w:rsidR="00BE3CF0">
      <w:fldChar w:fldCharType="end"/>
    </w:r>
  </w:p>
  <w:p w:rsidR="00BE3CF0" w:rsidRDefault="00BE3CF0">
    <w:pPr>
      <w:pStyle w:val="Footer"/>
      <w:tabs>
        <w:tab w:val="clear" w:pos="4536"/>
        <w:tab w:val="clear" w:pos="9072"/>
        <w:tab w:val="right" w:pos="9356"/>
      </w:tabs>
      <w:spacing w:before="0" w:after="0"/>
      <w:rPr>
        <w:sz w:val="18"/>
        <w:szCs w:val="18"/>
        <w:lang w:val="en-GB"/>
      </w:rPr>
    </w:pPr>
    <w:r>
      <w:fldChar w:fldCharType="begin"/>
    </w:r>
    <w:r w:rsidR="008F0EC8">
      <w:instrText xml:space="preserve"> FILENAME </w:instrText>
    </w:r>
    <w:r>
      <w:fldChar w:fldCharType="separate"/>
    </w:r>
    <w:r w:rsidR="008F0EC8">
      <w:rPr>
        <w:sz w:val="18"/>
        <w:szCs w:val="18"/>
        <w:lang w:val="en-GB"/>
      </w:rPr>
      <w:t>ds2_contractnotice_simpl_en.doc</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F0EC8" w:rsidRDefault="008F0EC8">
      <w:r>
        <w:separator/>
      </w:r>
    </w:p>
  </w:footnote>
  <w:footnote w:type="continuationSeparator" w:id="1">
    <w:p w:rsidR="008F0EC8" w:rsidRDefault="008F0EC8">
      <w:r>
        <w:continuationSeparator/>
      </w:r>
    </w:p>
  </w:footnote>
  <w:footnote w:id="2">
    <w:p w:rsidR="00BE3CF0" w:rsidRDefault="008F0EC8">
      <w:pPr>
        <w:pStyle w:val="Footnotetext"/>
        <w:rPr>
          <w:lang w:val="en-GB"/>
        </w:rPr>
      </w:pPr>
      <w:r>
        <w:rPr>
          <w:rStyle w:val="Footnotereference"/>
        </w:rPr>
        <w:footnoteRef/>
      </w:r>
      <w:r>
        <w:rPr>
          <w:lang w:val="en-GB"/>
        </w:rPr>
        <w:t xml:space="preserve"> </w:t>
      </w:r>
      <w:r>
        <w:rPr>
          <w:lang w:val="en-GB"/>
        </w:rPr>
        <w:t>Please state any specificity that might have an impact on rules on participation (such as geographic or thematic or long/short term).</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74B66"/>
    <w:multiLevelType w:val="hybridMultilevel"/>
    <w:tmpl w:val="BFE40C66"/>
    <w:lvl w:ilvl="0" w:tplc="1334FCA8">
      <w:start w:val="1"/>
      <w:numFmt w:val="bullet"/>
      <w:lvlText w:val=""/>
      <w:lvlJc w:val="left"/>
      <w:pPr>
        <w:ind w:left="1854" w:hanging="360"/>
      </w:pPr>
      <w:rPr>
        <w:rFonts w:ascii="Symbol" w:hAnsi="Symbol" w:hint="default"/>
      </w:rPr>
    </w:lvl>
    <w:lvl w:ilvl="1" w:tplc="740A427A" w:tentative="1">
      <w:start w:val="1"/>
      <w:numFmt w:val="bullet"/>
      <w:lvlText w:val="o"/>
      <w:lvlJc w:val="left"/>
      <w:pPr>
        <w:ind w:left="2574" w:hanging="360"/>
      </w:pPr>
      <w:rPr>
        <w:rFonts w:ascii="Courier New" w:hAnsi="Courier New" w:cs="Wingdings" w:hint="default"/>
      </w:rPr>
    </w:lvl>
    <w:lvl w:ilvl="2" w:tplc="D84C879C" w:tentative="1">
      <w:start w:val="1"/>
      <w:numFmt w:val="bullet"/>
      <w:lvlText w:val=""/>
      <w:lvlJc w:val="left"/>
      <w:pPr>
        <w:ind w:left="3294" w:hanging="360"/>
      </w:pPr>
      <w:rPr>
        <w:rFonts w:ascii="Wingdings" w:hAnsi="Wingdings" w:hint="default"/>
      </w:rPr>
    </w:lvl>
    <w:lvl w:ilvl="3" w:tplc="D540B184" w:tentative="1">
      <w:start w:val="1"/>
      <w:numFmt w:val="bullet"/>
      <w:lvlText w:val=""/>
      <w:lvlJc w:val="left"/>
      <w:pPr>
        <w:ind w:left="4014" w:hanging="360"/>
      </w:pPr>
      <w:rPr>
        <w:rFonts w:ascii="Symbol" w:hAnsi="Symbol" w:hint="default"/>
      </w:rPr>
    </w:lvl>
    <w:lvl w:ilvl="4" w:tplc="8AA8C42A" w:tentative="1">
      <w:start w:val="1"/>
      <w:numFmt w:val="bullet"/>
      <w:lvlText w:val="o"/>
      <w:lvlJc w:val="left"/>
      <w:pPr>
        <w:ind w:left="4734" w:hanging="360"/>
      </w:pPr>
      <w:rPr>
        <w:rFonts w:ascii="Courier New" w:hAnsi="Courier New" w:cs="Wingdings" w:hint="default"/>
      </w:rPr>
    </w:lvl>
    <w:lvl w:ilvl="5" w:tplc="1E3A1D9C" w:tentative="1">
      <w:start w:val="1"/>
      <w:numFmt w:val="bullet"/>
      <w:lvlText w:val=""/>
      <w:lvlJc w:val="left"/>
      <w:pPr>
        <w:ind w:left="5454" w:hanging="360"/>
      </w:pPr>
      <w:rPr>
        <w:rFonts w:ascii="Wingdings" w:hAnsi="Wingdings" w:hint="default"/>
      </w:rPr>
    </w:lvl>
    <w:lvl w:ilvl="6" w:tplc="6DE2F0EE" w:tentative="1">
      <w:start w:val="1"/>
      <w:numFmt w:val="bullet"/>
      <w:lvlText w:val=""/>
      <w:lvlJc w:val="left"/>
      <w:pPr>
        <w:ind w:left="6174" w:hanging="360"/>
      </w:pPr>
      <w:rPr>
        <w:rFonts w:ascii="Symbol" w:hAnsi="Symbol" w:hint="default"/>
      </w:rPr>
    </w:lvl>
    <w:lvl w:ilvl="7" w:tplc="8A64952A" w:tentative="1">
      <w:start w:val="1"/>
      <w:numFmt w:val="bullet"/>
      <w:lvlText w:val="o"/>
      <w:lvlJc w:val="left"/>
      <w:pPr>
        <w:ind w:left="6894" w:hanging="360"/>
      </w:pPr>
      <w:rPr>
        <w:rFonts w:ascii="Courier New" w:hAnsi="Courier New" w:cs="Wingdings" w:hint="default"/>
      </w:rPr>
    </w:lvl>
    <w:lvl w:ilvl="8" w:tplc="DAD0E00A" w:tentative="1">
      <w:start w:val="1"/>
      <w:numFmt w:val="bullet"/>
      <w:lvlText w:val=""/>
      <w:lvlJc w:val="left"/>
      <w:pPr>
        <w:ind w:left="7614" w:hanging="360"/>
      </w:pPr>
      <w:rPr>
        <w:rFonts w:ascii="Wingdings" w:hAnsi="Wingdings" w:hint="default"/>
      </w:rPr>
    </w:lvl>
  </w:abstractNum>
  <w:abstractNum w:abstractNumId="1">
    <w:nsid w:val="053036FE"/>
    <w:multiLevelType w:val="multilevel"/>
    <w:tmpl w:val="DCBE250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nsid w:val="0C9135BC"/>
    <w:multiLevelType w:val="multilevel"/>
    <w:tmpl w:val="6C3224B0"/>
    <w:lvl w:ilvl="0">
      <w:start w:val="1"/>
      <w:numFmt w:val="none"/>
      <w:pStyle w:val="Heading1"/>
      <w:suff w:val="nothing"/>
      <w:lvlText w:val="%1"/>
      <w:lvlJc w:val="left"/>
      <w:pPr>
        <w:ind w:left="0" w:firstLine="0"/>
      </w:pPr>
      <w:rPr>
        <w:rFonts w:ascii="Times New Roman Bold" w:hAnsi="Times New Roman Bold" w:hint="default"/>
        <w:b/>
        <w:i w:val="0"/>
        <w:caps w:val="0"/>
        <w:outline w:val="0"/>
        <w:shadow w:val="0"/>
        <w:emboss w:val="0"/>
        <w:imprint w:val="0"/>
        <w:vanish w:val="0"/>
        <w:sz w:val="32"/>
        <w:vertAlign w:val="baseline"/>
      </w:rPr>
    </w:lvl>
    <w:lvl w:ilvl="1">
      <w:start w:val="1"/>
      <w:numFmt w:val="decimal"/>
      <w:lvlRestart w:val="0"/>
      <w:pStyle w:val="Heading2"/>
      <w:lvlText w:val="%1%2."/>
      <w:lvlJc w:val="left"/>
      <w:pPr>
        <w:ind w:left="576" w:hanging="576"/>
      </w:pPr>
      <w:rPr>
        <w:rFonts w:ascii="Times New Roman Bold" w:hAnsi="Times New Roman Bold" w:hint="default"/>
        <w:b/>
        <w:i w:val="0"/>
        <w:caps w:val="0"/>
        <w:outline w:val="0"/>
        <w:shadow w:val="0"/>
        <w:emboss w:val="0"/>
        <w:imprint w:val="0"/>
        <w:vanish w:val="0"/>
        <w:sz w:val="22"/>
        <w:vertAlign w:val="baseline"/>
      </w:rPr>
    </w:lvl>
    <w:lvl w:ilvl="2">
      <w:start w:val="1"/>
      <w:numFmt w:val="decimal"/>
      <w:pStyle w:val="Heading3"/>
      <w:lvlText w:val="%1%2.%3."/>
      <w:lvlJc w:val="left"/>
      <w:pPr>
        <w:ind w:left="720" w:hanging="720"/>
      </w:pPr>
      <w:rPr>
        <w:rFonts w:hint="default"/>
        <w:b w:val="0"/>
        <w:i w:val="0"/>
      </w:rPr>
    </w:lvl>
    <w:lvl w:ilvl="3">
      <w:start w:val="1"/>
      <w:numFmt w:val="decimal"/>
      <w:pStyle w:val="Heading4"/>
      <w:lvlText w:val="%1%2.%3.%4."/>
      <w:lvlJc w:val="left"/>
      <w:pPr>
        <w:tabs>
          <w:tab w:val="num" w:pos="1418"/>
        </w:tabs>
        <w:ind w:left="1418" w:hanging="851"/>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nsid w:val="100541F1"/>
    <w:multiLevelType w:val="singleLevel"/>
    <w:tmpl w:val="FEE65F1C"/>
    <w:lvl w:ilvl="0">
      <w:start w:val="1"/>
      <w:numFmt w:val="bullet"/>
      <w:lvlText w:val=""/>
      <w:lvlJc w:val="left"/>
      <w:pPr>
        <w:tabs>
          <w:tab w:val="num" w:pos="360"/>
        </w:tabs>
        <w:ind w:left="360" w:hanging="360"/>
      </w:pPr>
      <w:rPr>
        <w:rFonts w:ascii="Symbol" w:hAnsi="Symbol" w:hint="default"/>
      </w:rPr>
    </w:lvl>
  </w:abstractNum>
  <w:abstractNum w:abstractNumId="4">
    <w:nsid w:val="168A60CD"/>
    <w:multiLevelType w:val="multilevel"/>
    <w:tmpl w:val="D292E6C0"/>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20807D96"/>
    <w:multiLevelType w:val="multilevel"/>
    <w:tmpl w:val="4B4AA6B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nsid w:val="26E8531A"/>
    <w:multiLevelType w:val="multilevel"/>
    <w:tmpl w:val="99D4FBF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nsid w:val="271D41EC"/>
    <w:multiLevelType w:val="multilevel"/>
    <w:tmpl w:val="9E5CBFC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nsid w:val="29F838E8"/>
    <w:multiLevelType w:val="multilevel"/>
    <w:tmpl w:val="C562CD0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nsid w:val="2A2D2D8B"/>
    <w:multiLevelType w:val="multilevel"/>
    <w:tmpl w:val="C17060F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nsid w:val="2DA9720C"/>
    <w:multiLevelType w:val="multilevel"/>
    <w:tmpl w:val="F89AC9D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nsid w:val="31EE321E"/>
    <w:multiLevelType w:val="multilevel"/>
    <w:tmpl w:val="CA8036B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nsid w:val="37C70B37"/>
    <w:multiLevelType w:val="multilevel"/>
    <w:tmpl w:val="EE7EE40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nsid w:val="3EEB7004"/>
    <w:multiLevelType w:val="multilevel"/>
    <w:tmpl w:val="2EAE20F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nsid w:val="40B47EEC"/>
    <w:multiLevelType w:val="multilevel"/>
    <w:tmpl w:val="E4D41E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nsid w:val="45E81C6E"/>
    <w:multiLevelType w:val="multilevel"/>
    <w:tmpl w:val="CB98157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nsid w:val="46B664E1"/>
    <w:multiLevelType w:val="multilevel"/>
    <w:tmpl w:val="97343BD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nsid w:val="47A4321E"/>
    <w:multiLevelType w:val="hybridMultilevel"/>
    <w:tmpl w:val="D65032CC"/>
    <w:lvl w:ilvl="0" w:tplc="446683E2">
      <w:start w:val="1"/>
      <w:numFmt w:val="decimal"/>
      <w:lvlText w:val="%1."/>
      <w:lvlJc w:val="left"/>
      <w:pPr>
        <w:tabs>
          <w:tab w:val="num" w:pos="1134"/>
        </w:tabs>
        <w:ind w:left="1134" w:hanging="567"/>
      </w:pPr>
      <w:rPr>
        <w:rFonts w:ascii="Times New Roman" w:hAnsi="Times New Roman" w:hint="default"/>
        <w:b/>
        <w:i w:val="0"/>
        <w:sz w:val="22"/>
        <w:szCs w:val="22"/>
      </w:rPr>
    </w:lvl>
    <w:lvl w:ilvl="1" w:tplc="EA929416" w:tentative="1">
      <w:start w:val="1"/>
      <w:numFmt w:val="lowerLetter"/>
      <w:lvlText w:val="%2."/>
      <w:lvlJc w:val="left"/>
      <w:pPr>
        <w:tabs>
          <w:tab w:val="num" w:pos="1440"/>
        </w:tabs>
        <w:ind w:left="1440" w:hanging="360"/>
      </w:pPr>
    </w:lvl>
    <w:lvl w:ilvl="2" w:tplc="BCEE6BF2" w:tentative="1">
      <w:start w:val="1"/>
      <w:numFmt w:val="lowerRoman"/>
      <w:lvlText w:val="%3."/>
      <w:lvlJc w:val="right"/>
      <w:pPr>
        <w:tabs>
          <w:tab w:val="num" w:pos="2160"/>
        </w:tabs>
        <w:ind w:left="2160" w:hanging="180"/>
      </w:pPr>
    </w:lvl>
    <w:lvl w:ilvl="3" w:tplc="AB44F03E" w:tentative="1">
      <w:start w:val="1"/>
      <w:numFmt w:val="decimal"/>
      <w:lvlText w:val="%4."/>
      <w:lvlJc w:val="left"/>
      <w:pPr>
        <w:tabs>
          <w:tab w:val="num" w:pos="2880"/>
        </w:tabs>
        <w:ind w:left="2880" w:hanging="360"/>
      </w:pPr>
    </w:lvl>
    <w:lvl w:ilvl="4" w:tplc="32404CA2" w:tentative="1">
      <w:start w:val="1"/>
      <w:numFmt w:val="lowerLetter"/>
      <w:lvlText w:val="%5."/>
      <w:lvlJc w:val="left"/>
      <w:pPr>
        <w:tabs>
          <w:tab w:val="num" w:pos="3600"/>
        </w:tabs>
        <w:ind w:left="3600" w:hanging="360"/>
      </w:pPr>
    </w:lvl>
    <w:lvl w:ilvl="5" w:tplc="3DCE7CC2" w:tentative="1">
      <w:start w:val="1"/>
      <w:numFmt w:val="lowerRoman"/>
      <w:lvlText w:val="%6."/>
      <w:lvlJc w:val="right"/>
      <w:pPr>
        <w:tabs>
          <w:tab w:val="num" w:pos="4320"/>
        </w:tabs>
        <w:ind w:left="4320" w:hanging="180"/>
      </w:pPr>
    </w:lvl>
    <w:lvl w:ilvl="6" w:tplc="B8AAF1F2" w:tentative="1">
      <w:start w:val="1"/>
      <w:numFmt w:val="decimal"/>
      <w:lvlText w:val="%7."/>
      <w:lvlJc w:val="left"/>
      <w:pPr>
        <w:tabs>
          <w:tab w:val="num" w:pos="5040"/>
        </w:tabs>
        <w:ind w:left="5040" w:hanging="360"/>
      </w:pPr>
    </w:lvl>
    <w:lvl w:ilvl="7" w:tplc="96E0BF28" w:tentative="1">
      <w:start w:val="1"/>
      <w:numFmt w:val="lowerLetter"/>
      <w:lvlText w:val="%8."/>
      <w:lvlJc w:val="left"/>
      <w:pPr>
        <w:tabs>
          <w:tab w:val="num" w:pos="5760"/>
        </w:tabs>
        <w:ind w:left="5760" w:hanging="360"/>
      </w:pPr>
    </w:lvl>
    <w:lvl w:ilvl="8" w:tplc="0C80EF26" w:tentative="1">
      <w:start w:val="1"/>
      <w:numFmt w:val="lowerRoman"/>
      <w:lvlText w:val="%9."/>
      <w:lvlJc w:val="right"/>
      <w:pPr>
        <w:tabs>
          <w:tab w:val="num" w:pos="6480"/>
        </w:tabs>
        <w:ind w:left="6480" w:hanging="180"/>
      </w:pPr>
    </w:lvl>
  </w:abstractNum>
  <w:abstractNum w:abstractNumId="18">
    <w:nsid w:val="4D2137F8"/>
    <w:multiLevelType w:val="singleLevel"/>
    <w:tmpl w:val="BE487CDE"/>
    <w:lvl w:ilvl="0">
      <w:start w:val="1"/>
      <w:numFmt w:val="lowerLetter"/>
      <w:lvlText w:val="%1)"/>
      <w:lvlJc w:val="left"/>
      <w:pPr>
        <w:tabs>
          <w:tab w:val="num" w:pos="570"/>
        </w:tabs>
        <w:ind w:left="570" w:hanging="570"/>
      </w:pPr>
      <w:rPr>
        <w:rFonts w:hint="default"/>
      </w:rPr>
    </w:lvl>
  </w:abstractNum>
  <w:abstractNum w:abstractNumId="19">
    <w:nsid w:val="508D7415"/>
    <w:multiLevelType w:val="hybridMultilevel"/>
    <w:tmpl w:val="3E6E96E0"/>
    <w:lvl w:ilvl="0" w:tplc="B3FAFCA2">
      <w:start w:val="1"/>
      <w:numFmt w:val="lowerLetter"/>
      <w:lvlText w:val="%1)"/>
      <w:lvlJc w:val="left"/>
      <w:pPr>
        <w:ind w:left="1287" w:hanging="360"/>
      </w:pPr>
    </w:lvl>
    <w:lvl w:ilvl="1" w:tplc="8590791A" w:tentative="1">
      <w:start w:val="1"/>
      <w:numFmt w:val="lowerLetter"/>
      <w:lvlText w:val="%2."/>
      <w:lvlJc w:val="left"/>
      <w:pPr>
        <w:ind w:left="2007" w:hanging="360"/>
      </w:pPr>
    </w:lvl>
    <w:lvl w:ilvl="2" w:tplc="4A76210C" w:tentative="1">
      <w:start w:val="1"/>
      <w:numFmt w:val="lowerRoman"/>
      <w:lvlText w:val="%3."/>
      <w:lvlJc w:val="right"/>
      <w:pPr>
        <w:ind w:left="2727" w:hanging="180"/>
      </w:pPr>
    </w:lvl>
    <w:lvl w:ilvl="3" w:tplc="1EC60F90" w:tentative="1">
      <w:start w:val="1"/>
      <w:numFmt w:val="decimal"/>
      <w:lvlText w:val="%4."/>
      <w:lvlJc w:val="left"/>
      <w:pPr>
        <w:ind w:left="3447" w:hanging="360"/>
      </w:pPr>
    </w:lvl>
    <w:lvl w:ilvl="4" w:tplc="6AA242A6" w:tentative="1">
      <w:start w:val="1"/>
      <w:numFmt w:val="lowerLetter"/>
      <w:lvlText w:val="%5."/>
      <w:lvlJc w:val="left"/>
      <w:pPr>
        <w:ind w:left="4167" w:hanging="360"/>
      </w:pPr>
    </w:lvl>
    <w:lvl w:ilvl="5" w:tplc="68F04B5A" w:tentative="1">
      <w:start w:val="1"/>
      <w:numFmt w:val="lowerRoman"/>
      <w:lvlText w:val="%6."/>
      <w:lvlJc w:val="right"/>
      <w:pPr>
        <w:ind w:left="4887" w:hanging="180"/>
      </w:pPr>
    </w:lvl>
    <w:lvl w:ilvl="6" w:tplc="1DBE896E" w:tentative="1">
      <w:start w:val="1"/>
      <w:numFmt w:val="decimal"/>
      <w:lvlText w:val="%7."/>
      <w:lvlJc w:val="left"/>
      <w:pPr>
        <w:ind w:left="5607" w:hanging="360"/>
      </w:pPr>
    </w:lvl>
    <w:lvl w:ilvl="7" w:tplc="ABA0888A" w:tentative="1">
      <w:start w:val="1"/>
      <w:numFmt w:val="lowerLetter"/>
      <w:lvlText w:val="%8."/>
      <w:lvlJc w:val="left"/>
      <w:pPr>
        <w:ind w:left="6327" w:hanging="360"/>
      </w:pPr>
    </w:lvl>
    <w:lvl w:ilvl="8" w:tplc="A872AABA" w:tentative="1">
      <w:start w:val="1"/>
      <w:numFmt w:val="lowerRoman"/>
      <w:lvlText w:val="%9."/>
      <w:lvlJc w:val="right"/>
      <w:pPr>
        <w:ind w:left="7047" w:hanging="180"/>
      </w:pPr>
    </w:lvl>
  </w:abstractNum>
  <w:abstractNum w:abstractNumId="20">
    <w:nsid w:val="510D3551"/>
    <w:multiLevelType w:val="multilevel"/>
    <w:tmpl w:val="5022AE9A"/>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nsid w:val="54F8016B"/>
    <w:multiLevelType w:val="multilevel"/>
    <w:tmpl w:val="3A3A484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nsid w:val="55473C6A"/>
    <w:multiLevelType w:val="singleLevel"/>
    <w:tmpl w:val="EB9A214E"/>
    <w:lvl w:ilvl="0">
      <w:start w:val="1"/>
      <w:numFmt w:val="bullet"/>
      <w:lvlText w:val=""/>
      <w:lvlJc w:val="left"/>
      <w:pPr>
        <w:tabs>
          <w:tab w:val="num" w:pos="360"/>
        </w:tabs>
        <w:ind w:left="360" w:hanging="360"/>
      </w:pPr>
      <w:rPr>
        <w:rFonts w:ascii="Symbol" w:hAnsi="Symbol" w:hint="default"/>
      </w:rPr>
    </w:lvl>
  </w:abstractNum>
  <w:abstractNum w:abstractNumId="23">
    <w:nsid w:val="57791042"/>
    <w:multiLevelType w:val="multilevel"/>
    <w:tmpl w:val="D930ABC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nsid w:val="5A0C51DC"/>
    <w:multiLevelType w:val="multilevel"/>
    <w:tmpl w:val="50AC549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nsid w:val="5C9C1E81"/>
    <w:multiLevelType w:val="multilevel"/>
    <w:tmpl w:val="D6B8F37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nsid w:val="61C80E47"/>
    <w:multiLevelType w:val="singleLevel"/>
    <w:tmpl w:val="BC4C2D22"/>
    <w:lvl w:ilvl="0">
      <w:start w:val="1"/>
      <w:numFmt w:val="bullet"/>
      <w:lvlText w:val=""/>
      <w:lvlJc w:val="left"/>
      <w:pPr>
        <w:tabs>
          <w:tab w:val="num" w:pos="360"/>
        </w:tabs>
        <w:ind w:left="360" w:hanging="360"/>
      </w:pPr>
      <w:rPr>
        <w:rFonts w:ascii="Symbol" w:hAnsi="Symbol" w:hint="default"/>
      </w:rPr>
    </w:lvl>
  </w:abstractNum>
  <w:abstractNum w:abstractNumId="27">
    <w:nsid w:val="61F072CA"/>
    <w:multiLevelType w:val="hybridMultilevel"/>
    <w:tmpl w:val="F0FEFD28"/>
    <w:lvl w:ilvl="0" w:tplc="A5645834">
      <w:start w:val="1"/>
      <w:numFmt w:val="bullet"/>
      <w:lvlText w:val=""/>
      <w:lvlJc w:val="left"/>
      <w:pPr>
        <w:ind w:left="1854" w:hanging="360"/>
      </w:pPr>
      <w:rPr>
        <w:rFonts w:ascii="Symbol" w:hAnsi="Symbol" w:hint="default"/>
      </w:rPr>
    </w:lvl>
    <w:lvl w:ilvl="1" w:tplc="5D202B88" w:tentative="1">
      <w:start w:val="1"/>
      <w:numFmt w:val="bullet"/>
      <w:lvlText w:val="o"/>
      <w:lvlJc w:val="left"/>
      <w:pPr>
        <w:ind w:left="2574" w:hanging="360"/>
      </w:pPr>
      <w:rPr>
        <w:rFonts w:ascii="Courier New" w:hAnsi="Courier New" w:cs="Wingdings" w:hint="default"/>
      </w:rPr>
    </w:lvl>
    <w:lvl w:ilvl="2" w:tplc="818C5074" w:tentative="1">
      <w:start w:val="1"/>
      <w:numFmt w:val="bullet"/>
      <w:lvlText w:val=""/>
      <w:lvlJc w:val="left"/>
      <w:pPr>
        <w:ind w:left="3294" w:hanging="360"/>
      </w:pPr>
      <w:rPr>
        <w:rFonts w:ascii="Wingdings" w:hAnsi="Wingdings" w:hint="default"/>
      </w:rPr>
    </w:lvl>
    <w:lvl w:ilvl="3" w:tplc="0C82533A" w:tentative="1">
      <w:start w:val="1"/>
      <w:numFmt w:val="bullet"/>
      <w:lvlText w:val=""/>
      <w:lvlJc w:val="left"/>
      <w:pPr>
        <w:ind w:left="4014" w:hanging="360"/>
      </w:pPr>
      <w:rPr>
        <w:rFonts w:ascii="Symbol" w:hAnsi="Symbol" w:hint="default"/>
      </w:rPr>
    </w:lvl>
    <w:lvl w:ilvl="4" w:tplc="470E6ED0" w:tentative="1">
      <w:start w:val="1"/>
      <w:numFmt w:val="bullet"/>
      <w:lvlText w:val="o"/>
      <w:lvlJc w:val="left"/>
      <w:pPr>
        <w:ind w:left="4734" w:hanging="360"/>
      </w:pPr>
      <w:rPr>
        <w:rFonts w:ascii="Courier New" w:hAnsi="Courier New" w:cs="Wingdings" w:hint="default"/>
      </w:rPr>
    </w:lvl>
    <w:lvl w:ilvl="5" w:tplc="86A25710" w:tentative="1">
      <w:start w:val="1"/>
      <w:numFmt w:val="bullet"/>
      <w:lvlText w:val=""/>
      <w:lvlJc w:val="left"/>
      <w:pPr>
        <w:ind w:left="5454" w:hanging="360"/>
      </w:pPr>
      <w:rPr>
        <w:rFonts w:ascii="Wingdings" w:hAnsi="Wingdings" w:hint="default"/>
      </w:rPr>
    </w:lvl>
    <w:lvl w:ilvl="6" w:tplc="62023D58" w:tentative="1">
      <w:start w:val="1"/>
      <w:numFmt w:val="bullet"/>
      <w:lvlText w:val=""/>
      <w:lvlJc w:val="left"/>
      <w:pPr>
        <w:ind w:left="6174" w:hanging="360"/>
      </w:pPr>
      <w:rPr>
        <w:rFonts w:ascii="Symbol" w:hAnsi="Symbol" w:hint="default"/>
      </w:rPr>
    </w:lvl>
    <w:lvl w:ilvl="7" w:tplc="C22CB13C" w:tentative="1">
      <w:start w:val="1"/>
      <w:numFmt w:val="bullet"/>
      <w:lvlText w:val="o"/>
      <w:lvlJc w:val="left"/>
      <w:pPr>
        <w:ind w:left="6894" w:hanging="360"/>
      </w:pPr>
      <w:rPr>
        <w:rFonts w:ascii="Courier New" w:hAnsi="Courier New" w:cs="Wingdings" w:hint="default"/>
      </w:rPr>
    </w:lvl>
    <w:lvl w:ilvl="8" w:tplc="FE7A53A4" w:tentative="1">
      <w:start w:val="1"/>
      <w:numFmt w:val="bullet"/>
      <w:lvlText w:val=""/>
      <w:lvlJc w:val="left"/>
      <w:pPr>
        <w:ind w:left="7614" w:hanging="360"/>
      </w:pPr>
      <w:rPr>
        <w:rFonts w:ascii="Wingdings" w:hAnsi="Wingdings" w:hint="default"/>
      </w:rPr>
    </w:lvl>
  </w:abstractNum>
  <w:abstractNum w:abstractNumId="28">
    <w:nsid w:val="67AA428B"/>
    <w:multiLevelType w:val="multilevel"/>
    <w:tmpl w:val="072C9F1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9">
    <w:nsid w:val="6BAE5122"/>
    <w:multiLevelType w:val="multilevel"/>
    <w:tmpl w:val="98CC53DC"/>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E032ABB"/>
    <w:multiLevelType w:val="multilevel"/>
    <w:tmpl w:val="E4F88EEC"/>
    <w:lvl w:ilvl="0">
      <w:start w:val="1"/>
      <w:numFmt w:val="decimal"/>
      <w:lvlText w:val="%1."/>
      <w:lvlJc w:val="left"/>
      <w:pPr>
        <w:tabs>
          <w:tab w:val="num" w:pos="851"/>
        </w:tabs>
        <w:ind w:left="851"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734742F2"/>
    <w:multiLevelType w:val="multilevel"/>
    <w:tmpl w:val="DB6C4D6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2">
    <w:nsid w:val="738F1037"/>
    <w:multiLevelType w:val="multilevel"/>
    <w:tmpl w:val="9F0C2E8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3">
    <w:nsid w:val="747924CA"/>
    <w:multiLevelType w:val="multilevel"/>
    <w:tmpl w:val="2256C7B2"/>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4">
    <w:nsid w:val="74A815BD"/>
    <w:multiLevelType w:val="multilevel"/>
    <w:tmpl w:val="3D0C6F8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5">
    <w:nsid w:val="7B8D20FC"/>
    <w:multiLevelType w:val="multilevel"/>
    <w:tmpl w:val="4D68E18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6">
    <w:nsid w:val="7CA2277E"/>
    <w:multiLevelType w:val="hybridMultilevel"/>
    <w:tmpl w:val="A354773A"/>
    <w:lvl w:ilvl="0" w:tplc="65665270">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E79E4B4E">
      <w:start w:val="1"/>
      <w:numFmt w:val="lowerLetter"/>
      <w:lvlText w:val="%2."/>
      <w:lvlJc w:val="left"/>
      <w:pPr>
        <w:tabs>
          <w:tab w:val="num" w:pos="1440"/>
        </w:tabs>
        <w:ind w:left="1440" w:hanging="360"/>
      </w:pPr>
    </w:lvl>
    <w:lvl w:ilvl="2" w:tplc="4DECDD92" w:tentative="1">
      <w:start w:val="1"/>
      <w:numFmt w:val="lowerRoman"/>
      <w:lvlText w:val="%3."/>
      <w:lvlJc w:val="right"/>
      <w:pPr>
        <w:tabs>
          <w:tab w:val="num" w:pos="2160"/>
        </w:tabs>
        <w:ind w:left="2160" w:hanging="180"/>
      </w:pPr>
    </w:lvl>
    <w:lvl w:ilvl="3" w:tplc="E1B43096" w:tentative="1">
      <w:start w:val="1"/>
      <w:numFmt w:val="decimal"/>
      <w:lvlText w:val="%4."/>
      <w:lvlJc w:val="left"/>
      <w:pPr>
        <w:tabs>
          <w:tab w:val="num" w:pos="2880"/>
        </w:tabs>
        <w:ind w:left="2880" w:hanging="360"/>
      </w:pPr>
    </w:lvl>
    <w:lvl w:ilvl="4" w:tplc="678E0E68" w:tentative="1">
      <w:start w:val="1"/>
      <w:numFmt w:val="lowerLetter"/>
      <w:lvlText w:val="%5."/>
      <w:lvlJc w:val="left"/>
      <w:pPr>
        <w:tabs>
          <w:tab w:val="num" w:pos="3600"/>
        </w:tabs>
        <w:ind w:left="3600" w:hanging="360"/>
      </w:pPr>
    </w:lvl>
    <w:lvl w:ilvl="5" w:tplc="F8CE95CA" w:tentative="1">
      <w:start w:val="1"/>
      <w:numFmt w:val="lowerRoman"/>
      <w:lvlText w:val="%6."/>
      <w:lvlJc w:val="right"/>
      <w:pPr>
        <w:tabs>
          <w:tab w:val="num" w:pos="4320"/>
        </w:tabs>
        <w:ind w:left="4320" w:hanging="180"/>
      </w:pPr>
    </w:lvl>
    <w:lvl w:ilvl="6" w:tplc="D0F254D2" w:tentative="1">
      <w:start w:val="1"/>
      <w:numFmt w:val="decimal"/>
      <w:lvlText w:val="%7."/>
      <w:lvlJc w:val="left"/>
      <w:pPr>
        <w:tabs>
          <w:tab w:val="num" w:pos="5040"/>
        </w:tabs>
        <w:ind w:left="5040" w:hanging="360"/>
      </w:pPr>
    </w:lvl>
    <w:lvl w:ilvl="7" w:tplc="753E6790" w:tentative="1">
      <w:start w:val="1"/>
      <w:numFmt w:val="lowerLetter"/>
      <w:lvlText w:val="%8."/>
      <w:lvlJc w:val="left"/>
      <w:pPr>
        <w:tabs>
          <w:tab w:val="num" w:pos="5760"/>
        </w:tabs>
        <w:ind w:left="5760" w:hanging="360"/>
      </w:pPr>
    </w:lvl>
    <w:lvl w:ilvl="8" w:tplc="6D3E6220" w:tentative="1">
      <w:start w:val="1"/>
      <w:numFmt w:val="lowerRoman"/>
      <w:lvlText w:val="%9."/>
      <w:lvlJc w:val="right"/>
      <w:pPr>
        <w:tabs>
          <w:tab w:val="num" w:pos="6480"/>
        </w:tabs>
        <w:ind w:left="6480" w:hanging="180"/>
      </w:pPr>
    </w:lvl>
  </w:abstractNum>
  <w:abstractNum w:abstractNumId="37">
    <w:nsid w:val="7DD52743"/>
    <w:multiLevelType w:val="multilevel"/>
    <w:tmpl w:val="049E8E70"/>
    <w:lvl w:ilvl="0">
      <w:start w:val="1"/>
      <w:numFmt w:val="decimal"/>
      <w:lvlText w:val="%1."/>
      <w:lvlJc w:val="left"/>
      <w:pPr>
        <w:tabs>
          <w:tab w:val="num" w:pos="1418"/>
        </w:tabs>
        <w:ind w:left="1418" w:hanging="567"/>
      </w:pPr>
      <w:rPr>
        <w:rFonts w:ascii="Times New Roman" w:hAnsi="Times New Roman" w:hint="default"/>
        <w:b/>
        <w:i w:val="0"/>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nsid w:val="7E3C169A"/>
    <w:multiLevelType w:val="multilevel"/>
    <w:tmpl w:val="69DC9FB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9">
    <w:nsid w:val="7F6F0C95"/>
    <w:multiLevelType w:val="hybridMultilevel"/>
    <w:tmpl w:val="B4FE10CA"/>
    <w:lvl w:ilvl="0" w:tplc="7FC06AC2">
      <w:start w:val="1"/>
      <w:numFmt w:val="decimal"/>
      <w:lvlText w:val="%1."/>
      <w:lvlJc w:val="left"/>
      <w:pPr>
        <w:tabs>
          <w:tab w:val="num" w:pos="704"/>
        </w:tabs>
        <w:ind w:left="704" w:hanging="420"/>
      </w:pPr>
      <w:rPr>
        <w:rFonts w:hint="default"/>
      </w:rPr>
    </w:lvl>
    <w:lvl w:ilvl="1" w:tplc="03DA3F8E" w:tentative="1">
      <w:start w:val="1"/>
      <w:numFmt w:val="lowerLetter"/>
      <w:lvlText w:val="%2."/>
      <w:lvlJc w:val="left"/>
      <w:pPr>
        <w:tabs>
          <w:tab w:val="num" w:pos="1364"/>
        </w:tabs>
        <w:ind w:left="1364" w:hanging="360"/>
      </w:pPr>
    </w:lvl>
    <w:lvl w:ilvl="2" w:tplc="BFAC9CCA" w:tentative="1">
      <w:start w:val="1"/>
      <w:numFmt w:val="lowerRoman"/>
      <w:lvlText w:val="%3."/>
      <w:lvlJc w:val="right"/>
      <w:pPr>
        <w:tabs>
          <w:tab w:val="num" w:pos="2084"/>
        </w:tabs>
        <w:ind w:left="2084" w:hanging="180"/>
      </w:pPr>
    </w:lvl>
    <w:lvl w:ilvl="3" w:tplc="6E6EFA1C" w:tentative="1">
      <w:start w:val="1"/>
      <w:numFmt w:val="decimal"/>
      <w:lvlText w:val="%4."/>
      <w:lvlJc w:val="left"/>
      <w:pPr>
        <w:tabs>
          <w:tab w:val="num" w:pos="2804"/>
        </w:tabs>
        <w:ind w:left="2804" w:hanging="360"/>
      </w:pPr>
    </w:lvl>
    <w:lvl w:ilvl="4" w:tplc="90DAA550" w:tentative="1">
      <w:start w:val="1"/>
      <w:numFmt w:val="lowerLetter"/>
      <w:lvlText w:val="%5."/>
      <w:lvlJc w:val="left"/>
      <w:pPr>
        <w:tabs>
          <w:tab w:val="num" w:pos="3524"/>
        </w:tabs>
        <w:ind w:left="3524" w:hanging="360"/>
      </w:pPr>
    </w:lvl>
    <w:lvl w:ilvl="5" w:tplc="8F66CBEA" w:tentative="1">
      <w:start w:val="1"/>
      <w:numFmt w:val="lowerRoman"/>
      <w:lvlText w:val="%6."/>
      <w:lvlJc w:val="right"/>
      <w:pPr>
        <w:tabs>
          <w:tab w:val="num" w:pos="4244"/>
        </w:tabs>
        <w:ind w:left="4244" w:hanging="180"/>
      </w:pPr>
    </w:lvl>
    <w:lvl w:ilvl="6" w:tplc="62B2E204" w:tentative="1">
      <w:start w:val="1"/>
      <w:numFmt w:val="decimal"/>
      <w:lvlText w:val="%7."/>
      <w:lvlJc w:val="left"/>
      <w:pPr>
        <w:tabs>
          <w:tab w:val="num" w:pos="4964"/>
        </w:tabs>
        <w:ind w:left="4964" w:hanging="360"/>
      </w:pPr>
    </w:lvl>
    <w:lvl w:ilvl="7" w:tplc="31A4C416" w:tentative="1">
      <w:start w:val="1"/>
      <w:numFmt w:val="lowerLetter"/>
      <w:lvlText w:val="%8."/>
      <w:lvlJc w:val="left"/>
      <w:pPr>
        <w:tabs>
          <w:tab w:val="num" w:pos="5684"/>
        </w:tabs>
        <w:ind w:left="5684" w:hanging="360"/>
      </w:pPr>
    </w:lvl>
    <w:lvl w:ilvl="8" w:tplc="FF981172" w:tentative="1">
      <w:start w:val="1"/>
      <w:numFmt w:val="lowerRoman"/>
      <w:lvlText w:val="%9."/>
      <w:lvlJc w:val="right"/>
      <w:pPr>
        <w:tabs>
          <w:tab w:val="num" w:pos="6404"/>
        </w:tabs>
        <w:ind w:left="6404" w:hanging="180"/>
      </w:pPr>
    </w:lvl>
  </w:abstractNum>
  <w:abstractNum w:abstractNumId="40">
    <w:nsid w:val="7FC61DE9"/>
    <w:multiLevelType w:val="multilevel"/>
    <w:tmpl w:val="75D01B9C"/>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num w:numId="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3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28"/>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3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2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4"/>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9"/>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24"/>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8"/>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3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20"/>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33"/>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3"/>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31"/>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5"/>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3"/>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10"/>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6"/>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40"/>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1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29"/>
    <w:lvlOverride w:ilvl="0">
      <w:lvl w:ilvl="0">
        <w:numFmt w:val="bullet"/>
        <w:lvlText w:val=""/>
        <w:lvlJc w:val="left"/>
        <w:pPr>
          <w:ind w:left="720" w:hanging="360"/>
        </w:pPr>
        <w:rPr>
          <w:rFonts w:ascii="Times New Roman" w:hAnsi="Times New Roman" w:hint="default"/>
        </w:rPr>
      </w:lvl>
    </w:lvlOverride>
  </w:num>
  <w:num w:numId="27">
    <w:abstractNumId w:val="3"/>
  </w:num>
  <w:num w:numId="28">
    <w:abstractNumId w:val="26"/>
  </w:num>
  <w:num w:numId="29">
    <w:abstractNumId w:val="22"/>
  </w:num>
  <w:num w:numId="30">
    <w:abstractNumId w:val="29"/>
    <w:lvlOverride w:ilvl="0">
      <w:lvl w:ilvl="0">
        <w:numFmt w:val="bullet"/>
        <w:lvlText w:val=""/>
        <w:lvlJc w:val="left"/>
        <w:pPr>
          <w:ind w:left="0" w:hanging="360"/>
        </w:pPr>
        <w:rPr>
          <w:rFonts w:ascii="Symbol" w:hAnsi="Symbol" w:hint="default"/>
        </w:rPr>
      </w:lvl>
    </w:lvlOverride>
  </w:num>
  <w:num w:numId="31">
    <w:abstractNumId w:val="36"/>
  </w:num>
  <w:num w:numId="32">
    <w:abstractNumId w:val="39"/>
  </w:num>
  <w:num w:numId="33">
    <w:abstractNumId w:val="37"/>
  </w:num>
  <w:num w:numId="34">
    <w:abstractNumId w:val="36"/>
    <w:lvlOverride w:ilvl="0">
      <w:startOverride w:val="1"/>
    </w:lvlOverride>
  </w:num>
  <w:num w:numId="35">
    <w:abstractNumId w:val="4"/>
  </w:num>
  <w:num w:numId="36">
    <w:abstractNumId w:val="30"/>
  </w:num>
  <w:num w:numId="37">
    <w:abstractNumId w:val="17"/>
  </w:num>
  <w:num w:numId="38">
    <w:abstractNumId w:val="36"/>
    <w:lvlOverride w:ilvl="0">
      <w:startOverride w:val="1"/>
    </w:lvlOverride>
  </w:num>
  <w:num w:numId="39">
    <w:abstractNumId w:val="18"/>
  </w:num>
  <w:num w:numId="40">
    <w:abstractNumId w:val="27"/>
  </w:num>
  <w:num w:numId="41">
    <w:abstractNumId w:val="19"/>
  </w:num>
  <w:num w:numId="42">
    <w:abstractNumId w:val="0"/>
  </w:num>
  <w:num w:numId="4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stylePaneFormatFilter w:val="3F01"/>
  <w:doNotTrackMoves/>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5122"/>
  </w:hdrShapeDefaults>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docVars>
    <w:docVar w:name="LW_DocType" w:val="NORMAL"/>
  </w:docVars>
  <w:rsids>
    <w:rsidRoot w:val="00C733BD"/>
    <w:rsid w:val="000132F4"/>
    <w:rsid w:val="000158F3"/>
    <w:rsid w:val="00015F72"/>
    <w:rsid w:val="0002576E"/>
    <w:rsid w:val="00040BD0"/>
    <w:rsid w:val="00046700"/>
    <w:rsid w:val="00047785"/>
    <w:rsid w:val="00061733"/>
    <w:rsid w:val="00065E5A"/>
    <w:rsid w:val="00072A47"/>
    <w:rsid w:val="000824D8"/>
    <w:rsid w:val="00082A64"/>
    <w:rsid w:val="00090FAB"/>
    <w:rsid w:val="00096962"/>
    <w:rsid w:val="000B5CA1"/>
    <w:rsid w:val="000D17E3"/>
    <w:rsid w:val="000D65F3"/>
    <w:rsid w:val="000E27C4"/>
    <w:rsid w:val="000E7FF7"/>
    <w:rsid w:val="000F07CD"/>
    <w:rsid w:val="000F67CD"/>
    <w:rsid w:val="00113543"/>
    <w:rsid w:val="0012198B"/>
    <w:rsid w:val="00124E3D"/>
    <w:rsid w:val="001408AF"/>
    <w:rsid w:val="001409A5"/>
    <w:rsid w:val="00144A03"/>
    <w:rsid w:val="00146F24"/>
    <w:rsid w:val="0016067C"/>
    <w:rsid w:val="00172778"/>
    <w:rsid w:val="0017755B"/>
    <w:rsid w:val="00184185"/>
    <w:rsid w:val="00193AA4"/>
    <w:rsid w:val="001A65EB"/>
    <w:rsid w:val="001C552D"/>
    <w:rsid w:val="001D5D4B"/>
    <w:rsid w:val="001D6F33"/>
    <w:rsid w:val="001E290D"/>
    <w:rsid w:val="00202C77"/>
    <w:rsid w:val="002139C6"/>
    <w:rsid w:val="00226910"/>
    <w:rsid w:val="00240E69"/>
    <w:rsid w:val="0025570B"/>
    <w:rsid w:val="002622DE"/>
    <w:rsid w:val="002654E1"/>
    <w:rsid w:val="00272709"/>
    <w:rsid w:val="00276D41"/>
    <w:rsid w:val="00283DDC"/>
    <w:rsid w:val="0029420A"/>
    <w:rsid w:val="002A0F9A"/>
    <w:rsid w:val="002A7B14"/>
    <w:rsid w:val="002B0469"/>
    <w:rsid w:val="002B6113"/>
    <w:rsid w:val="002D75F2"/>
    <w:rsid w:val="002D7868"/>
    <w:rsid w:val="002E09EF"/>
    <w:rsid w:val="002E2C0A"/>
    <w:rsid w:val="002E5030"/>
    <w:rsid w:val="002E735D"/>
    <w:rsid w:val="002E7C2B"/>
    <w:rsid w:val="002F1040"/>
    <w:rsid w:val="002F54C8"/>
    <w:rsid w:val="003100BB"/>
    <w:rsid w:val="0031245B"/>
    <w:rsid w:val="00321225"/>
    <w:rsid w:val="00327A10"/>
    <w:rsid w:val="00337F6E"/>
    <w:rsid w:val="00341E7E"/>
    <w:rsid w:val="003432DB"/>
    <w:rsid w:val="00344654"/>
    <w:rsid w:val="00345D09"/>
    <w:rsid w:val="00366082"/>
    <w:rsid w:val="003720EC"/>
    <w:rsid w:val="00383D66"/>
    <w:rsid w:val="00391F9F"/>
    <w:rsid w:val="003923FE"/>
    <w:rsid w:val="003A2491"/>
    <w:rsid w:val="003A51DF"/>
    <w:rsid w:val="003B2B49"/>
    <w:rsid w:val="003B7B6F"/>
    <w:rsid w:val="003C07AC"/>
    <w:rsid w:val="003C3139"/>
    <w:rsid w:val="003E27E0"/>
    <w:rsid w:val="003E5E93"/>
    <w:rsid w:val="003F5A31"/>
    <w:rsid w:val="0040130C"/>
    <w:rsid w:val="00405ED1"/>
    <w:rsid w:val="00424AD7"/>
    <w:rsid w:val="0043263D"/>
    <w:rsid w:val="00434120"/>
    <w:rsid w:val="004430E0"/>
    <w:rsid w:val="00450828"/>
    <w:rsid w:val="00455A97"/>
    <w:rsid w:val="0046267B"/>
    <w:rsid w:val="00465DFA"/>
    <w:rsid w:val="004664C5"/>
    <w:rsid w:val="0047639E"/>
    <w:rsid w:val="00480358"/>
    <w:rsid w:val="00484326"/>
    <w:rsid w:val="00491889"/>
    <w:rsid w:val="00492F3A"/>
    <w:rsid w:val="00494DE2"/>
    <w:rsid w:val="004B1831"/>
    <w:rsid w:val="004B20A1"/>
    <w:rsid w:val="004C0660"/>
    <w:rsid w:val="004C69BC"/>
    <w:rsid w:val="004D0E69"/>
    <w:rsid w:val="00510229"/>
    <w:rsid w:val="005206B5"/>
    <w:rsid w:val="00522AC4"/>
    <w:rsid w:val="00523CA1"/>
    <w:rsid w:val="005711BD"/>
    <w:rsid w:val="00584DF6"/>
    <w:rsid w:val="005859B6"/>
    <w:rsid w:val="00586DE6"/>
    <w:rsid w:val="00597BFE"/>
    <w:rsid w:val="005A1538"/>
    <w:rsid w:val="005A25C2"/>
    <w:rsid w:val="005A533C"/>
    <w:rsid w:val="005C3A9A"/>
    <w:rsid w:val="005D639E"/>
    <w:rsid w:val="005E63ED"/>
    <w:rsid w:val="005F7047"/>
    <w:rsid w:val="006027ED"/>
    <w:rsid w:val="00604ABA"/>
    <w:rsid w:val="00631F1A"/>
    <w:rsid w:val="00647BCC"/>
    <w:rsid w:val="00662A96"/>
    <w:rsid w:val="006718D7"/>
    <w:rsid w:val="00684A6B"/>
    <w:rsid w:val="00694640"/>
    <w:rsid w:val="006A4BA7"/>
    <w:rsid w:val="006C3DBB"/>
    <w:rsid w:val="006C401E"/>
    <w:rsid w:val="006C703D"/>
    <w:rsid w:val="006D3CE7"/>
    <w:rsid w:val="006E7CF0"/>
    <w:rsid w:val="006F7E78"/>
    <w:rsid w:val="007035F4"/>
    <w:rsid w:val="00705BB4"/>
    <w:rsid w:val="0071048F"/>
    <w:rsid w:val="00712510"/>
    <w:rsid w:val="007163F2"/>
    <w:rsid w:val="00717FCD"/>
    <w:rsid w:val="00721E98"/>
    <w:rsid w:val="00725D52"/>
    <w:rsid w:val="00732672"/>
    <w:rsid w:val="00740BD2"/>
    <w:rsid w:val="00756D67"/>
    <w:rsid w:val="0076200F"/>
    <w:rsid w:val="00786BBB"/>
    <w:rsid w:val="007A48E8"/>
    <w:rsid w:val="007C4AA9"/>
    <w:rsid w:val="007D6C98"/>
    <w:rsid w:val="007E0D76"/>
    <w:rsid w:val="007E17B2"/>
    <w:rsid w:val="007E50EC"/>
    <w:rsid w:val="008044AC"/>
    <w:rsid w:val="00805EFA"/>
    <w:rsid w:val="00813D9D"/>
    <w:rsid w:val="008141F8"/>
    <w:rsid w:val="008158D7"/>
    <w:rsid w:val="00831879"/>
    <w:rsid w:val="00832BB3"/>
    <w:rsid w:val="00833DA6"/>
    <w:rsid w:val="008466CF"/>
    <w:rsid w:val="00846CE9"/>
    <w:rsid w:val="00854B12"/>
    <w:rsid w:val="00861DBD"/>
    <w:rsid w:val="00864A70"/>
    <w:rsid w:val="00874CBC"/>
    <w:rsid w:val="00883695"/>
    <w:rsid w:val="008A0A49"/>
    <w:rsid w:val="008A71B4"/>
    <w:rsid w:val="008B501D"/>
    <w:rsid w:val="008C403E"/>
    <w:rsid w:val="008D1D32"/>
    <w:rsid w:val="008D2818"/>
    <w:rsid w:val="008D70D4"/>
    <w:rsid w:val="008E1A09"/>
    <w:rsid w:val="008F0EC8"/>
    <w:rsid w:val="009006A8"/>
    <w:rsid w:val="0090169E"/>
    <w:rsid w:val="009067EA"/>
    <w:rsid w:val="00921394"/>
    <w:rsid w:val="00926E5C"/>
    <w:rsid w:val="00944E53"/>
    <w:rsid w:val="009733A4"/>
    <w:rsid w:val="00977661"/>
    <w:rsid w:val="00981386"/>
    <w:rsid w:val="009817C6"/>
    <w:rsid w:val="00985F8D"/>
    <w:rsid w:val="00997EDB"/>
    <w:rsid w:val="009A320E"/>
    <w:rsid w:val="009A7034"/>
    <w:rsid w:val="009B4A52"/>
    <w:rsid w:val="009B5FFC"/>
    <w:rsid w:val="009C282B"/>
    <w:rsid w:val="009C5905"/>
    <w:rsid w:val="009C631E"/>
    <w:rsid w:val="009C65D6"/>
    <w:rsid w:val="009D4DFB"/>
    <w:rsid w:val="009E540E"/>
    <w:rsid w:val="00A013AC"/>
    <w:rsid w:val="00A23F87"/>
    <w:rsid w:val="00A33EBF"/>
    <w:rsid w:val="00A3665E"/>
    <w:rsid w:val="00A57EDC"/>
    <w:rsid w:val="00A6142F"/>
    <w:rsid w:val="00A67356"/>
    <w:rsid w:val="00A67C00"/>
    <w:rsid w:val="00A761F0"/>
    <w:rsid w:val="00A77799"/>
    <w:rsid w:val="00A80ACD"/>
    <w:rsid w:val="00A84829"/>
    <w:rsid w:val="00A92358"/>
    <w:rsid w:val="00A95184"/>
    <w:rsid w:val="00A95DD1"/>
    <w:rsid w:val="00AA4373"/>
    <w:rsid w:val="00AB43CE"/>
    <w:rsid w:val="00AC4755"/>
    <w:rsid w:val="00AD011E"/>
    <w:rsid w:val="00AD0BF2"/>
    <w:rsid w:val="00AE328D"/>
    <w:rsid w:val="00AF3371"/>
    <w:rsid w:val="00B022FD"/>
    <w:rsid w:val="00B05F1D"/>
    <w:rsid w:val="00B159D6"/>
    <w:rsid w:val="00B24E1F"/>
    <w:rsid w:val="00B272AC"/>
    <w:rsid w:val="00B27EF0"/>
    <w:rsid w:val="00B3535B"/>
    <w:rsid w:val="00B47C02"/>
    <w:rsid w:val="00B52B1C"/>
    <w:rsid w:val="00B640CA"/>
    <w:rsid w:val="00B7405D"/>
    <w:rsid w:val="00B76C69"/>
    <w:rsid w:val="00B82A2F"/>
    <w:rsid w:val="00B83745"/>
    <w:rsid w:val="00B853C8"/>
    <w:rsid w:val="00B85525"/>
    <w:rsid w:val="00B86369"/>
    <w:rsid w:val="00B912C2"/>
    <w:rsid w:val="00B95EFC"/>
    <w:rsid w:val="00BA0AC6"/>
    <w:rsid w:val="00BC23AA"/>
    <w:rsid w:val="00BC6046"/>
    <w:rsid w:val="00BD11C0"/>
    <w:rsid w:val="00BD3B9D"/>
    <w:rsid w:val="00BD63A4"/>
    <w:rsid w:val="00BE3363"/>
    <w:rsid w:val="00BE3CF0"/>
    <w:rsid w:val="00BE73F2"/>
    <w:rsid w:val="00BE7826"/>
    <w:rsid w:val="00BF47E2"/>
    <w:rsid w:val="00C038FD"/>
    <w:rsid w:val="00C1142E"/>
    <w:rsid w:val="00C37BDC"/>
    <w:rsid w:val="00C37CFF"/>
    <w:rsid w:val="00C43C3C"/>
    <w:rsid w:val="00C701B4"/>
    <w:rsid w:val="00C733BD"/>
    <w:rsid w:val="00C74850"/>
    <w:rsid w:val="00C8042E"/>
    <w:rsid w:val="00CA2F80"/>
    <w:rsid w:val="00CA5398"/>
    <w:rsid w:val="00CA5B6F"/>
    <w:rsid w:val="00CC44B2"/>
    <w:rsid w:val="00CC45C3"/>
    <w:rsid w:val="00CD07AD"/>
    <w:rsid w:val="00CE207E"/>
    <w:rsid w:val="00CE3C40"/>
    <w:rsid w:val="00CE687C"/>
    <w:rsid w:val="00CF42ED"/>
    <w:rsid w:val="00D101C4"/>
    <w:rsid w:val="00D131A9"/>
    <w:rsid w:val="00D1442E"/>
    <w:rsid w:val="00D275AD"/>
    <w:rsid w:val="00D43430"/>
    <w:rsid w:val="00D456AF"/>
    <w:rsid w:val="00D5741C"/>
    <w:rsid w:val="00D60434"/>
    <w:rsid w:val="00D62A71"/>
    <w:rsid w:val="00D62DE2"/>
    <w:rsid w:val="00D80DCC"/>
    <w:rsid w:val="00D84614"/>
    <w:rsid w:val="00D87613"/>
    <w:rsid w:val="00D949DA"/>
    <w:rsid w:val="00D974A3"/>
    <w:rsid w:val="00DC0CF2"/>
    <w:rsid w:val="00DC0EC0"/>
    <w:rsid w:val="00DC1328"/>
    <w:rsid w:val="00DC7917"/>
    <w:rsid w:val="00DD2F41"/>
    <w:rsid w:val="00DD54A4"/>
    <w:rsid w:val="00DD6316"/>
    <w:rsid w:val="00DF2EC2"/>
    <w:rsid w:val="00DF49FF"/>
    <w:rsid w:val="00E1672F"/>
    <w:rsid w:val="00E17B77"/>
    <w:rsid w:val="00E2178D"/>
    <w:rsid w:val="00E267BD"/>
    <w:rsid w:val="00E27F1B"/>
    <w:rsid w:val="00E46E18"/>
    <w:rsid w:val="00E53CBF"/>
    <w:rsid w:val="00E56703"/>
    <w:rsid w:val="00E62310"/>
    <w:rsid w:val="00E6606E"/>
    <w:rsid w:val="00E74001"/>
    <w:rsid w:val="00E823E9"/>
    <w:rsid w:val="00E83722"/>
    <w:rsid w:val="00E87351"/>
    <w:rsid w:val="00E97982"/>
    <w:rsid w:val="00EA398D"/>
    <w:rsid w:val="00EA61CA"/>
    <w:rsid w:val="00EB2AB9"/>
    <w:rsid w:val="00EC3AF9"/>
    <w:rsid w:val="00ED60CD"/>
    <w:rsid w:val="00EE2A34"/>
    <w:rsid w:val="00EE3CC8"/>
    <w:rsid w:val="00EE6EAD"/>
    <w:rsid w:val="00EF4AD3"/>
    <w:rsid w:val="00EF62A8"/>
    <w:rsid w:val="00F015AD"/>
    <w:rsid w:val="00F0201D"/>
    <w:rsid w:val="00F04C18"/>
    <w:rsid w:val="00F07EE8"/>
    <w:rsid w:val="00F135F5"/>
    <w:rsid w:val="00F138A0"/>
    <w:rsid w:val="00F26109"/>
    <w:rsid w:val="00F333B3"/>
    <w:rsid w:val="00F36633"/>
    <w:rsid w:val="00F50262"/>
    <w:rsid w:val="00F562AD"/>
    <w:rsid w:val="00F625C1"/>
    <w:rsid w:val="00F642CD"/>
    <w:rsid w:val="00F64C97"/>
    <w:rsid w:val="00F67089"/>
    <w:rsid w:val="00F90205"/>
    <w:rsid w:val="00F96F61"/>
    <w:rsid w:val="00FA2AA9"/>
    <w:rsid w:val="00FB1110"/>
    <w:rsid w:val="00FC2F86"/>
    <w:rsid w:val="00FF643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rules v:ext="edit">
        <o:r id="V:Rule1" type="connector" idref="#7E65ABCF-8B07-41EB-5BC07F18C380"/>
        <o:r id="V:Rule2" type="connector" idref="#9AF703A8-84C3-536B-43E1D1B84669"/>
        <o:r id="V:Rule3" type="connector" idref="#5B669734-1204-3CE9-F67F22FB6E56"/>
        <o:r id="V:Rule4" type="connector" idref="#8A450E97-AE5E-EEC6-05D4322F6174"/>
        <o:r id="V:Rule5" type="connector" idref="#0F32BF96-5149-1863-7F5E0018F5B7"/>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99"/>
    <w:qFormat/>
    <w:rsid w:val="00BE3CF0"/>
    <w:pPr>
      <w:spacing w:before="100" w:after="100"/>
    </w:pPr>
    <w:rPr>
      <w:sz w:val="24"/>
      <w:lang w:val="fr-FR"/>
    </w:rPr>
  </w:style>
  <w:style w:type="paragraph" w:styleId="Heading1">
    <w:name w:val="heading 1"/>
    <w:basedOn w:val="Normal"/>
    <w:next w:val="Normal"/>
    <w:link w:val="Heading1Char"/>
    <w:uiPriority w:val="99"/>
    <w:qFormat/>
    <w:rsid w:val="00BE3CF0"/>
    <w:pPr>
      <w:keepNext/>
      <w:numPr>
        <w:numId w:val="43"/>
      </w:numPr>
      <w:spacing w:before="480" w:after="240"/>
      <w:outlineLvl w:val="0"/>
    </w:pPr>
    <w:rPr>
      <w:b/>
      <w:bCs/>
      <w:caps/>
      <w:sz w:val="30"/>
      <w:szCs w:val="22"/>
      <w:lang w:val="en-GB"/>
    </w:rPr>
  </w:style>
  <w:style w:type="paragraph" w:styleId="Heading2">
    <w:name w:val="heading 2"/>
    <w:basedOn w:val="Normal"/>
    <w:next w:val="Normal"/>
    <w:link w:val="Heading2Char"/>
    <w:uiPriority w:val="99"/>
    <w:qFormat/>
    <w:rsid w:val="00BE3CF0"/>
    <w:pPr>
      <w:numPr>
        <w:ilvl w:val="1"/>
        <w:numId w:val="43"/>
      </w:numPr>
      <w:spacing w:before="240" w:after="120"/>
      <w:jc w:val="both"/>
      <w:outlineLvl w:val="1"/>
    </w:pPr>
    <w:rPr>
      <w:rFonts w:ascii="Times New Roman Bold" w:hAnsi="Times New Roman Bold"/>
      <w:b/>
      <w:sz w:val="22"/>
      <w:szCs w:val="22"/>
    </w:rPr>
  </w:style>
  <w:style w:type="paragraph" w:styleId="Heading3">
    <w:name w:val="heading 3"/>
    <w:basedOn w:val="Normal"/>
    <w:next w:val="Normal"/>
    <w:link w:val="Heading3Char"/>
    <w:uiPriority w:val="99"/>
    <w:qFormat/>
    <w:rsid w:val="00BE3CF0"/>
    <w:pPr>
      <w:numPr>
        <w:ilvl w:val="2"/>
        <w:numId w:val="43"/>
      </w:numPr>
      <w:spacing w:before="240" w:after="120"/>
      <w:jc w:val="both"/>
      <w:outlineLvl w:val="2"/>
    </w:pPr>
    <w:rPr>
      <w:sz w:val="22"/>
      <w:szCs w:val="22"/>
    </w:rPr>
  </w:style>
  <w:style w:type="paragraph" w:styleId="Heading4">
    <w:name w:val="heading 4"/>
    <w:basedOn w:val="Normal"/>
    <w:next w:val="Normal"/>
    <w:link w:val="Heading4Char"/>
    <w:uiPriority w:val="99"/>
    <w:qFormat/>
    <w:rsid w:val="00BE3CF0"/>
    <w:pPr>
      <w:numPr>
        <w:ilvl w:val="3"/>
        <w:numId w:val="43"/>
      </w:numPr>
      <w:spacing w:before="120" w:after="120"/>
      <w:jc w:val="both"/>
      <w:outlineLvl w:val="3"/>
    </w:pPr>
    <w:rPr>
      <w:sz w:val="22"/>
      <w:szCs w:val="22"/>
      <w:lang w:val="en-GB"/>
    </w:rPr>
  </w:style>
  <w:style w:type="paragraph" w:styleId="Heading5">
    <w:name w:val="heading 5"/>
    <w:basedOn w:val="Normal"/>
    <w:next w:val="Normal"/>
    <w:link w:val="Heading5Char"/>
    <w:uiPriority w:val="99"/>
    <w:qFormat/>
    <w:rsid w:val="00BE3CF0"/>
    <w:pPr>
      <w:numPr>
        <w:ilvl w:val="4"/>
        <w:numId w:val="43"/>
      </w:numPr>
      <w:spacing w:before="240" w:after="120"/>
      <w:jc w:val="both"/>
      <w:outlineLvl w:val="4"/>
    </w:pPr>
    <w:rPr>
      <w:sz w:val="22"/>
      <w:szCs w:val="22"/>
      <w:lang w:val="en-GB"/>
    </w:rPr>
  </w:style>
  <w:style w:type="paragraph" w:styleId="Heading6">
    <w:name w:val="heading 6"/>
    <w:basedOn w:val="Normal"/>
    <w:next w:val="Normal"/>
    <w:link w:val="Heading6Char"/>
    <w:uiPriority w:val="99"/>
    <w:qFormat/>
    <w:rsid w:val="00BE3CF0"/>
    <w:pPr>
      <w:numPr>
        <w:ilvl w:val="5"/>
        <w:numId w:val="43"/>
      </w:numPr>
      <w:spacing w:before="240" w:after="60"/>
      <w:outlineLvl w:val="5"/>
    </w:pPr>
    <w:rPr>
      <w:rFonts w:ascii="Calibri" w:hAnsi="Calibri"/>
      <w:b/>
      <w:bCs/>
      <w:sz w:val="22"/>
      <w:szCs w:val="22"/>
    </w:rPr>
  </w:style>
  <w:style w:type="paragraph" w:styleId="Heading7">
    <w:name w:val="heading 7"/>
    <w:basedOn w:val="Normal"/>
    <w:next w:val="Normal"/>
    <w:link w:val="Heading7Char"/>
    <w:uiPriority w:val="99"/>
    <w:qFormat/>
    <w:rsid w:val="00BE3CF0"/>
    <w:pPr>
      <w:keepNext/>
      <w:numPr>
        <w:ilvl w:val="6"/>
        <w:numId w:val="43"/>
      </w:numPr>
      <w:spacing w:before="0" w:after="120"/>
      <w:jc w:val="center"/>
      <w:outlineLvl w:val="6"/>
    </w:pPr>
    <w:rPr>
      <w:rFonts w:ascii="Arial" w:hAnsi="Arial"/>
      <w:b/>
      <w:color w:val="008000"/>
      <w:sz w:val="32"/>
      <w:lang w:val="en-GB"/>
    </w:rPr>
  </w:style>
  <w:style w:type="paragraph" w:styleId="Heading8">
    <w:name w:val="heading 8"/>
    <w:basedOn w:val="Normal"/>
    <w:next w:val="Normal"/>
    <w:link w:val="Heading8Char"/>
    <w:uiPriority w:val="99"/>
    <w:qFormat/>
    <w:rsid w:val="00BE3CF0"/>
    <w:pPr>
      <w:keepNext/>
      <w:numPr>
        <w:ilvl w:val="7"/>
        <w:numId w:val="43"/>
      </w:numPr>
      <w:spacing w:before="0" w:after="120"/>
      <w:jc w:val="both"/>
      <w:outlineLvl w:val="7"/>
    </w:pPr>
    <w:rPr>
      <w:rFonts w:ascii="Arial" w:hAnsi="Arial"/>
      <w:b/>
      <w:sz w:val="22"/>
      <w:lang w:val="en-GB"/>
    </w:rPr>
  </w:style>
  <w:style w:type="paragraph" w:styleId="Heading9">
    <w:name w:val="heading 9"/>
    <w:basedOn w:val="Normal"/>
    <w:next w:val="Normal"/>
    <w:link w:val="Heading9Char"/>
    <w:uiPriority w:val="99"/>
    <w:qFormat/>
    <w:rsid w:val="00BE3CF0"/>
    <w:pPr>
      <w:numPr>
        <w:ilvl w:val="8"/>
        <w:numId w:val="43"/>
      </w:num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BE3CF0"/>
  </w:style>
  <w:style w:type="paragraph" w:styleId="Title">
    <w:name w:val="Title"/>
    <w:basedOn w:val="Normal"/>
    <w:next w:val="Normal"/>
    <w:link w:val="TitleChar"/>
    <w:uiPriority w:val="10"/>
    <w:qFormat/>
    <w:rsid w:val="00BE3CF0"/>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sz w:val="52"/>
      <w:szCs w:val="52"/>
    </w:rPr>
  </w:style>
  <w:style w:type="character" w:customStyle="1" w:styleId="TitleChar">
    <w:name w:val="Title Char"/>
    <w:basedOn w:val="DefaultParagraphFont"/>
    <w:link w:val="Title"/>
    <w:uiPriority w:val="10"/>
    <w:rsid w:val="00BE3CF0"/>
    <w:rPr>
      <w:rFonts w:asciiTheme="majorHAnsi" w:eastAsiaTheme="majorEastAsia" w:hAnsiTheme="majorHAnsi" w:cstheme="majorBidi"/>
      <w:color w:val="323E4F" w:themeColor="text2" w:themeShade="BF"/>
      <w:spacing w:val="5"/>
      <w:sz w:val="52"/>
      <w:szCs w:val="52"/>
    </w:rPr>
  </w:style>
  <w:style w:type="paragraph" w:styleId="Subtitle">
    <w:name w:val="Subtitle"/>
    <w:basedOn w:val="Normal"/>
    <w:next w:val="Normal"/>
    <w:link w:val="SubtitleChar"/>
    <w:uiPriority w:val="11"/>
    <w:qFormat/>
    <w:rsid w:val="00BE3CF0"/>
    <w:rPr>
      <w:rFonts w:asciiTheme="majorHAnsi" w:eastAsiaTheme="majorEastAsia" w:hAnsiTheme="majorHAnsi" w:cstheme="majorBidi"/>
      <w:i/>
      <w:iCs/>
      <w:color w:val="5B9BD5" w:themeColor="accent1"/>
      <w:spacing w:val="15"/>
      <w:szCs w:val="24"/>
    </w:rPr>
  </w:style>
  <w:style w:type="character" w:customStyle="1" w:styleId="SubtitleChar">
    <w:name w:val="Subtitle Char"/>
    <w:basedOn w:val="DefaultParagraphFont"/>
    <w:link w:val="Subtitle"/>
    <w:uiPriority w:val="11"/>
    <w:rsid w:val="00BE3CF0"/>
    <w:rPr>
      <w:rFonts w:asciiTheme="majorHAnsi" w:eastAsiaTheme="majorEastAsia" w:hAnsiTheme="majorHAnsi" w:cstheme="majorBidi"/>
      <w:i/>
      <w:iCs/>
      <w:color w:val="5B9BD5" w:themeColor="accent1"/>
      <w:spacing w:val="15"/>
      <w:sz w:val="24"/>
      <w:szCs w:val="24"/>
    </w:rPr>
  </w:style>
  <w:style w:type="character" w:styleId="SubtleEmphasis">
    <w:name w:val="Subtle Emphasis"/>
    <w:basedOn w:val="DefaultParagraphFont"/>
    <w:uiPriority w:val="19"/>
    <w:qFormat/>
    <w:rsid w:val="00BE3CF0"/>
    <w:rPr>
      <w:i/>
      <w:iCs/>
      <w:color w:val="808080" w:themeColor="text1" w:themeTint="7F"/>
    </w:rPr>
  </w:style>
  <w:style w:type="character" w:styleId="IntenseEmphasis">
    <w:name w:val="Intense Emphasis"/>
    <w:basedOn w:val="DefaultParagraphFont"/>
    <w:uiPriority w:val="21"/>
    <w:qFormat/>
    <w:rsid w:val="00BE3CF0"/>
    <w:rPr>
      <w:b/>
      <w:bCs/>
      <w:i/>
      <w:iCs/>
      <w:color w:val="5B9BD5" w:themeColor="accent1"/>
    </w:rPr>
  </w:style>
  <w:style w:type="paragraph" w:styleId="Quote">
    <w:name w:val="Quote"/>
    <w:basedOn w:val="Normal"/>
    <w:next w:val="Normal"/>
    <w:link w:val="QuoteChar"/>
    <w:uiPriority w:val="29"/>
    <w:qFormat/>
    <w:rsid w:val="00BE3CF0"/>
    <w:rPr>
      <w:i/>
      <w:iCs/>
      <w:color w:val="000000" w:themeColor="text1"/>
    </w:rPr>
  </w:style>
  <w:style w:type="character" w:customStyle="1" w:styleId="QuoteChar">
    <w:name w:val="Quote Char"/>
    <w:basedOn w:val="DefaultParagraphFont"/>
    <w:link w:val="Quote"/>
    <w:uiPriority w:val="29"/>
    <w:rsid w:val="00BE3CF0"/>
    <w:rPr>
      <w:i/>
      <w:iCs/>
      <w:color w:val="000000" w:themeColor="text1"/>
    </w:rPr>
  </w:style>
  <w:style w:type="paragraph" w:styleId="IntenseQuote">
    <w:name w:val="Intense Quote"/>
    <w:basedOn w:val="Normal"/>
    <w:next w:val="Normal"/>
    <w:link w:val="IntenseQuoteChar"/>
    <w:uiPriority w:val="30"/>
    <w:qFormat/>
    <w:rsid w:val="00BE3CF0"/>
    <w:pPr>
      <w:pBdr>
        <w:bottom w:val="single" w:sz="4" w:space="4" w:color="5B9BD5" w:themeColor="accent1"/>
      </w:pBdr>
      <w:spacing w:before="200" w:after="280"/>
      <w:ind w:left="936" w:right="936"/>
    </w:pPr>
    <w:rPr>
      <w:b/>
      <w:bCs/>
      <w:i/>
      <w:iCs/>
      <w:color w:val="5B9BD5" w:themeColor="accent1"/>
    </w:rPr>
  </w:style>
  <w:style w:type="character" w:customStyle="1" w:styleId="IntenseQuoteChar">
    <w:name w:val="Intense Quote Char"/>
    <w:basedOn w:val="DefaultParagraphFont"/>
    <w:link w:val="IntenseQuote"/>
    <w:uiPriority w:val="30"/>
    <w:rsid w:val="00BE3CF0"/>
    <w:rPr>
      <w:b/>
      <w:bCs/>
      <w:i/>
      <w:iCs/>
      <w:color w:val="5B9BD5" w:themeColor="accent1"/>
    </w:rPr>
  </w:style>
  <w:style w:type="character" w:styleId="SubtleReference">
    <w:name w:val="Subtle Reference"/>
    <w:basedOn w:val="DefaultParagraphFont"/>
    <w:uiPriority w:val="31"/>
    <w:qFormat/>
    <w:rsid w:val="00BE3CF0"/>
    <w:rPr>
      <w:smallCaps/>
      <w:color w:val="ED7D31" w:themeColor="accent2"/>
      <w:u w:val="single"/>
    </w:rPr>
  </w:style>
  <w:style w:type="character" w:styleId="IntenseReference">
    <w:name w:val="Intense Reference"/>
    <w:basedOn w:val="DefaultParagraphFont"/>
    <w:uiPriority w:val="32"/>
    <w:qFormat/>
    <w:rsid w:val="00BE3CF0"/>
    <w:rPr>
      <w:b/>
      <w:bCs/>
      <w:smallCaps/>
      <w:color w:val="ED7D31" w:themeColor="accent2"/>
      <w:spacing w:val="5"/>
      <w:u w:val="single"/>
    </w:rPr>
  </w:style>
  <w:style w:type="character" w:styleId="BookTitle">
    <w:name w:val="Book Title"/>
    <w:basedOn w:val="DefaultParagraphFont"/>
    <w:uiPriority w:val="33"/>
    <w:qFormat/>
    <w:rsid w:val="00BE3CF0"/>
    <w:rPr>
      <w:b/>
      <w:bCs/>
      <w:smallCaps/>
      <w:spacing w:val="5"/>
    </w:rPr>
  </w:style>
  <w:style w:type="paragraph" w:styleId="ListParagraph">
    <w:name w:val="List Paragraph"/>
    <w:basedOn w:val="Normal"/>
    <w:uiPriority w:val="34"/>
    <w:qFormat/>
    <w:rsid w:val="00BE3CF0"/>
    <w:pPr>
      <w:ind w:left="720"/>
      <w:contextualSpacing/>
    </w:pPr>
  </w:style>
  <w:style w:type="paragraph" w:customStyle="1" w:styleId="Endnotetext">
    <w:name w:val="Endnote text"/>
    <w:basedOn w:val="Normal"/>
    <w:link w:val="EndnoteTextChar"/>
    <w:uiPriority w:val="99"/>
    <w:semiHidden/>
    <w:unhideWhenUsed/>
    <w:rsid w:val="00BE3CF0"/>
    <w:pPr>
      <w:spacing w:after="0"/>
    </w:pPr>
    <w:rPr>
      <w:sz w:val="20"/>
    </w:rPr>
  </w:style>
  <w:style w:type="character" w:customStyle="1" w:styleId="EndnoteTextChar">
    <w:name w:val="Endnote Text Char"/>
    <w:basedOn w:val="DefaultParagraphFont"/>
    <w:link w:val="Endnotetext"/>
    <w:uiPriority w:val="99"/>
    <w:semiHidden/>
    <w:rsid w:val="00BE3CF0"/>
    <w:rPr>
      <w:sz w:val="20"/>
      <w:szCs w:val="20"/>
    </w:rPr>
  </w:style>
  <w:style w:type="character" w:customStyle="1" w:styleId="Endnotereference">
    <w:name w:val="Endnote reference"/>
    <w:basedOn w:val="DefaultParagraphFont"/>
    <w:uiPriority w:val="99"/>
    <w:semiHidden/>
    <w:unhideWhenUsed/>
    <w:rsid w:val="00BE3CF0"/>
    <w:rPr>
      <w:vertAlign w:val="superscript"/>
    </w:rPr>
  </w:style>
  <w:style w:type="paragraph" w:styleId="PlainText">
    <w:name w:val="Plain Text"/>
    <w:basedOn w:val="Normal"/>
    <w:link w:val="PlainTextChar"/>
    <w:uiPriority w:val="99"/>
    <w:semiHidden/>
    <w:unhideWhenUsed/>
    <w:rsid w:val="00BE3CF0"/>
    <w:pPr>
      <w:spacing w:after="0"/>
    </w:pPr>
    <w:rPr>
      <w:rFonts w:ascii="Courier New" w:hAnsi="Courier New" w:cs="Courier New"/>
      <w:sz w:val="21"/>
      <w:szCs w:val="21"/>
    </w:rPr>
  </w:style>
  <w:style w:type="character" w:customStyle="1" w:styleId="PlainTextChar">
    <w:name w:val="Plain Text Char"/>
    <w:basedOn w:val="DefaultParagraphFont"/>
    <w:link w:val="PlainText"/>
    <w:uiPriority w:val="99"/>
    <w:rsid w:val="00BE3CF0"/>
    <w:rPr>
      <w:rFonts w:ascii="Courier New" w:hAnsi="Courier New" w:cs="Courier New"/>
      <w:sz w:val="21"/>
      <w:szCs w:val="21"/>
    </w:rPr>
  </w:style>
  <w:style w:type="character" w:customStyle="1" w:styleId="HeaderChar">
    <w:name w:val="Header Char"/>
    <w:basedOn w:val="DefaultParagraphFont"/>
    <w:link w:val="Header"/>
    <w:uiPriority w:val="99"/>
    <w:rsid w:val="00BE3CF0"/>
  </w:style>
  <w:style w:type="character" w:customStyle="1" w:styleId="FooterChar">
    <w:name w:val="Footer Char"/>
    <w:basedOn w:val="DefaultParagraphFont"/>
    <w:link w:val="Footer"/>
    <w:uiPriority w:val="99"/>
    <w:rsid w:val="00BE3CF0"/>
  </w:style>
  <w:style w:type="paragraph" w:customStyle="1" w:styleId="DefinitionTerm">
    <w:name w:val="Definition Term"/>
    <w:basedOn w:val="Normal"/>
    <w:next w:val="DefinitionList"/>
    <w:uiPriority w:val="99"/>
    <w:rsid w:val="00BE3CF0"/>
    <w:pPr>
      <w:spacing w:before="0" w:after="0"/>
    </w:pPr>
  </w:style>
  <w:style w:type="paragraph" w:customStyle="1" w:styleId="DefinitionList">
    <w:name w:val="Definition List"/>
    <w:basedOn w:val="Normal"/>
    <w:next w:val="DefinitionTerm"/>
    <w:uiPriority w:val="99"/>
    <w:rsid w:val="00BE3CF0"/>
    <w:pPr>
      <w:spacing w:before="0" w:after="0"/>
      <w:ind w:left="360"/>
    </w:pPr>
  </w:style>
  <w:style w:type="character" w:customStyle="1" w:styleId="Definition">
    <w:name w:val="Definition"/>
    <w:uiPriority w:val="99"/>
    <w:rsid w:val="00BE3CF0"/>
    <w:rPr>
      <w:i/>
    </w:rPr>
  </w:style>
  <w:style w:type="paragraph" w:customStyle="1" w:styleId="H1">
    <w:name w:val="H1"/>
    <w:basedOn w:val="Normal"/>
    <w:next w:val="Normal"/>
    <w:uiPriority w:val="99"/>
    <w:rsid w:val="00BE3CF0"/>
    <w:pPr>
      <w:keepNext/>
    </w:pPr>
    <w:rPr>
      <w:b/>
      <w:sz w:val="48"/>
    </w:rPr>
  </w:style>
  <w:style w:type="paragraph" w:customStyle="1" w:styleId="H2">
    <w:name w:val="H2"/>
    <w:basedOn w:val="Normal"/>
    <w:next w:val="Normal"/>
    <w:uiPriority w:val="99"/>
    <w:rsid w:val="00BE3CF0"/>
    <w:pPr>
      <w:keepNext/>
    </w:pPr>
    <w:rPr>
      <w:b/>
      <w:sz w:val="36"/>
    </w:rPr>
  </w:style>
  <w:style w:type="paragraph" w:customStyle="1" w:styleId="H3">
    <w:name w:val="H3"/>
    <w:basedOn w:val="Normal"/>
    <w:next w:val="Normal"/>
    <w:uiPriority w:val="99"/>
    <w:rsid w:val="00BE3CF0"/>
    <w:pPr>
      <w:keepNext/>
    </w:pPr>
    <w:rPr>
      <w:b/>
      <w:sz w:val="28"/>
    </w:rPr>
  </w:style>
  <w:style w:type="paragraph" w:customStyle="1" w:styleId="H4">
    <w:name w:val="H4"/>
    <w:basedOn w:val="Normal"/>
    <w:next w:val="Normal"/>
    <w:uiPriority w:val="99"/>
    <w:rsid w:val="00BE3CF0"/>
    <w:pPr>
      <w:keepNext/>
    </w:pPr>
    <w:rPr>
      <w:b/>
    </w:rPr>
  </w:style>
  <w:style w:type="paragraph" w:customStyle="1" w:styleId="H5">
    <w:name w:val="H5"/>
    <w:basedOn w:val="Normal"/>
    <w:next w:val="Normal"/>
    <w:uiPriority w:val="99"/>
    <w:rsid w:val="00BE3CF0"/>
    <w:pPr>
      <w:keepNext/>
    </w:pPr>
    <w:rPr>
      <w:b/>
      <w:sz w:val="20"/>
    </w:rPr>
  </w:style>
  <w:style w:type="paragraph" w:customStyle="1" w:styleId="H6">
    <w:name w:val="H6"/>
    <w:basedOn w:val="Normal"/>
    <w:next w:val="Normal"/>
    <w:uiPriority w:val="99"/>
    <w:rsid w:val="00BE3CF0"/>
    <w:pPr>
      <w:keepNext/>
    </w:pPr>
    <w:rPr>
      <w:b/>
      <w:sz w:val="16"/>
    </w:rPr>
  </w:style>
  <w:style w:type="paragraph" w:customStyle="1" w:styleId="Address">
    <w:name w:val="Address"/>
    <w:basedOn w:val="Normal"/>
    <w:next w:val="Normal"/>
    <w:uiPriority w:val="99"/>
    <w:rsid w:val="00BE3CF0"/>
    <w:pPr>
      <w:spacing w:before="0" w:after="0"/>
    </w:pPr>
    <w:rPr>
      <w:i/>
    </w:rPr>
  </w:style>
  <w:style w:type="paragraph" w:customStyle="1" w:styleId="Blockquote">
    <w:name w:val="Blockquote"/>
    <w:basedOn w:val="Normal"/>
    <w:uiPriority w:val="99"/>
    <w:rsid w:val="00BE3CF0"/>
    <w:pPr>
      <w:ind w:left="360" w:right="360"/>
    </w:pPr>
  </w:style>
  <w:style w:type="character" w:customStyle="1" w:styleId="CITE">
    <w:name w:val="CITE"/>
    <w:uiPriority w:val="99"/>
    <w:rsid w:val="00BE3CF0"/>
    <w:rPr>
      <w:i/>
    </w:rPr>
  </w:style>
  <w:style w:type="character" w:customStyle="1" w:styleId="CODE">
    <w:name w:val="CODE"/>
    <w:uiPriority w:val="99"/>
    <w:rsid w:val="00BE3CF0"/>
    <w:rPr>
      <w:rFonts w:ascii="Courier New" w:hAnsi="Courier New"/>
      <w:sz w:val="20"/>
    </w:rPr>
  </w:style>
  <w:style w:type="character" w:styleId="Emphasis">
    <w:name w:val="Emphasis"/>
    <w:uiPriority w:val="99"/>
    <w:qFormat/>
    <w:rsid w:val="00BE3CF0"/>
    <w:rPr>
      <w:i/>
    </w:rPr>
  </w:style>
  <w:style w:type="character" w:styleId="Hyperlink">
    <w:name w:val="Hyperlink"/>
    <w:uiPriority w:val="99"/>
    <w:rsid w:val="00BE3CF0"/>
    <w:rPr>
      <w:color w:val="0000FF"/>
      <w:u w:val="single"/>
    </w:rPr>
  </w:style>
  <w:style w:type="character" w:styleId="FollowedHyperlink">
    <w:name w:val="FollowedHyperlink"/>
    <w:uiPriority w:val="99"/>
    <w:rsid w:val="00BE3CF0"/>
    <w:rPr>
      <w:color w:val="800080"/>
      <w:u w:val="single"/>
    </w:rPr>
  </w:style>
  <w:style w:type="character" w:customStyle="1" w:styleId="Keyboard">
    <w:name w:val="Keyboard"/>
    <w:uiPriority w:val="99"/>
    <w:rsid w:val="00BE3CF0"/>
    <w:rPr>
      <w:rFonts w:ascii="Courier New" w:hAnsi="Courier New"/>
      <w:b/>
      <w:sz w:val="20"/>
    </w:rPr>
  </w:style>
  <w:style w:type="paragraph" w:customStyle="1" w:styleId="Preformatted">
    <w:name w:val="Preformatted"/>
    <w:basedOn w:val="Normal"/>
    <w:uiPriority w:val="99"/>
    <w:rsid w:val="00BE3CF0"/>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uiPriority w:val="99"/>
    <w:rsid w:val="00BE3CF0"/>
    <w:pPr>
      <w:pBdr>
        <w:top w:val="double" w:sz="2" w:space="0" w:color="000000"/>
      </w:pBdr>
      <w:jc w:val="center"/>
    </w:pPr>
    <w:rPr>
      <w:rFonts w:ascii="Arial" w:hAnsi="Arial"/>
      <w:vanish/>
      <w:sz w:val="16"/>
    </w:rPr>
  </w:style>
  <w:style w:type="paragraph" w:styleId="z-TopofForm">
    <w:name w:val="HTML Top of Form"/>
    <w:next w:val="Normal"/>
    <w:hidden/>
    <w:uiPriority w:val="99"/>
    <w:rsid w:val="00BE3CF0"/>
    <w:pPr>
      <w:pBdr>
        <w:bottom w:val="double" w:sz="2" w:space="0" w:color="000000"/>
      </w:pBdr>
      <w:jc w:val="center"/>
    </w:pPr>
    <w:rPr>
      <w:rFonts w:ascii="Arial" w:hAnsi="Arial"/>
      <w:vanish/>
      <w:sz w:val="16"/>
    </w:rPr>
  </w:style>
  <w:style w:type="character" w:customStyle="1" w:styleId="Sample">
    <w:name w:val="Sample"/>
    <w:uiPriority w:val="99"/>
    <w:rsid w:val="00BE3CF0"/>
    <w:rPr>
      <w:rFonts w:ascii="Courier New" w:hAnsi="Courier New"/>
    </w:rPr>
  </w:style>
  <w:style w:type="character" w:styleId="Strong">
    <w:name w:val="Strong"/>
    <w:uiPriority w:val="99"/>
    <w:qFormat/>
    <w:rsid w:val="00BE3CF0"/>
    <w:rPr>
      <w:b/>
    </w:rPr>
  </w:style>
  <w:style w:type="character" w:customStyle="1" w:styleId="Typewriter">
    <w:name w:val="Typewriter"/>
    <w:uiPriority w:val="99"/>
    <w:rsid w:val="00BE3CF0"/>
    <w:rPr>
      <w:rFonts w:ascii="Courier New" w:hAnsi="Courier New"/>
      <w:sz w:val="20"/>
    </w:rPr>
  </w:style>
  <w:style w:type="character" w:customStyle="1" w:styleId="Variable">
    <w:name w:val="Variable"/>
    <w:uiPriority w:val="99"/>
    <w:rsid w:val="00BE3CF0"/>
    <w:rPr>
      <w:i/>
    </w:rPr>
  </w:style>
  <w:style w:type="character" w:customStyle="1" w:styleId="HTMLMarkup">
    <w:name w:val="HTML Markup"/>
    <w:uiPriority w:val="99"/>
    <w:rsid w:val="00BE3CF0"/>
    <w:rPr>
      <w:vanish/>
      <w:color w:val="FF0000"/>
    </w:rPr>
  </w:style>
  <w:style w:type="character" w:customStyle="1" w:styleId="Comment">
    <w:name w:val="Comment"/>
    <w:uiPriority w:val="99"/>
    <w:rsid w:val="00BE3CF0"/>
    <w:rPr>
      <w:vanish/>
    </w:rPr>
  </w:style>
  <w:style w:type="paragraph" w:styleId="DocumentMap">
    <w:name w:val="Document Map"/>
    <w:basedOn w:val="Normal"/>
    <w:uiPriority w:val="99"/>
    <w:semiHidden/>
    <w:rsid w:val="00BE3CF0"/>
    <w:pPr>
      <w:shd w:val="clear" w:color="auto" w:fill="000080"/>
    </w:pPr>
  </w:style>
  <w:style w:type="paragraph" w:styleId="Header">
    <w:name w:val="header"/>
    <w:basedOn w:val="Normal"/>
    <w:link w:val="HeaderChar"/>
    <w:uiPriority w:val="99"/>
    <w:rsid w:val="00BE3CF0"/>
    <w:pPr>
      <w:tabs>
        <w:tab w:val="center" w:pos="4536"/>
        <w:tab w:val="right" w:pos="9072"/>
      </w:tabs>
    </w:pPr>
  </w:style>
  <w:style w:type="paragraph" w:styleId="Footer">
    <w:name w:val="footer"/>
    <w:basedOn w:val="Normal"/>
    <w:link w:val="FooterChar"/>
    <w:uiPriority w:val="99"/>
    <w:rsid w:val="00BE3CF0"/>
    <w:pPr>
      <w:tabs>
        <w:tab w:val="center" w:pos="4536"/>
        <w:tab w:val="right" w:pos="9072"/>
      </w:tabs>
    </w:pPr>
  </w:style>
  <w:style w:type="paragraph" w:customStyle="1" w:styleId="PRAGHeading2">
    <w:name w:val="PRAG Heading 2"/>
    <w:basedOn w:val="Normal"/>
    <w:uiPriority w:val="99"/>
    <w:rsid w:val="00BE3CF0"/>
    <w:pPr>
      <w:numPr>
        <w:numId w:val="31"/>
      </w:numPr>
    </w:pPr>
  </w:style>
  <w:style w:type="character" w:customStyle="1" w:styleId="Pagenumber">
    <w:name w:val="Page number"/>
    <w:basedOn w:val="DefaultParagraphFont"/>
    <w:uiPriority w:val="99"/>
    <w:rsid w:val="00BE3CF0"/>
  </w:style>
  <w:style w:type="character" w:customStyle="1" w:styleId="Annotationreference">
    <w:name w:val="Annotation reference"/>
    <w:uiPriority w:val="99"/>
    <w:rsid w:val="00BE3CF0"/>
    <w:rPr>
      <w:sz w:val="16"/>
      <w:szCs w:val="16"/>
    </w:rPr>
  </w:style>
  <w:style w:type="paragraph" w:customStyle="1" w:styleId="Annotationtext">
    <w:name w:val="Annotation text"/>
    <w:basedOn w:val="Normal"/>
    <w:uiPriority w:val="99"/>
    <w:semiHidden/>
    <w:rsid w:val="00BE3CF0"/>
    <w:rPr>
      <w:sz w:val="20"/>
    </w:rPr>
  </w:style>
  <w:style w:type="paragraph" w:customStyle="1" w:styleId="Annotationsubject">
    <w:name w:val="Annotation subject"/>
    <w:basedOn w:val="Annotationtext"/>
    <w:next w:val="Annotationtext"/>
    <w:uiPriority w:val="99"/>
    <w:semiHidden/>
    <w:rsid w:val="00BE3CF0"/>
    <w:rPr>
      <w:b/>
      <w:bCs/>
    </w:rPr>
  </w:style>
  <w:style w:type="paragraph" w:styleId="BalloonText">
    <w:name w:val="Balloon Text"/>
    <w:basedOn w:val="Normal"/>
    <w:uiPriority w:val="99"/>
    <w:semiHidden/>
    <w:rsid w:val="00BE3CF0"/>
    <w:rPr>
      <w:rFonts w:ascii="Tahoma" w:hAnsi="Tahoma" w:cs="Tahoma"/>
      <w:sz w:val="16"/>
      <w:szCs w:val="16"/>
    </w:rPr>
  </w:style>
  <w:style w:type="paragraph" w:customStyle="1" w:styleId="Footnotetext">
    <w:name w:val="Footnote text"/>
    <w:basedOn w:val="Normal"/>
    <w:link w:val="FootnoteTextChar"/>
    <w:uiPriority w:val="99"/>
    <w:rsid w:val="00BE3CF0"/>
    <w:pPr>
      <w:spacing w:before="0" w:after="0"/>
    </w:pPr>
    <w:rPr>
      <w:sz w:val="20"/>
    </w:rPr>
  </w:style>
  <w:style w:type="character" w:customStyle="1" w:styleId="FootnoteTextChar">
    <w:name w:val="Footnote Text Char"/>
    <w:link w:val="Footnotetext"/>
    <w:uiPriority w:val="99"/>
    <w:rsid w:val="00BE3CF0"/>
    <w:rPr>
      <w:lang w:val="fr-FR" w:eastAsia="en-US"/>
    </w:rPr>
  </w:style>
  <w:style w:type="character" w:customStyle="1" w:styleId="Footnotereference">
    <w:name w:val="Footnote reference"/>
    <w:uiPriority w:val="99"/>
    <w:rsid w:val="00BE3CF0"/>
    <w:rPr>
      <w:vertAlign w:val="superscript"/>
    </w:rPr>
  </w:style>
  <w:style w:type="paragraph" w:customStyle="1" w:styleId="FootnoteText1">
    <w:name w:val="Footnote Text1"/>
    <w:uiPriority w:val="99"/>
    <w:rsid w:val="00BE3CF0"/>
    <w:pPr>
      <w:jc w:val="both"/>
    </w:pPr>
    <w:rPr>
      <w:rFonts w:ascii="Calibri" w:eastAsia="Calibri" w:hAnsi="Calibri" w:cs="Calibri"/>
      <w:color w:val="000000"/>
      <w:lang w:val="en-GB" w:eastAsia="fr-FR"/>
    </w:rPr>
  </w:style>
  <w:style w:type="character" w:customStyle="1" w:styleId="Heading1Char">
    <w:name w:val="Heading 1 Char"/>
    <w:link w:val="Heading1"/>
    <w:uiPriority w:val="99"/>
    <w:rsid w:val="00BE3CF0"/>
    <w:rPr>
      <w:b/>
      <w:bCs/>
      <w:caps/>
      <w:sz w:val="30"/>
      <w:szCs w:val="22"/>
      <w:lang w:eastAsia="en-US"/>
    </w:rPr>
  </w:style>
  <w:style w:type="character" w:customStyle="1" w:styleId="Heading2Char">
    <w:name w:val="Heading 2 Char"/>
    <w:link w:val="Heading2"/>
    <w:uiPriority w:val="99"/>
    <w:rsid w:val="00BE3CF0"/>
    <w:rPr>
      <w:rFonts w:ascii="Times New Roman Bold" w:hAnsi="Times New Roman Bold"/>
      <w:b/>
      <w:sz w:val="22"/>
      <w:szCs w:val="22"/>
      <w:lang w:eastAsia="en-US"/>
    </w:rPr>
  </w:style>
  <w:style w:type="character" w:customStyle="1" w:styleId="Heading3Char">
    <w:name w:val="Heading 3 Char"/>
    <w:link w:val="Heading3"/>
    <w:uiPriority w:val="99"/>
    <w:rsid w:val="00BE3CF0"/>
    <w:rPr>
      <w:sz w:val="22"/>
      <w:szCs w:val="22"/>
      <w:lang w:eastAsia="en-US"/>
    </w:rPr>
  </w:style>
  <w:style w:type="character" w:customStyle="1" w:styleId="Heading4Char">
    <w:name w:val="Heading 4 Char"/>
    <w:link w:val="Heading4"/>
    <w:uiPriority w:val="99"/>
    <w:rsid w:val="00BE3CF0"/>
    <w:rPr>
      <w:sz w:val="22"/>
      <w:szCs w:val="22"/>
      <w:lang w:eastAsia="en-US"/>
    </w:rPr>
  </w:style>
  <w:style w:type="character" w:customStyle="1" w:styleId="Heading5Char">
    <w:name w:val="Heading 5 Char"/>
    <w:link w:val="Heading5"/>
    <w:uiPriority w:val="99"/>
    <w:rsid w:val="00BE3CF0"/>
    <w:rPr>
      <w:sz w:val="22"/>
      <w:szCs w:val="22"/>
      <w:lang w:eastAsia="en-US"/>
    </w:rPr>
  </w:style>
  <w:style w:type="character" w:customStyle="1" w:styleId="Heading6Char">
    <w:name w:val="Heading 6 Char"/>
    <w:link w:val="Heading6"/>
    <w:uiPriority w:val="99"/>
    <w:rsid w:val="00BE3CF0"/>
    <w:rPr>
      <w:rFonts w:ascii="Calibri" w:hAnsi="Calibri"/>
      <w:b/>
      <w:bCs/>
      <w:sz w:val="22"/>
      <w:szCs w:val="22"/>
      <w:lang w:eastAsia="en-US"/>
    </w:rPr>
  </w:style>
  <w:style w:type="character" w:customStyle="1" w:styleId="Heading7Char">
    <w:name w:val="Heading 7 Char"/>
    <w:link w:val="Heading7"/>
    <w:uiPriority w:val="99"/>
    <w:rsid w:val="00BE3CF0"/>
    <w:rPr>
      <w:rFonts w:ascii="Arial" w:hAnsi="Arial"/>
      <w:b/>
      <w:color w:val="008000"/>
      <w:sz w:val="32"/>
      <w:lang w:eastAsia="en-US"/>
    </w:rPr>
  </w:style>
  <w:style w:type="character" w:customStyle="1" w:styleId="Heading8Char">
    <w:name w:val="Heading 8 Char"/>
    <w:link w:val="Heading8"/>
    <w:uiPriority w:val="99"/>
    <w:rsid w:val="00BE3CF0"/>
    <w:rPr>
      <w:rFonts w:ascii="Arial" w:hAnsi="Arial"/>
      <w:b/>
      <w:sz w:val="22"/>
      <w:lang w:eastAsia="en-US"/>
    </w:rPr>
  </w:style>
  <w:style w:type="character" w:customStyle="1" w:styleId="Heading9Char">
    <w:name w:val="Heading 9 Char"/>
    <w:link w:val="Heading9"/>
    <w:uiPriority w:val="99"/>
    <w:rsid w:val="00BE3CF0"/>
    <w:rPr>
      <w:rFonts w:ascii="Cambria" w:hAnsi="Cambria"/>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99221715">
      <w:bodyDiv w:val="1"/>
      <w:marLeft w:val="0"/>
      <w:marRight w:val="0"/>
      <w:marTop w:val="0"/>
      <w:marBottom w:val="0"/>
      <w:divBdr>
        <w:top w:val="none" w:sz="0" w:space="0" w:color="auto"/>
        <w:left w:val="none" w:sz="0" w:space="0" w:color="auto"/>
        <w:bottom w:val="none" w:sz="0" w:space="0" w:color="auto"/>
        <w:right w:val="none" w:sz="0" w:space="0" w:color="auto"/>
      </w:divBdr>
    </w:div>
    <w:div w:id="1906839672">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budget/graphs/inforeuro.html"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Arab" typeface="Times New Roman"/>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Times New Roman"/>
        <a:font script="Knda" typeface="Tunga"/>
        <a:font script="Khmr" typeface="MoolBoran"/>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Angsana New"/>
        <a:font script="Tibt" typeface="Microsoft Himalaya"/>
        <a:font script="Cans" typeface="Euphemia"/>
        <a:font script="Yiii" typeface="Microsoft Yi Baiti"/>
        <a:font script="Hans" typeface="等线 Light"/>
        <a:font script="Hant" typeface="新細明體"/>
        <a:font script="Jpan" typeface="游ゴシック Light"/>
      </a:majorFont>
      <a:minorFont>
        <a:latin typeface="Calibri"/>
        <a:ea typeface=""/>
        <a:cs typeface=""/>
        <a:font script="Arab" typeface="Arial"/>
        <a:font script="Beng" typeface="Vrinda"/>
        <a:font script="Cher" typeface="Plantagenet Cherokee"/>
        <a:font script="Deva" typeface="Mangal"/>
        <a:font script="Ethi" typeface="Nyala"/>
        <a:font script="Geor" typeface="Sylfaen"/>
        <a:font script="Gujr" typeface="Shruti"/>
        <a:font script="Guru" typeface="Raavi"/>
        <a:font script="Hang" typeface="맑은 고딕"/>
        <a:font script="Hebr" typeface="Arial"/>
        <a:font script="Knda" typeface="Tunga"/>
        <a:font script="Khmr" typeface="DaunPenh"/>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Cordia New"/>
        <a:font script="Tibt" typeface="Microsoft Himalaya"/>
        <a:font script="Cans" typeface="Euphemia"/>
        <a:font script="Yiii" typeface="Microsoft Yi Baiti"/>
        <a:font script="Hans" typeface="等线"/>
        <a:font script="Hant" typeface="新細明體"/>
        <a:font script="Jpan" typeface="游明朝"/>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5312F4-625C-419F-A658-4A38D5C77E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1404</Words>
  <Characters>8004</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9390</CharactersWithSpaces>
  <SharedDoc>false</SharedDoc>
  <HLinks>
    <vt:vector size="6" baseType="variant">
      <vt:variant>
        <vt:i4>5308446</vt:i4>
      </vt:variant>
      <vt:variant>
        <vt:i4>0</vt:i4>
      </vt:variant>
      <vt:variant>
        <vt:i4>0</vt:i4>
      </vt:variant>
      <vt:variant>
        <vt:i4>5</vt:i4>
      </vt:variant>
      <vt:variant>
        <vt:lpwstr>http://ec.europa.eu/europeaid/prag/annexes.do?chapterTitleCode=A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creator>sabatmu</dc:creator>
  <cp:lastModifiedBy>korisnik</cp:lastModifiedBy>
  <cp:revision>2</cp:revision>
  <dcterms:created xsi:type="dcterms:W3CDTF">2020-11-25T11:34:00Z</dcterms:created>
  <dcterms:modified xsi:type="dcterms:W3CDTF">2020-11-25T11:34:00Z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Checked by">
    <vt:lpwstr>duboile</vt:lpwstr>
  </property>
</Properties>
</file>