
<file path=[Content_Types].xml><?xml version="1.0" encoding="utf-8"?>
<Types xmlns="http://schemas.openxmlformats.org/package/2006/content-types">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word/theme/themeOverride26.xml" ContentType="application/vnd.openxmlformats-officedocument.themeOverride+xml"/>
  <Override PartName="/customXml/itemProps1.xml" ContentType="application/vnd.openxmlformats-officedocument.customXmlProperties+xml"/>
  <Override PartName="/word/theme/themeOverride22.xml" ContentType="application/vnd.openxmlformats-officedocument.themeOverride+xml"/>
  <Override PartName="/word/theme/themeOverride3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40.xml" ContentType="application/vnd.openxmlformats-officedocument.themeOverride+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charts/chart19.xml" ContentType="application/vnd.openxmlformats-officedocument.drawingml.chart+xml"/>
  <Override PartName="/word/charts/chart4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26.xml" ContentType="application/vnd.openxmlformats-officedocument.drawingml.chart+xml"/>
  <Override PartName="/word/charts/chart37.xml" ContentType="application/vnd.openxmlformats-officedocument.drawingml.chart+xml"/>
  <Override PartName="/word/charts/chart46.xml" ContentType="application/vnd.openxmlformats-officedocument.drawingml.chart+xml"/>
  <Override PartName="/word/footer3.xml" ContentType="application/vnd.openxmlformats-officedocument.wordprocessingml.footer+xml"/>
  <Override PartName="/word/charts/chart5.xml" ContentType="application/vnd.openxmlformats-officedocument.drawingml.chart+xml"/>
  <Override PartName="/word/charts/chart15.xml" ContentType="application/vnd.openxmlformats-officedocument.drawingml.chart+xml"/>
  <Override PartName="/word/charts/chart24.xml" ContentType="application/vnd.openxmlformats-officedocument.drawingml.chart+xml"/>
  <Override PartName="/word/charts/chart35.xml" ContentType="application/vnd.openxmlformats-officedocument.drawingml.chart+xml"/>
  <Override PartName="/word/charts/chart44.xml" ContentType="application/vnd.openxmlformats-officedocument.drawingml.chart+xml"/>
  <Override PartName="/word/footer1.xml" ContentType="application/vnd.openxmlformats-officedocument.wordprocessingml.footer+xml"/>
  <Default Extension="xlsx" ContentType="application/vnd.openxmlformats-officedocument.spreadsheetml.sheet"/>
  <Override PartName="/word/charts/chart3.xml" ContentType="application/vnd.openxmlformats-officedocument.drawingml.chart+xml"/>
  <Override PartName="/word/theme/themeOverride8.xml" ContentType="application/vnd.openxmlformats-officedocument.themeOverride+xml"/>
  <Override PartName="/word/charts/chart13.xml" ContentType="application/vnd.openxmlformats-officedocument.drawingml.chart+xml"/>
  <Override PartName="/word/charts/chart22.xml" ContentType="application/vnd.openxmlformats-officedocument.drawingml.chart+xml"/>
  <Override PartName="/word/theme/themeOverride29.xml" ContentType="application/vnd.openxmlformats-officedocument.themeOverride+xml"/>
  <Override PartName="/word/charts/chart31.xml" ContentType="application/vnd.openxmlformats-officedocument.drawingml.chart+xml"/>
  <Override PartName="/word/charts/chart33.xml" ContentType="application/vnd.openxmlformats-officedocument.drawingml.chart+xml"/>
  <Override PartName="/word/theme/themeOverride38.xml" ContentType="application/vnd.openxmlformats-officedocument.themeOverride+xml"/>
  <Override PartName="/word/charts/chart42.xml" ContentType="application/vnd.openxmlformats-officedocument.drawingml.chart+xml"/>
  <Override PartName="/word/charts/chart51.xml" ContentType="application/vnd.openxmlformats-officedocument.drawingml.chart+xml"/>
  <Override PartName="/word/header2.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charts/chart11.xml" ContentType="application/vnd.openxmlformats-officedocument.drawingml.chart+xml"/>
  <Override PartName="/word/theme/themeOverride18.xml" ContentType="application/vnd.openxmlformats-officedocument.themeOverride+xml"/>
  <Override PartName="/word/charts/chart20.xml" ContentType="application/vnd.openxmlformats-officedocument.drawingml.chart+xml"/>
  <Override PartName="/word/theme/themeOverride27.xml" ContentType="application/vnd.openxmlformats-officedocument.themeOverride+xml"/>
  <Override PartName="/word/theme/themeOverride36.xml" ContentType="application/vnd.openxmlformats-officedocument.themeOverride+xml"/>
  <Override PartName="/word/charts/chart40.xml" ContentType="application/vnd.openxmlformats-officedocument.drawingml.chart+xml"/>
  <Default Extension="png" ContentType="image/png"/>
  <Override PartName="/word/theme/themeOverride4.xml" ContentType="application/vnd.openxmlformats-officedocument.themeOverride+xml"/>
  <Override PartName="/word/theme/themeOverride16.xml" ContentType="application/vnd.openxmlformats-officedocument.themeOverride+xml"/>
  <Override PartName="/word/theme/themeOverride25.xml" ContentType="application/vnd.openxmlformats-officedocument.themeOverride+xml"/>
  <Override PartName="/word/theme/themeOverride34.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theme/themeOverride23.xml" ContentType="application/vnd.openxmlformats-officedocument.themeOverride+xml"/>
  <Override PartName="/word/theme/themeOverride32.xml" ContentType="application/vnd.openxmlformats-officedocument.themeOverride+xml"/>
  <Override PartName="/word/theme/themeOverride41.xml" ContentType="application/vnd.openxmlformats-officedocument.themeOverride+xml"/>
  <Override PartName="/word/theme/themeOverride12.xml" ContentType="application/vnd.openxmlformats-officedocument.themeOverride+xml"/>
  <Override PartName="/word/theme/themeOverride21.xml" ContentType="application/vnd.openxmlformats-officedocument.themeOverride+xml"/>
  <Override PartName="/word/theme/themeOverride30.xml" ContentType="application/vnd.openxmlformats-officedocument.themeOverride+xml"/>
  <Override PartName="/word/charts/chart4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charts/chart8.xml" ContentType="application/vnd.openxmlformats-officedocument.drawingml.chart+xml"/>
  <Override PartName="/word/theme/themeOverride10.xml" ContentType="application/vnd.openxmlformats-officedocument.themeOverride+xml"/>
  <Override PartName="/word/charts/chart29.xml" ContentType="application/vnd.openxmlformats-officedocument.drawingml.chart+xml"/>
  <Override PartName="/word/charts/chart38.xml" ContentType="application/vnd.openxmlformats-officedocument.drawingml.chart+xml"/>
  <Override PartName="/word/charts/chart47.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18.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45.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16.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43.xml" ContentType="application/vnd.openxmlformats-officedocument.drawingml.chart+xml"/>
  <Override PartName="/word/charts/chart52.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theme/themeOverride9.xml" ContentType="application/vnd.openxmlformats-officedocument.themeOverride+xml"/>
  <Override PartName="/word/charts/chart14.xml" ContentType="application/vnd.openxmlformats-officedocument.drawingml.chart+xml"/>
  <Override PartName="/word/theme/themeOverride19.xml" ContentType="application/vnd.openxmlformats-officedocument.themeOverride+xml"/>
  <Override PartName="/word/charts/chart23.xml" ContentType="application/vnd.openxmlformats-officedocument.drawingml.chart+xml"/>
  <Override PartName="/word/charts/chart32.xml" ContentType="application/vnd.openxmlformats-officedocument.drawingml.chart+xml"/>
  <Override PartName="/word/theme/themeOverride39.xml" ContentType="application/vnd.openxmlformats-officedocument.themeOverride+xml"/>
  <Override PartName="/word/charts/chart41.xml" ContentType="application/vnd.openxmlformats-officedocument.drawingml.chart+xml"/>
  <Override PartName="/word/charts/chart50.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theme/themeOverride7.xml" ContentType="application/vnd.openxmlformats-officedocument.themeOverride+xml"/>
  <Override PartName="/word/charts/chart12.xml" ContentType="application/vnd.openxmlformats-officedocument.drawingml.chart+xml"/>
  <Override PartName="/word/theme/themeOverride17.xml" ContentType="application/vnd.openxmlformats-officedocument.themeOverride+xml"/>
  <Override PartName="/word/charts/chart21.xml" ContentType="application/vnd.openxmlformats-officedocument.drawingml.chart+xml"/>
  <Override PartName="/word/theme/themeOverride28.xml" ContentType="application/vnd.openxmlformats-officedocument.themeOverride+xml"/>
  <Override PartName="/word/charts/chart30.xml" ContentType="application/vnd.openxmlformats-officedocument.drawingml.chart+xml"/>
  <Override PartName="/word/theme/themeOverride37.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theme/themeOverride24.xml" ContentType="application/vnd.openxmlformats-officedocument.themeOverride+xml"/>
  <Override PartName="/word/theme/themeOverride35.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20.xml" ContentType="application/vnd.openxmlformats-officedocument.themeOverride+xml"/>
  <Override PartName="/word/theme/themeOverride31.xml" ContentType="application/vnd.openxmlformats-officedocument.themeOverride+xml"/>
  <Default Extension="rels" ContentType="application/vnd.openxmlformats-package.relationships+xml"/>
  <Override PartName="/word/charts/chart28.xml" ContentType="application/vnd.openxmlformats-officedocument.drawingml.chart+xml"/>
  <Override PartName="/word/charts/chart39.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574" w:rsidRDefault="0023457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Default="00296F54" w:rsidP="00EC5E7E">
      <w:pPr>
        <w:jc w:val="center"/>
        <w:rPr>
          <w:rFonts w:ascii="Times New Roman" w:hAnsi="Times New Roman" w:cs="Times New Roman"/>
          <w:b/>
          <w:sz w:val="32"/>
          <w:szCs w:val="32"/>
          <w:lang/>
        </w:rPr>
      </w:pPr>
    </w:p>
    <w:p w:rsidR="00296F54" w:rsidRPr="00A14E3D" w:rsidRDefault="00296F54" w:rsidP="00EC5E7E">
      <w:pPr>
        <w:jc w:val="center"/>
        <w:rPr>
          <w:rFonts w:ascii="Times New Roman" w:hAnsi="Times New Roman" w:cs="Times New Roman"/>
          <w:b/>
          <w:sz w:val="32"/>
          <w:szCs w:val="32"/>
          <w:lang/>
        </w:rPr>
      </w:pPr>
    </w:p>
    <w:p w:rsidR="0057644C" w:rsidRDefault="00EC5E7E" w:rsidP="0057644C">
      <w:pPr>
        <w:shd w:val="clear" w:color="auto" w:fill="BDD6EE" w:themeFill="accent1" w:themeFillTint="66"/>
        <w:spacing w:after="0"/>
        <w:jc w:val="center"/>
        <w:rPr>
          <w:rFonts w:ascii="Times New Roman" w:hAnsi="Times New Roman" w:cs="Times New Roman"/>
          <w:b/>
          <w:sz w:val="32"/>
          <w:szCs w:val="32"/>
        </w:rPr>
      </w:pPr>
      <w:r w:rsidRPr="00EC5E7E">
        <w:rPr>
          <w:rFonts w:ascii="Times New Roman" w:hAnsi="Times New Roman" w:cs="Times New Roman"/>
          <w:b/>
          <w:sz w:val="32"/>
          <w:szCs w:val="32"/>
        </w:rPr>
        <w:t xml:space="preserve">СТРАТЕГИЈА РАЗВОЈА КУЛТУРЕ ГРАДА СОМБОРА </w:t>
      </w:r>
    </w:p>
    <w:p w:rsidR="00310B70" w:rsidRDefault="00C931CA" w:rsidP="0057644C">
      <w:pPr>
        <w:shd w:val="clear" w:color="auto" w:fill="BDD6EE" w:themeFill="accent1" w:themeFillTint="66"/>
        <w:jc w:val="center"/>
        <w:rPr>
          <w:rFonts w:ascii="Times New Roman" w:hAnsi="Times New Roman" w:cs="Times New Roman"/>
          <w:b/>
          <w:sz w:val="32"/>
          <w:szCs w:val="32"/>
        </w:rPr>
      </w:pPr>
      <w:r>
        <w:rPr>
          <w:rFonts w:ascii="Times New Roman" w:hAnsi="Times New Roman" w:cs="Times New Roman"/>
          <w:b/>
          <w:sz w:val="32"/>
          <w:szCs w:val="32"/>
        </w:rPr>
        <w:t>2021</w:t>
      </w:r>
      <w:r w:rsidR="00EC5E7E" w:rsidRPr="00EC5E7E">
        <w:rPr>
          <w:rFonts w:ascii="Times New Roman" w:hAnsi="Times New Roman" w:cs="Times New Roman"/>
          <w:b/>
          <w:sz w:val="32"/>
          <w:szCs w:val="32"/>
        </w:rPr>
        <w:t xml:space="preserve"> </w:t>
      </w:r>
      <w:r w:rsidR="00EC5E7E">
        <w:rPr>
          <w:rFonts w:ascii="Times New Roman" w:hAnsi="Times New Roman" w:cs="Times New Roman"/>
          <w:b/>
          <w:sz w:val="32"/>
          <w:szCs w:val="32"/>
        </w:rPr>
        <w:t>–</w:t>
      </w:r>
      <w:r w:rsidR="00EC5E7E" w:rsidRPr="00EC5E7E">
        <w:rPr>
          <w:rFonts w:ascii="Times New Roman" w:hAnsi="Times New Roman" w:cs="Times New Roman"/>
          <w:b/>
          <w:sz w:val="32"/>
          <w:szCs w:val="32"/>
        </w:rPr>
        <w:t xml:space="preserve"> 2025</w:t>
      </w:r>
    </w:p>
    <w:p w:rsidR="00BB1151" w:rsidRDefault="00BB1151"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sdt>
      <w:sdtPr>
        <w:rPr>
          <w:rFonts w:asciiTheme="minorHAnsi" w:eastAsiaTheme="minorHAnsi" w:hAnsiTheme="minorHAnsi" w:cstheme="minorBidi"/>
          <w:b w:val="0"/>
          <w:bCs w:val="0"/>
          <w:color w:val="auto"/>
          <w:sz w:val="22"/>
          <w:szCs w:val="22"/>
        </w:rPr>
        <w:id w:val="-1793983431"/>
        <w:docPartObj>
          <w:docPartGallery w:val="Table of Contents"/>
          <w:docPartUnique/>
        </w:docPartObj>
      </w:sdtPr>
      <w:sdtEndPr>
        <w:rPr>
          <w:noProof/>
        </w:rPr>
      </w:sdtEndPr>
      <w:sdtContent>
        <w:p w:rsidR="000606DF" w:rsidRPr="000606DF" w:rsidRDefault="000606DF" w:rsidP="000606DF">
          <w:pPr>
            <w:pStyle w:val="TOCHeading"/>
            <w:spacing w:before="0" w:after="240" w:line="240" w:lineRule="auto"/>
            <w:rPr>
              <w:rFonts w:ascii="Times New Roman" w:hAnsi="Times New Roman" w:cs="Times New Roman"/>
              <w:sz w:val="22"/>
              <w:szCs w:val="22"/>
              <w:lang/>
            </w:rPr>
          </w:pPr>
          <w:r>
            <w:rPr>
              <w:rFonts w:ascii="Times New Roman" w:hAnsi="Times New Roman" w:cs="Times New Roman"/>
              <w:sz w:val="22"/>
              <w:szCs w:val="22"/>
              <w:lang/>
            </w:rPr>
            <w:t>Садржај</w:t>
          </w:r>
        </w:p>
        <w:p w:rsidR="00296F54" w:rsidRDefault="001472A9">
          <w:pPr>
            <w:pStyle w:val="TOC1"/>
            <w:tabs>
              <w:tab w:val="left" w:pos="440"/>
              <w:tab w:val="right" w:leader="dot" w:pos="9350"/>
            </w:tabs>
            <w:rPr>
              <w:noProof/>
            </w:rPr>
          </w:pPr>
          <w:r w:rsidRPr="001472A9">
            <w:rPr>
              <w:rFonts w:ascii="Times New Roman" w:hAnsi="Times New Roman" w:cs="Times New Roman"/>
            </w:rPr>
            <w:fldChar w:fldCharType="begin"/>
          </w:r>
          <w:r w:rsidR="000606DF" w:rsidRPr="000606DF">
            <w:rPr>
              <w:rFonts w:ascii="Times New Roman" w:hAnsi="Times New Roman" w:cs="Times New Roman"/>
            </w:rPr>
            <w:instrText xml:space="preserve"> TOC \o "1-3" \h \z \u </w:instrText>
          </w:r>
          <w:r w:rsidRPr="001472A9">
            <w:rPr>
              <w:rFonts w:ascii="Times New Roman" w:hAnsi="Times New Roman" w:cs="Times New Roman"/>
            </w:rPr>
            <w:fldChar w:fldCharType="separate"/>
          </w:r>
          <w:hyperlink w:anchor="_Toc36072276" w:history="1">
            <w:r w:rsidR="00296F54" w:rsidRPr="006336F9">
              <w:rPr>
                <w:rStyle w:val="Hyperlink"/>
                <w:rFonts w:cstheme="majorHAnsi"/>
                <w:b/>
                <w:noProof/>
              </w:rPr>
              <w:t>1.</w:t>
            </w:r>
            <w:r w:rsidR="00296F54">
              <w:rPr>
                <w:noProof/>
              </w:rPr>
              <w:tab/>
            </w:r>
            <w:r w:rsidR="00296F54" w:rsidRPr="006336F9">
              <w:rPr>
                <w:rStyle w:val="Hyperlink"/>
                <w:b/>
                <w:noProof/>
              </w:rPr>
              <w:t>Увод</w:t>
            </w:r>
            <w:r w:rsidR="00296F54">
              <w:rPr>
                <w:noProof/>
                <w:webHidden/>
              </w:rPr>
              <w:tab/>
            </w:r>
            <w:r>
              <w:rPr>
                <w:noProof/>
                <w:webHidden/>
              </w:rPr>
              <w:fldChar w:fldCharType="begin"/>
            </w:r>
            <w:r w:rsidR="00296F54">
              <w:rPr>
                <w:noProof/>
                <w:webHidden/>
              </w:rPr>
              <w:instrText xml:space="preserve"> PAGEREF _Toc36072276 \h </w:instrText>
            </w:r>
            <w:r>
              <w:rPr>
                <w:noProof/>
                <w:webHidden/>
              </w:rPr>
            </w:r>
            <w:r>
              <w:rPr>
                <w:noProof/>
                <w:webHidden/>
              </w:rPr>
              <w:fldChar w:fldCharType="separate"/>
            </w:r>
            <w:r w:rsidR="00C931CA">
              <w:rPr>
                <w:noProof/>
                <w:webHidden/>
              </w:rPr>
              <w:t>4</w:t>
            </w:r>
            <w:r>
              <w:rPr>
                <w:noProof/>
                <w:webHidden/>
              </w:rPr>
              <w:fldChar w:fldCharType="end"/>
            </w:r>
          </w:hyperlink>
        </w:p>
        <w:p w:rsidR="00296F54" w:rsidRDefault="001472A9">
          <w:pPr>
            <w:pStyle w:val="TOC2"/>
            <w:tabs>
              <w:tab w:val="left" w:pos="880"/>
              <w:tab w:val="right" w:leader="dot" w:pos="9350"/>
            </w:tabs>
            <w:rPr>
              <w:noProof/>
            </w:rPr>
          </w:pPr>
          <w:hyperlink w:anchor="_Toc36072277" w:history="1">
            <w:r w:rsidR="00296F54" w:rsidRPr="006336F9">
              <w:rPr>
                <w:rStyle w:val="Hyperlink"/>
                <w:b/>
                <w:noProof/>
              </w:rPr>
              <w:t>1.1.</w:t>
            </w:r>
            <w:r w:rsidR="00296F54">
              <w:rPr>
                <w:noProof/>
              </w:rPr>
              <w:tab/>
            </w:r>
            <w:r w:rsidR="00296F54" w:rsidRPr="006336F9">
              <w:rPr>
                <w:rStyle w:val="Hyperlink"/>
                <w:b/>
                <w:noProof/>
              </w:rPr>
              <w:t>Ток и динамика израде стратешког документа</w:t>
            </w:r>
            <w:r w:rsidR="00296F54">
              <w:rPr>
                <w:noProof/>
                <w:webHidden/>
              </w:rPr>
              <w:tab/>
            </w:r>
            <w:r>
              <w:rPr>
                <w:noProof/>
                <w:webHidden/>
              </w:rPr>
              <w:fldChar w:fldCharType="begin"/>
            </w:r>
            <w:r w:rsidR="00296F54">
              <w:rPr>
                <w:noProof/>
                <w:webHidden/>
              </w:rPr>
              <w:instrText xml:space="preserve"> PAGEREF _Toc36072277 \h </w:instrText>
            </w:r>
            <w:r>
              <w:rPr>
                <w:noProof/>
                <w:webHidden/>
              </w:rPr>
            </w:r>
            <w:r>
              <w:rPr>
                <w:noProof/>
                <w:webHidden/>
              </w:rPr>
              <w:fldChar w:fldCharType="separate"/>
            </w:r>
            <w:r w:rsidR="00C931CA">
              <w:rPr>
                <w:noProof/>
                <w:webHidden/>
              </w:rPr>
              <w:t>5</w:t>
            </w:r>
            <w:r>
              <w:rPr>
                <w:noProof/>
                <w:webHidden/>
              </w:rPr>
              <w:fldChar w:fldCharType="end"/>
            </w:r>
          </w:hyperlink>
        </w:p>
        <w:p w:rsidR="00296F54" w:rsidRDefault="001472A9">
          <w:pPr>
            <w:pStyle w:val="TOC2"/>
            <w:tabs>
              <w:tab w:val="left" w:pos="880"/>
              <w:tab w:val="right" w:leader="dot" w:pos="9350"/>
            </w:tabs>
            <w:rPr>
              <w:noProof/>
            </w:rPr>
          </w:pPr>
          <w:hyperlink w:anchor="_Toc36072278" w:history="1">
            <w:r w:rsidR="00296F54" w:rsidRPr="006336F9">
              <w:rPr>
                <w:rStyle w:val="Hyperlink"/>
                <w:rFonts w:cstheme="majorHAnsi"/>
                <w:b/>
                <w:noProof/>
                <w:lang w:val="sr-Cyrl-CS"/>
              </w:rPr>
              <w:t>1.2.</w:t>
            </w:r>
            <w:r w:rsidR="00296F54">
              <w:rPr>
                <w:noProof/>
              </w:rPr>
              <w:tab/>
            </w:r>
            <w:r w:rsidR="00296F54" w:rsidRPr="006336F9">
              <w:rPr>
                <w:rStyle w:val="Hyperlink"/>
                <w:rFonts w:cstheme="majorHAnsi"/>
                <w:b/>
                <w:noProof/>
                <w:lang w:val="sr-Cyrl-CS"/>
              </w:rPr>
              <w:t>Анкетно истраживање културних потреба и ставова грађана Сомбора и запослених у установама културе</w:t>
            </w:r>
            <w:r w:rsidR="00296F54">
              <w:rPr>
                <w:noProof/>
                <w:webHidden/>
              </w:rPr>
              <w:tab/>
            </w:r>
            <w:r>
              <w:rPr>
                <w:noProof/>
                <w:webHidden/>
              </w:rPr>
              <w:fldChar w:fldCharType="begin"/>
            </w:r>
            <w:r w:rsidR="00296F54">
              <w:rPr>
                <w:noProof/>
                <w:webHidden/>
              </w:rPr>
              <w:instrText xml:space="preserve"> PAGEREF _Toc36072278 \h </w:instrText>
            </w:r>
            <w:r>
              <w:rPr>
                <w:noProof/>
                <w:webHidden/>
              </w:rPr>
            </w:r>
            <w:r>
              <w:rPr>
                <w:noProof/>
                <w:webHidden/>
              </w:rPr>
              <w:fldChar w:fldCharType="separate"/>
            </w:r>
            <w:r w:rsidR="00C931CA">
              <w:rPr>
                <w:noProof/>
                <w:webHidden/>
              </w:rPr>
              <w:t>6</w:t>
            </w:r>
            <w:r>
              <w:rPr>
                <w:noProof/>
                <w:webHidden/>
              </w:rPr>
              <w:fldChar w:fldCharType="end"/>
            </w:r>
          </w:hyperlink>
        </w:p>
        <w:p w:rsidR="00296F54" w:rsidRDefault="001472A9">
          <w:pPr>
            <w:pStyle w:val="TOC1"/>
            <w:tabs>
              <w:tab w:val="left" w:pos="440"/>
              <w:tab w:val="right" w:leader="dot" w:pos="9350"/>
            </w:tabs>
            <w:rPr>
              <w:noProof/>
            </w:rPr>
          </w:pPr>
          <w:hyperlink w:anchor="_Toc36072279" w:history="1">
            <w:r w:rsidR="00296F54" w:rsidRPr="006336F9">
              <w:rPr>
                <w:rStyle w:val="Hyperlink"/>
                <w:rFonts w:cstheme="majorHAnsi"/>
                <w:b/>
                <w:noProof/>
                <w:lang w:val="sr-Cyrl-CS"/>
              </w:rPr>
              <w:t>2.</w:t>
            </w:r>
            <w:r w:rsidR="00296F54">
              <w:rPr>
                <w:noProof/>
              </w:rPr>
              <w:tab/>
            </w:r>
            <w:r w:rsidR="00296F54" w:rsidRPr="006336F9">
              <w:rPr>
                <w:rStyle w:val="Hyperlink"/>
                <w:b/>
                <w:noProof/>
                <w:lang w:val="sr-Cyrl-CS"/>
              </w:rPr>
              <w:t>Правни и стратешки оквир</w:t>
            </w:r>
            <w:r w:rsidR="00296F54">
              <w:rPr>
                <w:noProof/>
                <w:webHidden/>
              </w:rPr>
              <w:tab/>
            </w:r>
            <w:r>
              <w:rPr>
                <w:noProof/>
                <w:webHidden/>
              </w:rPr>
              <w:fldChar w:fldCharType="begin"/>
            </w:r>
            <w:r w:rsidR="00296F54">
              <w:rPr>
                <w:noProof/>
                <w:webHidden/>
              </w:rPr>
              <w:instrText xml:space="preserve"> PAGEREF _Toc36072279 \h </w:instrText>
            </w:r>
            <w:r>
              <w:rPr>
                <w:noProof/>
                <w:webHidden/>
              </w:rPr>
            </w:r>
            <w:r>
              <w:rPr>
                <w:noProof/>
                <w:webHidden/>
              </w:rPr>
              <w:fldChar w:fldCharType="separate"/>
            </w:r>
            <w:r w:rsidR="00C931CA">
              <w:rPr>
                <w:noProof/>
                <w:webHidden/>
              </w:rPr>
              <w:t>8</w:t>
            </w:r>
            <w:r>
              <w:rPr>
                <w:noProof/>
                <w:webHidden/>
              </w:rPr>
              <w:fldChar w:fldCharType="end"/>
            </w:r>
          </w:hyperlink>
        </w:p>
        <w:p w:rsidR="00296F54" w:rsidRDefault="001472A9">
          <w:pPr>
            <w:pStyle w:val="TOC1"/>
            <w:tabs>
              <w:tab w:val="left" w:pos="440"/>
              <w:tab w:val="right" w:leader="dot" w:pos="9350"/>
            </w:tabs>
            <w:rPr>
              <w:noProof/>
            </w:rPr>
          </w:pPr>
          <w:hyperlink w:anchor="_Toc36072280" w:history="1">
            <w:r w:rsidR="00296F54" w:rsidRPr="006336F9">
              <w:rPr>
                <w:rStyle w:val="Hyperlink"/>
                <w:rFonts w:cstheme="majorHAnsi"/>
                <w:b/>
                <w:noProof/>
              </w:rPr>
              <w:t>3.</w:t>
            </w:r>
            <w:r w:rsidR="00296F54">
              <w:rPr>
                <w:noProof/>
              </w:rPr>
              <w:tab/>
            </w:r>
            <w:r w:rsidR="00296F54" w:rsidRPr="006336F9">
              <w:rPr>
                <w:rStyle w:val="Hyperlink"/>
                <w:b/>
                <w:noProof/>
              </w:rPr>
              <w:t>Опис постојећег стања</w:t>
            </w:r>
            <w:r w:rsidR="00296F54">
              <w:rPr>
                <w:noProof/>
                <w:webHidden/>
              </w:rPr>
              <w:tab/>
            </w:r>
            <w:r>
              <w:rPr>
                <w:noProof/>
                <w:webHidden/>
              </w:rPr>
              <w:fldChar w:fldCharType="begin"/>
            </w:r>
            <w:r w:rsidR="00296F54">
              <w:rPr>
                <w:noProof/>
                <w:webHidden/>
              </w:rPr>
              <w:instrText xml:space="preserve"> PAGEREF _Toc36072280 \h </w:instrText>
            </w:r>
            <w:r>
              <w:rPr>
                <w:noProof/>
                <w:webHidden/>
              </w:rPr>
            </w:r>
            <w:r>
              <w:rPr>
                <w:noProof/>
                <w:webHidden/>
              </w:rPr>
              <w:fldChar w:fldCharType="separate"/>
            </w:r>
            <w:r w:rsidR="00C931CA">
              <w:rPr>
                <w:noProof/>
                <w:webHidden/>
              </w:rPr>
              <w:t>9</w:t>
            </w:r>
            <w:r>
              <w:rPr>
                <w:noProof/>
                <w:webHidden/>
              </w:rPr>
              <w:fldChar w:fldCharType="end"/>
            </w:r>
          </w:hyperlink>
        </w:p>
        <w:p w:rsidR="00296F54" w:rsidRDefault="001472A9">
          <w:pPr>
            <w:pStyle w:val="TOC2"/>
            <w:tabs>
              <w:tab w:val="left" w:pos="880"/>
              <w:tab w:val="right" w:leader="dot" w:pos="9350"/>
            </w:tabs>
            <w:rPr>
              <w:noProof/>
            </w:rPr>
          </w:pPr>
          <w:hyperlink w:anchor="_Toc36072281" w:history="1">
            <w:r w:rsidR="00296F54" w:rsidRPr="006336F9">
              <w:rPr>
                <w:rStyle w:val="Hyperlink"/>
                <w:b/>
                <w:noProof/>
              </w:rPr>
              <w:t>3.1.</w:t>
            </w:r>
            <w:r w:rsidR="00296F54">
              <w:rPr>
                <w:noProof/>
              </w:rPr>
              <w:tab/>
            </w:r>
            <w:r w:rsidR="00296F54" w:rsidRPr="006336F9">
              <w:rPr>
                <w:rStyle w:val="Hyperlink"/>
                <w:b/>
                <w:noProof/>
              </w:rPr>
              <w:t>О Сомбору</w:t>
            </w:r>
            <w:r w:rsidR="00296F54">
              <w:rPr>
                <w:noProof/>
                <w:webHidden/>
              </w:rPr>
              <w:tab/>
            </w:r>
            <w:r>
              <w:rPr>
                <w:noProof/>
                <w:webHidden/>
              </w:rPr>
              <w:fldChar w:fldCharType="begin"/>
            </w:r>
            <w:r w:rsidR="00296F54">
              <w:rPr>
                <w:noProof/>
                <w:webHidden/>
              </w:rPr>
              <w:instrText xml:space="preserve"> PAGEREF _Toc36072281 \h </w:instrText>
            </w:r>
            <w:r>
              <w:rPr>
                <w:noProof/>
                <w:webHidden/>
              </w:rPr>
            </w:r>
            <w:r>
              <w:rPr>
                <w:noProof/>
                <w:webHidden/>
              </w:rPr>
              <w:fldChar w:fldCharType="separate"/>
            </w:r>
            <w:r w:rsidR="00C931CA">
              <w:rPr>
                <w:noProof/>
                <w:webHidden/>
              </w:rPr>
              <w:t>9</w:t>
            </w:r>
            <w:r>
              <w:rPr>
                <w:noProof/>
                <w:webHidden/>
              </w:rPr>
              <w:fldChar w:fldCharType="end"/>
            </w:r>
          </w:hyperlink>
        </w:p>
        <w:p w:rsidR="00296F54" w:rsidRDefault="001472A9">
          <w:pPr>
            <w:pStyle w:val="TOC2"/>
            <w:tabs>
              <w:tab w:val="left" w:pos="880"/>
              <w:tab w:val="right" w:leader="dot" w:pos="9350"/>
            </w:tabs>
            <w:rPr>
              <w:noProof/>
            </w:rPr>
          </w:pPr>
          <w:hyperlink w:anchor="_Toc36072282" w:history="1">
            <w:r w:rsidR="00296F54" w:rsidRPr="006336F9">
              <w:rPr>
                <w:rStyle w:val="Hyperlink"/>
                <w:b/>
                <w:noProof/>
              </w:rPr>
              <w:t>3.2.</w:t>
            </w:r>
            <w:r w:rsidR="00296F54">
              <w:rPr>
                <w:noProof/>
              </w:rPr>
              <w:tab/>
            </w:r>
            <w:r w:rsidR="00296F54" w:rsidRPr="006336F9">
              <w:rPr>
                <w:rStyle w:val="Hyperlink"/>
                <w:b/>
                <w:noProof/>
              </w:rPr>
              <w:t>Организација и функционисање културе у Сомбору</w:t>
            </w:r>
            <w:r w:rsidR="00296F54">
              <w:rPr>
                <w:noProof/>
                <w:webHidden/>
              </w:rPr>
              <w:tab/>
            </w:r>
            <w:r>
              <w:rPr>
                <w:noProof/>
                <w:webHidden/>
              </w:rPr>
              <w:fldChar w:fldCharType="begin"/>
            </w:r>
            <w:r w:rsidR="00296F54">
              <w:rPr>
                <w:noProof/>
                <w:webHidden/>
              </w:rPr>
              <w:instrText xml:space="preserve"> PAGEREF _Toc36072282 \h </w:instrText>
            </w:r>
            <w:r>
              <w:rPr>
                <w:noProof/>
                <w:webHidden/>
              </w:rPr>
            </w:r>
            <w:r>
              <w:rPr>
                <w:noProof/>
                <w:webHidden/>
              </w:rPr>
              <w:fldChar w:fldCharType="separate"/>
            </w:r>
            <w:r w:rsidR="00C931CA">
              <w:rPr>
                <w:noProof/>
                <w:webHidden/>
              </w:rPr>
              <w:t>11</w:t>
            </w:r>
            <w:r>
              <w:rPr>
                <w:noProof/>
                <w:webHidden/>
              </w:rPr>
              <w:fldChar w:fldCharType="end"/>
            </w:r>
          </w:hyperlink>
        </w:p>
        <w:p w:rsidR="00296F54" w:rsidRDefault="001472A9">
          <w:pPr>
            <w:pStyle w:val="TOC3"/>
            <w:rPr>
              <w:noProof/>
            </w:rPr>
          </w:pPr>
          <w:hyperlink w:anchor="_Toc36072283" w:history="1">
            <w:r w:rsidR="00296F54" w:rsidRPr="006336F9">
              <w:rPr>
                <w:rStyle w:val="Hyperlink"/>
                <w:i/>
                <w:noProof/>
                <w:lang w:val="sr-Cyrl-CS"/>
              </w:rPr>
              <w:t>Народно позориште Сомбор</w:t>
            </w:r>
            <w:r w:rsidR="00296F54">
              <w:rPr>
                <w:noProof/>
                <w:webHidden/>
              </w:rPr>
              <w:tab/>
            </w:r>
            <w:r>
              <w:rPr>
                <w:noProof/>
                <w:webHidden/>
              </w:rPr>
              <w:fldChar w:fldCharType="begin"/>
            </w:r>
            <w:r w:rsidR="00296F54">
              <w:rPr>
                <w:noProof/>
                <w:webHidden/>
              </w:rPr>
              <w:instrText xml:space="preserve"> PAGEREF _Toc36072283 \h </w:instrText>
            </w:r>
            <w:r>
              <w:rPr>
                <w:noProof/>
                <w:webHidden/>
              </w:rPr>
            </w:r>
            <w:r>
              <w:rPr>
                <w:noProof/>
                <w:webHidden/>
              </w:rPr>
              <w:fldChar w:fldCharType="separate"/>
            </w:r>
            <w:r w:rsidR="00C931CA">
              <w:rPr>
                <w:noProof/>
                <w:webHidden/>
              </w:rPr>
              <w:t>12</w:t>
            </w:r>
            <w:r>
              <w:rPr>
                <w:noProof/>
                <w:webHidden/>
              </w:rPr>
              <w:fldChar w:fldCharType="end"/>
            </w:r>
          </w:hyperlink>
        </w:p>
        <w:p w:rsidR="00296F54" w:rsidRDefault="001472A9">
          <w:pPr>
            <w:pStyle w:val="TOC3"/>
            <w:rPr>
              <w:noProof/>
            </w:rPr>
          </w:pPr>
          <w:hyperlink w:anchor="_Toc36072284" w:history="1">
            <w:r w:rsidR="00296F54" w:rsidRPr="006336F9">
              <w:rPr>
                <w:rStyle w:val="Hyperlink"/>
                <w:i/>
                <w:noProof/>
                <w:lang w:val="sr-Cyrl-CS"/>
              </w:rPr>
              <w:t>Културни центар „Лаза Костић“</w:t>
            </w:r>
            <w:r w:rsidR="00296F54">
              <w:rPr>
                <w:noProof/>
                <w:webHidden/>
              </w:rPr>
              <w:tab/>
            </w:r>
            <w:r>
              <w:rPr>
                <w:noProof/>
                <w:webHidden/>
              </w:rPr>
              <w:fldChar w:fldCharType="begin"/>
            </w:r>
            <w:r w:rsidR="00296F54">
              <w:rPr>
                <w:noProof/>
                <w:webHidden/>
              </w:rPr>
              <w:instrText xml:space="preserve"> PAGEREF _Toc36072284 \h </w:instrText>
            </w:r>
            <w:r>
              <w:rPr>
                <w:noProof/>
                <w:webHidden/>
              </w:rPr>
            </w:r>
            <w:r>
              <w:rPr>
                <w:noProof/>
                <w:webHidden/>
              </w:rPr>
              <w:fldChar w:fldCharType="separate"/>
            </w:r>
            <w:r w:rsidR="00C931CA">
              <w:rPr>
                <w:noProof/>
                <w:webHidden/>
              </w:rPr>
              <w:t>12</w:t>
            </w:r>
            <w:r>
              <w:rPr>
                <w:noProof/>
                <w:webHidden/>
              </w:rPr>
              <w:fldChar w:fldCharType="end"/>
            </w:r>
          </w:hyperlink>
        </w:p>
        <w:p w:rsidR="00296F54" w:rsidRDefault="001472A9">
          <w:pPr>
            <w:pStyle w:val="TOC3"/>
            <w:rPr>
              <w:noProof/>
            </w:rPr>
          </w:pPr>
          <w:hyperlink w:anchor="_Toc36072285" w:history="1">
            <w:r w:rsidR="00296F54" w:rsidRPr="006336F9">
              <w:rPr>
                <w:rStyle w:val="Hyperlink"/>
                <w:i/>
                <w:noProof/>
                <w:lang w:val="sr-Cyrl-CS"/>
              </w:rPr>
              <w:t>Градски музеј Сомбор</w:t>
            </w:r>
            <w:r w:rsidR="00296F54">
              <w:rPr>
                <w:noProof/>
                <w:webHidden/>
              </w:rPr>
              <w:tab/>
            </w:r>
            <w:r>
              <w:rPr>
                <w:noProof/>
                <w:webHidden/>
              </w:rPr>
              <w:fldChar w:fldCharType="begin"/>
            </w:r>
            <w:r w:rsidR="00296F54">
              <w:rPr>
                <w:noProof/>
                <w:webHidden/>
              </w:rPr>
              <w:instrText xml:space="preserve"> PAGEREF _Toc36072285 \h </w:instrText>
            </w:r>
            <w:r>
              <w:rPr>
                <w:noProof/>
                <w:webHidden/>
              </w:rPr>
            </w:r>
            <w:r>
              <w:rPr>
                <w:noProof/>
                <w:webHidden/>
              </w:rPr>
              <w:fldChar w:fldCharType="separate"/>
            </w:r>
            <w:r w:rsidR="00C931CA">
              <w:rPr>
                <w:noProof/>
                <w:webHidden/>
              </w:rPr>
              <w:t>12</w:t>
            </w:r>
            <w:r>
              <w:rPr>
                <w:noProof/>
                <w:webHidden/>
              </w:rPr>
              <w:fldChar w:fldCharType="end"/>
            </w:r>
          </w:hyperlink>
        </w:p>
        <w:p w:rsidR="00296F54" w:rsidRDefault="001472A9">
          <w:pPr>
            <w:pStyle w:val="TOC3"/>
            <w:rPr>
              <w:noProof/>
            </w:rPr>
          </w:pPr>
          <w:hyperlink w:anchor="_Toc36072286" w:history="1">
            <w:r w:rsidR="00296F54" w:rsidRPr="006336F9">
              <w:rPr>
                <w:rStyle w:val="Hyperlink"/>
                <w:i/>
                <w:noProof/>
                <w:lang w:val="sr-Cyrl-CS"/>
              </w:rPr>
              <w:t>Историјски архив Сомбор</w:t>
            </w:r>
            <w:r w:rsidR="00296F54">
              <w:rPr>
                <w:noProof/>
                <w:webHidden/>
              </w:rPr>
              <w:tab/>
            </w:r>
            <w:r>
              <w:rPr>
                <w:noProof/>
                <w:webHidden/>
              </w:rPr>
              <w:fldChar w:fldCharType="begin"/>
            </w:r>
            <w:r w:rsidR="00296F54">
              <w:rPr>
                <w:noProof/>
                <w:webHidden/>
              </w:rPr>
              <w:instrText xml:space="preserve"> PAGEREF _Toc36072286 \h </w:instrText>
            </w:r>
            <w:r>
              <w:rPr>
                <w:noProof/>
                <w:webHidden/>
              </w:rPr>
            </w:r>
            <w:r>
              <w:rPr>
                <w:noProof/>
                <w:webHidden/>
              </w:rPr>
              <w:fldChar w:fldCharType="separate"/>
            </w:r>
            <w:r w:rsidR="00C931CA">
              <w:rPr>
                <w:noProof/>
                <w:webHidden/>
              </w:rPr>
              <w:t>13</w:t>
            </w:r>
            <w:r>
              <w:rPr>
                <w:noProof/>
                <w:webHidden/>
              </w:rPr>
              <w:fldChar w:fldCharType="end"/>
            </w:r>
          </w:hyperlink>
        </w:p>
        <w:p w:rsidR="00296F54" w:rsidRDefault="001472A9">
          <w:pPr>
            <w:pStyle w:val="TOC3"/>
            <w:rPr>
              <w:noProof/>
            </w:rPr>
          </w:pPr>
          <w:hyperlink w:anchor="_Toc36072287" w:history="1">
            <w:r w:rsidR="00296F54" w:rsidRPr="006336F9">
              <w:rPr>
                <w:rStyle w:val="Hyperlink"/>
                <w:i/>
                <w:noProof/>
                <w:lang w:val="sr-Cyrl-CS"/>
              </w:rPr>
              <w:t>Галерија „Милан Коњовић“</w:t>
            </w:r>
            <w:r w:rsidR="00296F54">
              <w:rPr>
                <w:noProof/>
                <w:webHidden/>
              </w:rPr>
              <w:tab/>
            </w:r>
            <w:r>
              <w:rPr>
                <w:noProof/>
                <w:webHidden/>
              </w:rPr>
              <w:fldChar w:fldCharType="begin"/>
            </w:r>
            <w:r w:rsidR="00296F54">
              <w:rPr>
                <w:noProof/>
                <w:webHidden/>
              </w:rPr>
              <w:instrText xml:space="preserve"> PAGEREF _Toc36072287 \h </w:instrText>
            </w:r>
            <w:r>
              <w:rPr>
                <w:noProof/>
                <w:webHidden/>
              </w:rPr>
            </w:r>
            <w:r>
              <w:rPr>
                <w:noProof/>
                <w:webHidden/>
              </w:rPr>
              <w:fldChar w:fldCharType="separate"/>
            </w:r>
            <w:r w:rsidR="00C931CA">
              <w:rPr>
                <w:noProof/>
                <w:webHidden/>
              </w:rPr>
              <w:t>13</w:t>
            </w:r>
            <w:r>
              <w:rPr>
                <w:noProof/>
                <w:webHidden/>
              </w:rPr>
              <w:fldChar w:fldCharType="end"/>
            </w:r>
          </w:hyperlink>
        </w:p>
        <w:p w:rsidR="00296F54" w:rsidRDefault="001472A9">
          <w:pPr>
            <w:pStyle w:val="TOC3"/>
            <w:rPr>
              <w:noProof/>
            </w:rPr>
          </w:pPr>
          <w:hyperlink w:anchor="_Toc36072288" w:history="1">
            <w:r w:rsidR="00296F54" w:rsidRPr="006336F9">
              <w:rPr>
                <w:rStyle w:val="Hyperlink"/>
                <w:i/>
                <w:noProof/>
              </w:rPr>
              <w:t>Градска библиотека „Карло Бијелицки“</w:t>
            </w:r>
            <w:r w:rsidR="00296F54">
              <w:rPr>
                <w:noProof/>
                <w:webHidden/>
              </w:rPr>
              <w:tab/>
            </w:r>
            <w:r>
              <w:rPr>
                <w:noProof/>
                <w:webHidden/>
              </w:rPr>
              <w:fldChar w:fldCharType="begin"/>
            </w:r>
            <w:r w:rsidR="00296F54">
              <w:rPr>
                <w:noProof/>
                <w:webHidden/>
              </w:rPr>
              <w:instrText xml:space="preserve"> PAGEREF _Toc36072288 \h </w:instrText>
            </w:r>
            <w:r>
              <w:rPr>
                <w:noProof/>
                <w:webHidden/>
              </w:rPr>
            </w:r>
            <w:r>
              <w:rPr>
                <w:noProof/>
                <w:webHidden/>
              </w:rPr>
              <w:fldChar w:fldCharType="separate"/>
            </w:r>
            <w:r w:rsidR="00C931CA">
              <w:rPr>
                <w:noProof/>
                <w:webHidden/>
              </w:rPr>
              <w:t>13</w:t>
            </w:r>
            <w:r>
              <w:rPr>
                <w:noProof/>
                <w:webHidden/>
              </w:rPr>
              <w:fldChar w:fldCharType="end"/>
            </w:r>
          </w:hyperlink>
        </w:p>
        <w:p w:rsidR="00296F54" w:rsidRDefault="001472A9">
          <w:pPr>
            <w:pStyle w:val="TOC3"/>
            <w:rPr>
              <w:noProof/>
            </w:rPr>
          </w:pPr>
          <w:hyperlink w:anchor="_Toc36072289" w:history="1">
            <w:r w:rsidR="00296F54" w:rsidRPr="006336F9">
              <w:rPr>
                <w:rStyle w:val="Hyperlink"/>
                <w:i/>
                <w:noProof/>
              </w:rPr>
              <w:t>Биоскоп</w:t>
            </w:r>
            <w:r w:rsidR="00296F54">
              <w:rPr>
                <w:noProof/>
                <w:webHidden/>
              </w:rPr>
              <w:tab/>
            </w:r>
            <w:r>
              <w:rPr>
                <w:noProof/>
                <w:webHidden/>
              </w:rPr>
              <w:fldChar w:fldCharType="begin"/>
            </w:r>
            <w:r w:rsidR="00296F54">
              <w:rPr>
                <w:noProof/>
                <w:webHidden/>
              </w:rPr>
              <w:instrText xml:space="preserve"> PAGEREF _Toc36072289 \h </w:instrText>
            </w:r>
            <w:r>
              <w:rPr>
                <w:noProof/>
                <w:webHidden/>
              </w:rPr>
            </w:r>
            <w:r>
              <w:rPr>
                <w:noProof/>
                <w:webHidden/>
              </w:rPr>
              <w:fldChar w:fldCharType="separate"/>
            </w:r>
            <w:r w:rsidR="00C931CA">
              <w:rPr>
                <w:noProof/>
                <w:webHidden/>
              </w:rPr>
              <w:t>17</w:t>
            </w:r>
            <w:r>
              <w:rPr>
                <w:noProof/>
                <w:webHidden/>
              </w:rPr>
              <w:fldChar w:fldCharType="end"/>
            </w:r>
          </w:hyperlink>
        </w:p>
        <w:p w:rsidR="00296F54" w:rsidRDefault="001472A9">
          <w:pPr>
            <w:pStyle w:val="TOC3"/>
            <w:rPr>
              <w:noProof/>
            </w:rPr>
          </w:pPr>
          <w:hyperlink w:anchor="_Toc36072290" w:history="1">
            <w:r w:rsidR="00296F54" w:rsidRPr="006336F9">
              <w:rPr>
                <w:rStyle w:val="Hyperlink"/>
                <w:i/>
                <w:noProof/>
                <w:lang w:val="sr-Cyrl-CS"/>
              </w:rPr>
              <w:t>Удружења грађана</w:t>
            </w:r>
            <w:r w:rsidR="00296F54">
              <w:rPr>
                <w:noProof/>
                <w:webHidden/>
              </w:rPr>
              <w:tab/>
            </w:r>
            <w:r>
              <w:rPr>
                <w:noProof/>
                <w:webHidden/>
              </w:rPr>
              <w:fldChar w:fldCharType="begin"/>
            </w:r>
            <w:r w:rsidR="00296F54">
              <w:rPr>
                <w:noProof/>
                <w:webHidden/>
              </w:rPr>
              <w:instrText xml:space="preserve"> PAGEREF _Toc36072290 \h </w:instrText>
            </w:r>
            <w:r>
              <w:rPr>
                <w:noProof/>
                <w:webHidden/>
              </w:rPr>
            </w:r>
            <w:r>
              <w:rPr>
                <w:noProof/>
                <w:webHidden/>
              </w:rPr>
              <w:fldChar w:fldCharType="separate"/>
            </w:r>
            <w:r w:rsidR="00C931CA">
              <w:rPr>
                <w:noProof/>
                <w:webHidden/>
              </w:rPr>
              <w:t>18</w:t>
            </w:r>
            <w:r>
              <w:rPr>
                <w:noProof/>
                <w:webHidden/>
              </w:rPr>
              <w:fldChar w:fldCharType="end"/>
            </w:r>
          </w:hyperlink>
        </w:p>
        <w:p w:rsidR="00296F54" w:rsidRDefault="001472A9">
          <w:pPr>
            <w:pStyle w:val="TOC3"/>
            <w:rPr>
              <w:noProof/>
            </w:rPr>
          </w:pPr>
          <w:hyperlink w:anchor="_Toc36072291" w:history="1">
            <w:r w:rsidR="00296F54" w:rsidRPr="006336F9">
              <w:rPr>
                <w:rStyle w:val="Hyperlink"/>
                <w:i/>
                <w:noProof/>
              </w:rPr>
              <w:t>Истакнути појединци</w:t>
            </w:r>
            <w:r w:rsidR="00296F54">
              <w:rPr>
                <w:noProof/>
                <w:webHidden/>
              </w:rPr>
              <w:tab/>
            </w:r>
            <w:r>
              <w:rPr>
                <w:noProof/>
                <w:webHidden/>
              </w:rPr>
              <w:fldChar w:fldCharType="begin"/>
            </w:r>
            <w:r w:rsidR="00296F54">
              <w:rPr>
                <w:noProof/>
                <w:webHidden/>
              </w:rPr>
              <w:instrText xml:space="preserve"> PAGEREF _Toc36072291 \h </w:instrText>
            </w:r>
            <w:r>
              <w:rPr>
                <w:noProof/>
                <w:webHidden/>
              </w:rPr>
            </w:r>
            <w:r>
              <w:rPr>
                <w:noProof/>
                <w:webHidden/>
              </w:rPr>
              <w:fldChar w:fldCharType="separate"/>
            </w:r>
            <w:r w:rsidR="00C931CA">
              <w:rPr>
                <w:noProof/>
                <w:webHidden/>
              </w:rPr>
              <w:t>18</w:t>
            </w:r>
            <w:r>
              <w:rPr>
                <w:noProof/>
                <w:webHidden/>
              </w:rPr>
              <w:fldChar w:fldCharType="end"/>
            </w:r>
          </w:hyperlink>
        </w:p>
        <w:p w:rsidR="00296F54" w:rsidRDefault="001472A9">
          <w:pPr>
            <w:pStyle w:val="TOC3"/>
            <w:rPr>
              <w:noProof/>
            </w:rPr>
          </w:pPr>
          <w:hyperlink w:anchor="_Toc36072292" w:history="1">
            <w:r w:rsidR="00296F54" w:rsidRPr="006336F9">
              <w:rPr>
                <w:rStyle w:val="Hyperlink"/>
                <w:i/>
                <w:noProof/>
              </w:rPr>
              <w:t>Сарадња</w:t>
            </w:r>
            <w:r w:rsidR="00296F54">
              <w:rPr>
                <w:noProof/>
                <w:webHidden/>
              </w:rPr>
              <w:tab/>
            </w:r>
            <w:r>
              <w:rPr>
                <w:noProof/>
                <w:webHidden/>
              </w:rPr>
              <w:fldChar w:fldCharType="begin"/>
            </w:r>
            <w:r w:rsidR="00296F54">
              <w:rPr>
                <w:noProof/>
                <w:webHidden/>
              </w:rPr>
              <w:instrText xml:space="preserve"> PAGEREF _Toc36072292 \h </w:instrText>
            </w:r>
            <w:r>
              <w:rPr>
                <w:noProof/>
                <w:webHidden/>
              </w:rPr>
            </w:r>
            <w:r>
              <w:rPr>
                <w:noProof/>
                <w:webHidden/>
              </w:rPr>
              <w:fldChar w:fldCharType="separate"/>
            </w:r>
            <w:r w:rsidR="00C931CA">
              <w:rPr>
                <w:noProof/>
                <w:webHidden/>
              </w:rPr>
              <w:t>18</w:t>
            </w:r>
            <w:r>
              <w:rPr>
                <w:noProof/>
                <w:webHidden/>
              </w:rPr>
              <w:fldChar w:fldCharType="end"/>
            </w:r>
          </w:hyperlink>
        </w:p>
        <w:p w:rsidR="00296F54" w:rsidRDefault="001472A9">
          <w:pPr>
            <w:pStyle w:val="TOC2"/>
            <w:tabs>
              <w:tab w:val="left" w:pos="880"/>
              <w:tab w:val="right" w:leader="dot" w:pos="9350"/>
            </w:tabs>
            <w:rPr>
              <w:noProof/>
            </w:rPr>
          </w:pPr>
          <w:hyperlink w:anchor="_Toc36072293" w:history="1">
            <w:r w:rsidR="00296F54" w:rsidRPr="006336F9">
              <w:rPr>
                <w:rStyle w:val="Hyperlink"/>
                <w:b/>
                <w:noProof/>
              </w:rPr>
              <w:t>3.3.</w:t>
            </w:r>
            <w:r w:rsidR="00296F54">
              <w:rPr>
                <w:noProof/>
              </w:rPr>
              <w:tab/>
            </w:r>
            <w:r w:rsidR="00296F54" w:rsidRPr="006336F9">
              <w:rPr>
                <w:rStyle w:val="Hyperlink"/>
                <w:b/>
                <w:noProof/>
              </w:rPr>
              <w:t>Финансирање програма и пројеката</w:t>
            </w:r>
            <w:r w:rsidR="00296F54">
              <w:rPr>
                <w:noProof/>
                <w:webHidden/>
              </w:rPr>
              <w:tab/>
            </w:r>
            <w:r>
              <w:rPr>
                <w:noProof/>
                <w:webHidden/>
              </w:rPr>
              <w:fldChar w:fldCharType="begin"/>
            </w:r>
            <w:r w:rsidR="00296F54">
              <w:rPr>
                <w:noProof/>
                <w:webHidden/>
              </w:rPr>
              <w:instrText xml:space="preserve"> PAGEREF _Toc36072293 \h </w:instrText>
            </w:r>
            <w:r>
              <w:rPr>
                <w:noProof/>
                <w:webHidden/>
              </w:rPr>
            </w:r>
            <w:r>
              <w:rPr>
                <w:noProof/>
                <w:webHidden/>
              </w:rPr>
              <w:fldChar w:fldCharType="separate"/>
            </w:r>
            <w:r w:rsidR="00C931CA">
              <w:rPr>
                <w:noProof/>
                <w:webHidden/>
              </w:rPr>
              <w:t>20</w:t>
            </w:r>
            <w:r>
              <w:rPr>
                <w:noProof/>
                <w:webHidden/>
              </w:rPr>
              <w:fldChar w:fldCharType="end"/>
            </w:r>
          </w:hyperlink>
        </w:p>
        <w:p w:rsidR="00296F54" w:rsidRDefault="001472A9">
          <w:pPr>
            <w:pStyle w:val="TOC2"/>
            <w:tabs>
              <w:tab w:val="left" w:pos="880"/>
              <w:tab w:val="right" w:leader="dot" w:pos="9350"/>
            </w:tabs>
            <w:rPr>
              <w:noProof/>
            </w:rPr>
          </w:pPr>
          <w:hyperlink w:anchor="_Toc36072294" w:history="1">
            <w:r w:rsidR="00296F54" w:rsidRPr="006336F9">
              <w:rPr>
                <w:rStyle w:val="Hyperlink"/>
                <w:b/>
                <w:noProof/>
              </w:rPr>
              <w:t>3.4.</w:t>
            </w:r>
            <w:r w:rsidR="00296F54">
              <w:rPr>
                <w:noProof/>
              </w:rPr>
              <w:tab/>
            </w:r>
            <w:r w:rsidR="00296F54" w:rsidRPr="006336F9">
              <w:rPr>
                <w:rStyle w:val="Hyperlink"/>
                <w:b/>
                <w:noProof/>
              </w:rPr>
              <w:t>Програми и публика</w:t>
            </w:r>
            <w:r w:rsidR="00296F54">
              <w:rPr>
                <w:noProof/>
                <w:webHidden/>
              </w:rPr>
              <w:tab/>
            </w:r>
            <w:r>
              <w:rPr>
                <w:noProof/>
                <w:webHidden/>
              </w:rPr>
              <w:fldChar w:fldCharType="begin"/>
            </w:r>
            <w:r w:rsidR="00296F54">
              <w:rPr>
                <w:noProof/>
                <w:webHidden/>
              </w:rPr>
              <w:instrText xml:space="preserve"> PAGEREF _Toc36072294 \h </w:instrText>
            </w:r>
            <w:r>
              <w:rPr>
                <w:noProof/>
                <w:webHidden/>
              </w:rPr>
            </w:r>
            <w:r>
              <w:rPr>
                <w:noProof/>
                <w:webHidden/>
              </w:rPr>
              <w:fldChar w:fldCharType="separate"/>
            </w:r>
            <w:r w:rsidR="00C931CA">
              <w:rPr>
                <w:noProof/>
                <w:webHidden/>
              </w:rPr>
              <w:t>23</w:t>
            </w:r>
            <w:r>
              <w:rPr>
                <w:noProof/>
                <w:webHidden/>
              </w:rPr>
              <w:fldChar w:fldCharType="end"/>
            </w:r>
          </w:hyperlink>
        </w:p>
        <w:p w:rsidR="00296F54" w:rsidRDefault="001472A9">
          <w:pPr>
            <w:pStyle w:val="TOC1"/>
            <w:tabs>
              <w:tab w:val="left" w:pos="440"/>
              <w:tab w:val="right" w:leader="dot" w:pos="9350"/>
            </w:tabs>
            <w:rPr>
              <w:noProof/>
            </w:rPr>
          </w:pPr>
          <w:hyperlink w:anchor="_Toc36072295" w:history="1">
            <w:r w:rsidR="00296F54" w:rsidRPr="006336F9">
              <w:rPr>
                <w:rStyle w:val="Hyperlink"/>
                <w:rFonts w:cstheme="majorHAnsi"/>
                <w:b/>
                <w:noProof/>
              </w:rPr>
              <w:t>4.</w:t>
            </w:r>
            <w:r w:rsidR="00296F54">
              <w:rPr>
                <w:noProof/>
              </w:rPr>
              <w:tab/>
            </w:r>
            <w:r w:rsidR="00296F54" w:rsidRPr="006336F9">
              <w:rPr>
                <w:rStyle w:val="Hyperlink"/>
                <w:b/>
                <w:noProof/>
              </w:rPr>
              <w:t>Унапређење културе у Сомбору – визија</w:t>
            </w:r>
            <w:r w:rsidR="00296F54">
              <w:rPr>
                <w:noProof/>
                <w:webHidden/>
              </w:rPr>
              <w:tab/>
            </w:r>
            <w:r>
              <w:rPr>
                <w:noProof/>
                <w:webHidden/>
              </w:rPr>
              <w:fldChar w:fldCharType="begin"/>
            </w:r>
            <w:r w:rsidR="00296F54">
              <w:rPr>
                <w:noProof/>
                <w:webHidden/>
              </w:rPr>
              <w:instrText xml:space="preserve"> PAGEREF _Toc36072295 \h </w:instrText>
            </w:r>
            <w:r>
              <w:rPr>
                <w:noProof/>
                <w:webHidden/>
              </w:rPr>
            </w:r>
            <w:r>
              <w:rPr>
                <w:noProof/>
                <w:webHidden/>
              </w:rPr>
              <w:fldChar w:fldCharType="separate"/>
            </w:r>
            <w:r w:rsidR="00C931CA">
              <w:rPr>
                <w:noProof/>
                <w:webHidden/>
              </w:rPr>
              <w:t>25</w:t>
            </w:r>
            <w:r>
              <w:rPr>
                <w:noProof/>
                <w:webHidden/>
              </w:rPr>
              <w:fldChar w:fldCharType="end"/>
            </w:r>
          </w:hyperlink>
        </w:p>
        <w:p w:rsidR="00296F54" w:rsidRDefault="001472A9">
          <w:pPr>
            <w:pStyle w:val="TOC1"/>
            <w:tabs>
              <w:tab w:val="left" w:pos="440"/>
              <w:tab w:val="right" w:leader="dot" w:pos="9350"/>
            </w:tabs>
            <w:rPr>
              <w:noProof/>
            </w:rPr>
          </w:pPr>
          <w:hyperlink w:anchor="_Toc36072296" w:history="1">
            <w:r w:rsidR="00296F54" w:rsidRPr="006336F9">
              <w:rPr>
                <w:rStyle w:val="Hyperlink"/>
                <w:rFonts w:cstheme="majorHAnsi"/>
                <w:b/>
                <w:noProof/>
              </w:rPr>
              <w:t>5.</w:t>
            </w:r>
            <w:r w:rsidR="00296F54">
              <w:rPr>
                <w:noProof/>
              </w:rPr>
              <w:tab/>
            </w:r>
            <w:r w:rsidR="00296F54" w:rsidRPr="006336F9">
              <w:rPr>
                <w:rStyle w:val="Hyperlink"/>
                <w:b/>
                <w:noProof/>
              </w:rPr>
              <w:t>Унапређење културе у Сомбору – циљеви</w:t>
            </w:r>
            <w:r w:rsidR="00296F54">
              <w:rPr>
                <w:noProof/>
                <w:webHidden/>
              </w:rPr>
              <w:tab/>
            </w:r>
            <w:r>
              <w:rPr>
                <w:noProof/>
                <w:webHidden/>
              </w:rPr>
              <w:fldChar w:fldCharType="begin"/>
            </w:r>
            <w:r w:rsidR="00296F54">
              <w:rPr>
                <w:noProof/>
                <w:webHidden/>
              </w:rPr>
              <w:instrText xml:space="preserve"> PAGEREF _Toc36072296 \h </w:instrText>
            </w:r>
            <w:r>
              <w:rPr>
                <w:noProof/>
                <w:webHidden/>
              </w:rPr>
            </w:r>
            <w:r>
              <w:rPr>
                <w:noProof/>
                <w:webHidden/>
              </w:rPr>
              <w:fldChar w:fldCharType="separate"/>
            </w:r>
            <w:r w:rsidR="00C931CA">
              <w:rPr>
                <w:noProof/>
                <w:webHidden/>
              </w:rPr>
              <w:t>27</w:t>
            </w:r>
            <w:r>
              <w:rPr>
                <w:noProof/>
                <w:webHidden/>
              </w:rPr>
              <w:fldChar w:fldCharType="end"/>
            </w:r>
          </w:hyperlink>
        </w:p>
        <w:p w:rsidR="00296F54" w:rsidRDefault="001472A9">
          <w:pPr>
            <w:pStyle w:val="TOC2"/>
            <w:tabs>
              <w:tab w:val="left" w:pos="880"/>
              <w:tab w:val="right" w:leader="dot" w:pos="9350"/>
            </w:tabs>
            <w:rPr>
              <w:noProof/>
            </w:rPr>
          </w:pPr>
          <w:hyperlink w:anchor="_Toc36072297" w:history="1">
            <w:r w:rsidR="00296F54" w:rsidRPr="006336F9">
              <w:rPr>
                <w:rStyle w:val="Hyperlink"/>
                <w:b/>
                <w:noProof/>
              </w:rPr>
              <w:t>5.1.</w:t>
            </w:r>
            <w:r w:rsidR="00296F54">
              <w:rPr>
                <w:noProof/>
              </w:rPr>
              <w:tab/>
            </w:r>
            <w:r w:rsidR="00296F54" w:rsidRPr="006336F9">
              <w:rPr>
                <w:rStyle w:val="Hyperlink"/>
                <w:b/>
                <w:noProof/>
              </w:rPr>
              <w:t>Општи циљ</w:t>
            </w:r>
            <w:r w:rsidR="00296F54">
              <w:rPr>
                <w:noProof/>
                <w:webHidden/>
              </w:rPr>
              <w:tab/>
            </w:r>
            <w:r>
              <w:rPr>
                <w:noProof/>
                <w:webHidden/>
              </w:rPr>
              <w:fldChar w:fldCharType="begin"/>
            </w:r>
            <w:r w:rsidR="00296F54">
              <w:rPr>
                <w:noProof/>
                <w:webHidden/>
              </w:rPr>
              <w:instrText xml:space="preserve"> PAGEREF _Toc36072297 \h </w:instrText>
            </w:r>
            <w:r>
              <w:rPr>
                <w:noProof/>
                <w:webHidden/>
              </w:rPr>
            </w:r>
            <w:r>
              <w:rPr>
                <w:noProof/>
                <w:webHidden/>
              </w:rPr>
              <w:fldChar w:fldCharType="separate"/>
            </w:r>
            <w:r w:rsidR="00C931CA">
              <w:rPr>
                <w:noProof/>
                <w:webHidden/>
              </w:rPr>
              <w:t>27</w:t>
            </w:r>
            <w:r>
              <w:rPr>
                <w:noProof/>
                <w:webHidden/>
              </w:rPr>
              <w:fldChar w:fldCharType="end"/>
            </w:r>
          </w:hyperlink>
        </w:p>
        <w:p w:rsidR="00296F54" w:rsidRDefault="001472A9">
          <w:pPr>
            <w:pStyle w:val="TOC2"/>
            <w:tabs>
              <w:tab w:val="left" w:pos="880"/>
              <w:tab w:val="right" w:leader="dot" w:pos="9350"/>
            </w:tabs>
            <w:rPr>
              <w:noProof/>
            </w:rPr>
          </w:pPr>
          <w:hyperlink w:anchor="_Toc36072298" w:history="1">
            <w:r w:rsidR="00296F54" w:rsidRPr="006336F9">
              <w:rPr>
                <w:rStyle w:val="Hyperlink"/>
                <w:b/>
                <w:noProof/>
              </w:rPr>
              <w:t>5.2.</w:t>
            </w:r>
            <w:r w:rsidR="00296F54">
              <w:rPr>
                <w:noProof/>
              </w:rPr>
              <w:tab/>
            </w:r>
            <w:r w:rsidR="00296F54" w:rsidRPr="006336F9">
              <w:rPr>
                <w:rStyle w:val="Hyperlink"/>
                <w:b/>
                <w:noProof/>
              </w:rPr>
              <w:t>Посебни циљеви</w:t>
            </w:r>
            <w:r w:rsidR="00296F54">
              <w:rPr>
                <w:noProof/>
                <w:webHidden/>
              </w:rPr>
              <w:tab/>
            </w:r>
            <w:r>
              <w:rPr>
                <w:noProof/>
                <w:webHidden/>
              </w:rPr>
              <w:fldChar w:fldCharType="begin"/>
            </w:r>
            <w:r w:rsidR="00296F54">
              <w:rPr>
                <w:noProof/>
                <w:webHidden/>
              </w:rPr>
              <w:instrText xml:space="preserve"> PAGEREF _Toc36072298 \h </w:instrText>
            </w:r>
            <w:r>
              <w:rPr>
                <w:noProof/>
                <w:webHidden/>
              </w:rPr>
            </w:r>
            <w:r>
              <w:rPr>
                <w:noProof/>
                <w:webHidden/>
              </w:rPr>
              <w:fldChar w:fldCharType="separate"/>
            </w:r>
            <w:r w:rsidR="00C931CA">
              <w:rPr>
                <w:noProof/>
                <w:webHidden/>
              </w:rPr>
              <w:t>28</w:t>
            </w:r>
            <w:r>
              <w:rPr>
                <w:noProof/>
                <w:webHidden/>
              </w:rPr>
              <w:fldChar w:fldCharType="end"/>
            </w:r>
          </w:hyperlink>
        </w:p>
        <w:p w:rsidR="00296F54" w:rsidRDefault="001472A9">
          <w:pPr>
            <w:pStyle w:val="TOC3"/>
            <w:rPr>
              <w:noProof/>
            </w:rPr>
          </w:pPr>
          <w:hyperlink w:anchor="_Toc36072299" w:history="1">
            <w:r w:rsidR="00296F54" w:rsidRPr="006336F9">
              <w:rPr>
                <w:rStyle w:val="Hyperlink"/>
                <w:b/>
                <w:noProof/>
              </w:rPr>
              <w:t>Посебни циљ 1: Унапређење система функционисања културе у граду Сомбору</w:t>
            </w:r>
            <w:r w:rsidR="00296F54">
              <w:rPr>
                <w:noProof/>
                <w:webHidden/>
              </w:rPr>
              <w:tab/>
            </w:r>
            <w:r>
              <w:rPr>
                <w:noProof/>
                <w:webHidden/>
              </w:rPr>
              <w:fldChar w:fldCharType="begin"/>
            </w:r>
            <w:r w:rsidR="00296F54">
              <w:rPr>
                <w:noProof/>
                <w:webHidden/>
              </w:rPr>
              <w:instrText xml:space="preserve"> PAGEREF _Toc36072299 \h </w:instrText>
            </w:r>
            <w:r>
              <w:rPr>
                <w:noProof/>
                <w:webHidden/>
              </w:rPr>
            </w:r>
            <w:r>
              <w:rPr>
                <w:noProof/>
                <w:webHidden/>
              </w:rPr>
              <w:fldChar w:fldCharType="separate"/>
            </w:r>
            <w:r w:rsidR="00C931CA">
              <w:rPr>
                <w:noProof/>
                <w:webHidden/>
              </w:rPr>
              <w:t>28</w:t>
            </w:r>
            <w:r>
              <w:rPr>
                <w:noProof/>
                <w:webHidden/>
              </w:rPr>
              <w:fldChar w:fldCharType="end"/>
            </w:r>
          </w:hyperlink>
        </w:p>
        <w:p w:rsidR="00296F54" w:rsidRDefault="001472A9">
          <w:pPr>
            <w:pStyle w:val="TOC3"/>
            <w:rPr>
              <w:noProof/>
            </w:rPr>
          </w:pPr>
          <w:hyperlink w:anchor="_Toc36072300" w:history="1">
            <w:r w:rsidR="00296F54" w:rsidRPr="006336F9">
              <w:rPr>
                <w:rStyle w:val="Hyperlink"/>
                <w:b/>
                <w:noProof/>
              </w:rPr>
              <w:t>Посебни циљ 2: Побољшање културне инфраструктуре у граду Сомбору</w:t>
            </w:r>
            <w:r w:rsidR="00296F54">
              <w:rPr>
                <w:noProof/>
                <w:webHidden/>
              </w:rPr>
              <w:tab/>
            </w:r>
            <w:r>
              <w:rPr>
                <w:noProof/>
                <w:webHidden/>
              </w:rPr>
              <w:fldChar w:fldCharType="begin"/>
            </w:r>
            <w:r w:rsidR="00296F54">
              <w:rPr>
                <w:noProof/>
                <w:webHidden/>
              </w:rPr>
              <w:instrText xml:space="preserve"> PAGEREF _Toc36072300 \h </w:instrText>
            </w:r>
            <w:r>
              <w:rPr>
                <w:noProof/>
                <w:webHidden/>
              </w:rPr>
            </w:r>
            <w:r>
              <w:rPr>
                <w:noProof/>
                <w:webHidden/>
              </w:rPr>
              <w:fldChar w:fldCharType="separate"/>
            </w:r>
            <w:r w:rsidR="00C931CA">
              <w:rPr>
                <w:noProof/>
                <w:webHidden/>
              </w:rPr>
              <w:t>33</w:t>
            </w:r>
            <w:r>
              <w:rPr>
                <w:noProof/>
                <w:webHidden/>
              </w:rPr>
              <w:fldChar w:fldCharType="end"/>
            </w:r>
          </w:hyperlink>
        </w:p>
        <w:p w:rsidR="00296F54" w:rsidRDefault="001472A9">
          <w:pPr>
            <w:pStyle w:val="TOC3"/>
            <w:rPr>
              <w:noProof/>
            </w:rPr>
          </w:pPr>
          <w:hyperlink w:anchor="_Toc36072301" w:history="1">
            <w:r w:rsidR="00296F54" w:rsidRPr="006336F9">
              <w:rPr>
                <w:rStyle w:val="Hyperlink"/>
                <w:b/>
                <w:noProof/>
              </w:rPr>
              <w:t>Посебни циљ 3: Култура младих и за младе</w:t>
            </w:r>
            <w:r w:rsidR="00296F54">
              <w:rPr>
                <w:noProof/>
                <w:webHidden/>
              </w:rPr>
              <w:tab/>
            </w:r>
            <w:r>
              <w:rPr>
                <w:noProof/>
                <w:webHidden/>
              </w:rPr>
              <w:fldChar w:fldCharType="begin"/>
            </w:r>
            <w:r w:rsidR="00296F54">
              <w:rPr>
                <w:noProof/>
                <w:webHidden/>
              </w:rPr>
              <w:instrText xml:space="preserve"> PAGEREF _Toc36072301 \h </w:instrText>
            </w:r>
            <w:r>
              <w:rPr>
                <w:noProof/>
                <w:webHidden/>
              </w:rPr>
            </w:r>
            <w:r>
              <w:rPr>
                <w:noProof/>
                <w:webHidden/>
              </w:rPr>
              <w:fldChar w:fldCharType="separate"/>
            </w:r>
            <w:r w:rsidR="00C931CA">
              <w:rPr>
                <w:noProof/>
                <w:webHidden/>
              </w:rPr>
              <w:t>35</w:t>
            </w:r>
            <w:r>
              <w:rPr>
                <w:noProof/>
                <w:webHidden/>
              </w:rPr>
              <w:fldChar w:fldCharType="end"/>
            </w:r>
          </w:hyperlink>
        </w:p>
        <w:p w:rsidR="00296F54" w:rsidRDefault="001472A9">
          <w:pPr>
            <w:pStyle w:val="TOC3"/>
            <w:rPr>
              <w:noProof/>
            </w:rPr>
          </w:pPr>
          <w:hyperlink w:anchor="_Toc36072302" w:history="1">
            <w:r w:rsidR="00296F54" w:rsidRPr="006336F9">
              <w:rPr>
                <w:rStyle w:val="Hyperlink"/>
                <w:b/>
                <w:noProof/>
              </w:rPr>
              <w:t>Посебни циљ 4: Унапређење доступности и разноликости програма</w:t>
            </w:r>
            <w:r w:rsidR="00296F54">
              <w:rPr>
                <w:noProof/>
                <w:webHidden/>
              </w:rPr>
              <w:tab/>
            </w:r>
            <w:r>
              <w:rPr>
                <w:noProof/>
                <w:webHidden/>
              </w:rPr>
              <w:fldChar w:fldCharType="begin"/>
            </w:r>
            <w:r w:rsidR="00296F54">
              <w:rPr>
                <w:noProof/>
                <w:webHidden/>
              </w:rPr>
              <w:instrText xml:space="preserve"> PAGEREF _Toc36072302 \h </w:instrText>
            </w:r>
            <w:r>
              <w:rPr>
                <w:noProof/>
                <w:webHidden/>
              </w:rPr>
            </w:r>
            <w:r>
              <w:rPr>
                <w:noProof/>
                <w:webHidden/>
              </w:rPr>
              <w:fldChar w:fldCharType="separate"/>
            </w:r>
            <w:r w:rsidR="00C931CA">
              <w:rPr>
                <w:noProof/>
                <w:webHidden/>
              </w:rPr>
              <w:t>37</w:t>
            </w:r>
            <w:r>
              <w:rPr>
                <w:noProof/>
                <w:webHidden/>
              </w:rPr>
              <w:fldChar w:fldCharType="end"/>
            </w:r>
          </w:hyperlink>
        </w:p>
        <w:p w:rsidR="00296F54" w:rsidRDefault="001472A9">
          <w:pPr>
            <w:pStyle w:val="TOC1"/>
            <w:tabs>
              <w:tab w:val="right" w:leader="dot" w:pos="9350"/>
            </w:tabs>
            <w:rPr>
              <w:noProof/>
            </w:rPr>
          </w:pPr>
          <w:hyperlink w:anchor="_Toc36072303" w:history="1">
            <w:r w:rsidR="00296F54" w:rsidRPr="006336F9">
              <w:rPr>
                <w:rStyle w:val="Hyperlink"/>
                <w:b/>
                <w:noProof/>
                <w:lang/>
              </w:rPr>
              <w:t xml:space="preserve">АНЕКС 1: </w:t>
            </w:r>
            <w:r w:rsidR="00296F54" w:rsidRPr="006336F9">
              <w:rPr>
                <w:rStyle w:val="Hyperlink"/>
                <w:rFonts w:ascii="Times New Roman" w:hAnsi="Times New Roman" w:cs="Times New Roman"/>
                <w:b/>
                <w:noProof/>
                <w:lang/>
              </w:rPr>
              <w:t>Анализа потреба, навика и ставова публике Сомбора о култури у њиховом граду</w:t>
            </w:r>
            <w:r w:rsidR="00296F54">
              <w:rPr>
                <w:noProof/>
                <w:webHidden/>
              </w:rPr>
              <w:tab/>
            </w:r>
            <w:r>
              <w:rPr>
                <w:noProof/>
                <w:webHidden/>
              </w:rPr>
              <w:fldChar w:fldCharType="begin"/>
            </w:r>
            <w:r w:rsidR="00296F54">
              <w:rPr>
                <w:noProof/>
                <w:webHidden/>
              </w:rPr>
              <w:instrText xml:space="preserve"> PAGEREF _Toc36072303 \h </w:instrText>
            </w:r>
            <w:r>
              <w:rPr>
                <w:noProof/>
                <w:webHidden/>
              </w:rPr>
            </w:r>
            <w:r>
              <w:rPr>
                <w:noProof/>
                <w:webHidden/>
              </w:rPr>
              <w:fldChar w:fldCharType="separate"/>
            </w:r>
            <w:r w:rsidR="00C931CA">
              <w:rPr>
                <w:noProof/>
                <w:webHidden/>
              </w:rPr>
              <w:t>42</w:t>
            </w:r>
            <w:r>
              <w:rPr>
                <w:noProof/>
                <w:webHidden/>
              </w:rPr>
              <w:fldChar w:fldCharType="end"/>
            </w:r>
          </w:hyperlink>
        </w:p>
        <w:p w:rsidR="00296F54" w:rsidRDefault="001472A9">
          <w:pPr>
            <w:pStyle w:val="TOC1"/>
            <w:tabs>
              <w:tab w:val="left" w:pos="440"/>
              <w:tab w:val="right" w:leader="dot" w:pos="9350"/>
            </w:tabs>
            <w:rPr>
              <w:noProof/>
            </w:rPr>
          </w:pPr>
          <w:hyperlink w:anchor="_Toc36072304" w:history="1">
            <w:r w:rsidR="00296F54" w:rsidRPr="006336F9">
              <w:rPr>
                <w:rStyle w:val="Hyperlink"/>
                <w:b/>
                <w:noProof/>
                <w:lang/>
              </w:rPr>
              <w:t>1.</w:t>
            </w:r>
            <w:r w:rsidR="00296F54">
              <w:rPr>
                <w:noProof/>
              </w:rPr>
              <w:tab/>
            </w:r>
            <w:r w:rsidR="00296F54" w:rsidRPr="006336F9">
              <w:rPr>
                <w:rStyle w:val="Hyperlink"/>
                <w:b/>
                <w:noProof/>
                <w:lang/>
              </w:rPr>
              <w:t>Опис истраживања</w:t>
            </w:r>
            <w:r w:rsidR="00296F54">
              <w:rPr>
                <w:noProof/>
                <w:webHidden/>
              </w:rPr>
              <w:tab/>
            </w:r>
            <w:r>
              <w:rPr>
                <w:noProof/>
                <w:webHidden/>
              </w:rPr>
              <w:fldChar w:fldCharType="begin"/>
            </w:r>
            <w:r w:rsidR="00296F54">
              <w:rPr>
                <w:noProof/>
                <w:webHidden/>
              </w:rPr>
              <w:instrText xml:space="preserve"> PAGEREF _Toc36072304 \h </w:instrText>
            </w:r>
            <w:r>
              <w:rPr>
                <w:noProof/>
                <w:webHidden/>
              </w:rPr>
            </w:r>
            <w:r>
              <w:rPr>
                <w:noProof/>
                <w:webHidden/>
              </w:rPr>
              <w:fldChar w:fldCharType="separate"/>
            </w:r>
            <w:r w:rsidR="00C931CA">
              <w:rPr>
                <w:noProof/>
                <w:webHidden/>
              </w:rPr>
              <w:t>42</w:t>
            </w:r>
            <w:r>
              <w:rPr>
                <w:noProof/>
                <w:webHidden/>
              </w:rPr>
              <w:fldChar w:fldCharType="end"/>
            </w:r>
          </w:hyperlink>
        </w:p>
        <w:p w:rsidR="00296F54" w:rsidRDefault="001472A9">
          <w:pPr>
            <w:pStyle w:val="TOC1"/>
            <w:tabs>
              <w:tab w:val="left" w:pos="440"/>
              <w:tab w:val="right" w:leader="dot" w:pos="9350"/>
            </w:tabs>
            <w:rPr>
              <w:noProof/>
            </w:rPr>
          </w:pPr>
          <w:hyperlink w:anchor="_Toc36072305" w:history="1">
            <w:r w:rsidR="00296F54" w:rsidRPr="006336F9">
              <w:rPr>
                <w:rStyle w:val="Hyperlink"/>
                <w:b/>
                <w:noProof/>
                <w:lang/>
              </w:rPr>
              <w:t>2.</w:t>
            </w:r>
            <w:r w:rsidR="00296F54">
              <w:rPr>
                <w:noProof/>
              </w:rPr>
              <w:tab/>
            </w:r>
            <w:r w:rsidR="00296F54" w:rsidRPr="006336F9">
              <w:rPr>
                <w:rStyle w:val="Hyperlink"/>
                <w:b/>
                <w:noProof/>
                <w:lang/>
              </w:rPr>
              <w:t>Методологија истраживања</w:t>
            </w:r>
            <w:r w:rsidR="00296F54">
              <w:rPr>
                <w:noProof/>
                <w:webHidden/>
              </w:rPr>
              <w:tab/>
            </w:r>
            <w:r>
              <w:rPr>
                <w:noProof/>
                <w:webHidden/>
              </w:rPr>
              <w:fldChar w:fldCharType="begin"/>
            </w:r>
            <w:r w:rsidR="00296F54">
              <w:rPr>
                <w:noProof/>
                <w:webHidden/>
              </w:rPr>
              <w:instrText xml:space="preserve"> PAGEREF _Toc36072305 \h </w:instrText>
            </w:r>
            <w:r>
              <w:rPr>
                <w:noProof/>
                <w:webHidden/>
              </w:rPr>
            </w:r>
            <w:r>
              <w:rPr>
                <w:noProof/>
                <w:webHidden/>
              </w:rPr>
              <w:fldChar w:fldCharType="separate"/>
            </w:r>
            <w:r w:rsidR="00C931CA">
              <w:rPr>
                <w:noProof/>
                <w:webHidden/>
              </w:rPr>
              <w:t>42</w:t>
            </w:r>
            <w:r>
              <w:rPr>
                <w:noProof/>
                <w:webHidden/>
              </w:rPr>
              <w:fldChar w:fldCharType="end"/>
            </w:r>
          </w:hyperlink>
        </w:p>
        <w:p w:rsidR="00296F54" w:rsidRDefault="001472A9">
          <w:pPr>
            <w:pStyle w:val="TOC2"/>
            <w:tabs>
              <w:tab w:val="right" w:leader="dot" w:pos="9350"/>
            </w:tabs>
            <w:rPr>
              <w:noProof/>
            </w:rPr>
          </w:pPr>
          <w:hyperlink w:anchor="_Toc36072306" w:history="1">
            <w:r w:rsidR="00296F54" w:rsidRPr="006336F9">
              <w:rPr>
                <w:rStyle w:val="Hyperlink"/>
                <w:b/>
                <w:noProof/>
                <w:lang/>
              </w:rPr>
              <w:t>2.1. Узорак</w:t>
            </w:r>
            <w:r w:rsidR="00296F54">
              <w:rPr>
                <w:noProof/>
                <w:webHidden/>
              </w:rPr>
              <w:tab/>
            </w:r>
            <w:r>
              <w:rPr>
                <w:noProof/>
                <w:webHidden/>
              </w:rPr>
              <w:fldChar w:fldCharType="begin"/>
            </w:r>
            <w:r w:rsidR="00296F54">
              <w:rPr>
                <w:noProof/>
                <w:webHidden/>
              </w:rPr>
              <w:instrText xml:space="preserve"> PAGEREF _Toc36072306 \h </w:instrText>
            </w:r>
            <w:r>
              <w:rPr>
                <w:noProof/>
                <w:webHidden/>
              </w:rPr>
            </w:r>
            <w:r>
              <w:rPr>
                <w:noProof/>
                <w:webHidden/>
              </w:rPr>
              <w:fldChar w:fldCharType="separate"/>
            </w:r>
            <w:r w:rsidR="00C931CA">
              <w:rPr>
                <w:noProof/>
                <w:webHidden/>
              </w:rPr>
              <w:t>42</w:t>
            </w:r>
            <w:r>
              <w:rPr>
                <w:noProof/>
                <w:webHidden/>
              </w:rPr>
              <w:fldChar w:fldCharType="end"/>
            </w:r>
          </w:hyperlink>
        </w:p>
        <w:p w:rsidR="00296F54" w:rsidRDefault="001472A9">
          <w:pPr>
            <w:pStyle w:val="TOC1"/>
            <w:tabs>
              <w:tab w:val="left" w:pos="440"/>
              <w:tab w:val="right" w:leader="dot" w:pos="9350"/>
            </w:tabs>
            <w:rPr>
              <w:noProof/>
            </w:rPr>
          </w:pPr>
          <w:hyperlink w:anchor="_Toc36072307" w:history="1">
            <w:r w:rsidR="00296F54" w:rsidRPr="006336F9">
              <w:rPr>
                <w:rStyle w:val="Hyperlink"/>
                <w:b/>
                <w:noProof/>
                <w:lang/>
              </w:rPr>
              <w:t>3.</w:t>
            </w:r>
            <w:r w:rsidR="00296F54">
              <w:rPr>
                <w:noProof/>
              </w:rPr>
              <w:tab/>
            </w:r>
            <w:r w:rsidR="00296F54" w:rsidRPr="006336F9">
              <w:rPr>
                <w:rStyle w:val="Hyperlink"/>
                <w:b/>
                <w:noProof/>
                <w:lang/>
              </w:rPr>
              <w:t>Културне потребе и афинитети</w:t>
            </w:r>
            <w:r w:rsidR="00296F54">
              <w:rPr>
                <w:noProof/>
                <w:webHidden/>
              </w:rPr>
              <w:tab/>
            </w:r>
            <w:r>
              <w:rPr>
                <w:noProof/>
                <w:webHidden/>
              </w:rPr>
              <w:fldChar w:fldCharType="begin"/>
            </w:r>
            <w:r w:rsidR="00296F54">
              <w:rPr>
                <w:noProof/>
                <w:webHidden/>
              </w:rPr>
              <w:instrText xml:space="preserve"> PAGEREF _Toc36072307 \h </w:instrText>
            </w:r>
            <w:r>
              <w:rPr>
                <w:noProof/>
                <w:webHidden/>
              </w:rPr>
            </w:r>
            <w:r>
              <w:rPr>
                <w:noProof/>
                <w:webHidden/>
              </w:rPr>
              <w:fldChar w:fldCharType="separate"/>
            </w:r>
            <w:r w:rsidR="00C931CA">
              <w:rPr>
                <w:noProof/>
                <w:webHidden/>
              </w:rPr>
              <w:t>43</w:t>
            </w:r>
            <w:r>
              <w:rPr>
                <w:noProof/>
                <w:webHidden/>
              </w:rPr>
              <w:fldChar w:fldCharType="end"/>
            </w:r>
          </w:hyperlink>
        </w:p>
        <w:p w:rsidR="00296F54" w:rsidRDefault="001472A9">
          <w:pPr>
            <w:pStyle w:val="TOC1"/>
            <w:tabs>
              <w:tab w:val="left" w:pos="440"/>
              <w:tab w:val="right" w:leader="dot" w:pos="9350"/>
            </w:tabs>
            <w:rPr>
              <w:noProof/>
            </w:rPr>
          </w:pPr>
          <w:hyperlink w:anchor="_Toc36072308" w:history="1">
            <w:r w:rsidR="00296F54" w:rsidRPr="006336F9">
              <w:rPr>
                <w:rStyle w:val="Hyperlink"/>
                <w:b/>
                <w:noProof/>
                <w:lang/>
              </w:rPr>
              <w:t>4.</w:t>
            </w:r>
            <w:r w:rsidR="00296F54">
              <w:rPr>
                <w:noProof/>
              </w:rPr>
              <w:tab/>
            </w:r>
            <w:r w:rsidR="00296F54" w:rsidRPr="006336F9">
              <w:rPr>
                <w:rStyle w:val="Hyperlink"/>
                <w:b/>
                <w:noProof/>
                <w:lang/>
              </w:rPr>
              <w:t>Културна партиципација</w:t>
            </w:r>
            <w:r w:rsidR="00296F54">
              <w:rPr>
                <w:noProof/>
                <w:webHidden/>
              </w:rPr>
              <w:tab/>
            </w:r>
            <w:r>
              <w:rPr>
                <w:noProof/>
                <w:webHidden/>
              </w:rPr>
              <w:fldChar w:fldCharType="begin"/>
            </w:r>
            <w:r w:rsidR="00296F54">
              <w:rPr>
                <w:noProof/>
                <w:webHidden/>
              </w:rPr>
              <w:instrText xml:space="preserve"> PAGEREF _Toc36072308 \h </w:instrText>
            </w:r>
            <w:r>
              <w:rPr>
                <w:noProof/>
                <w:webHidden/>
              </w:rPr>
            </w:r>
            <w:r>
              <w:rPr>
                <w:noProof/>
                <w:webHidden/>
              </w:rPr>
              <w:fldChar w:fldCharType="separate"/>
            </w:r>
            <w:r w:rsidR="00C931CA">
              <w:rPr>
                <w:noProof/>
                <w:webHidden/>
              </w:rPr>
              <w:t>45</w:t>
            </w:r>
            <w:r>
              <w:rPr>
                <w:noProof/>
                <w:webHidden/>
              </w:rPr>
              <w:fldChar w:fldCharType="end"/>
            </w:r>
          </w:hyperlink>
        </w:p>
        <w:p w:rsidR="00296F54" w:rsidRDefault="001472A9">
          <w:pPr>
            <w:pStyle w:val="TOC2"/>
            <w:tabs>
              <w:tab w:val="left" w:pos="880"/>
              <w:tab w:val="right" w:leader="dot" w:pos="9350"/>
            </w:tabs>
            <w:rPr>
              <w:noProof/>
            </w:rPr>
          </w:pPr>
          <w:hyperlink w:anchor="_Toc36072309" w:history="1">
            <w:r w:rsidR="00296F54" w:rsidRPr="006336F9">
              <w:rPr>
                <w:rStyle w:val="Hyperlink"/>
                <w:b/>
                <w:noProof/>
                <w:lang w:val="sr-Cyrl-CS"/>
              </w:rPr>
              <w:t>4.1.</w:t>
            </w:r>
            <w:r w:rsidR="00296F54">
              <w:rPr>
                <w:noProof/>
              </w:rPr>
              <w:tab/>
            </w:r>
            <w:r w:rsidR="00296F54" w:rsidRPr="006336F9">
              <w:rPr>
                <w:rStyle w:val="Hyperlink"/>
                <w:b/>
                <w:noProof/>
                <w:lang w:val="sr-Cyrl-CS"/>
              </w:rPr>
              <w:t>Посећивање јавних културних догађаја</w:t>
            </w:r>
            <w:r w:rsidR="00296F54">
              <w:rPr>
                <w:noProof/>
                <w:webHidden/>
              </w:rPr>
              <w:tab/>
            </w:r>
            <w:r>
              <w:rPr>
                <w:noProof/>
                <w:webHidden/>
              </w:rPr>
              <w:fldChar w:fldCharType="begin"/>
            </w:r>
            <w:r w:rsidR="00296F54">
              <w:rPr>
                <w:noProof/>
                <w:webHidden/>
              </w:rPr>
              <w:instrText xml:space="preserve"> PAGEREF _Toc36072309 \h </w:instrText>
            </w:r>
            <w:r>
              <w:rPr>
                <w:noProof/>
                <w:webHidden/>
              </w:rPr>
            </w:r>
            <w:r>
              <w:rPr>
                <w:noProof/>
                <w:webHidden/>
              </w:rPr>
              <w:fldChar w:fldCharType="separate"/>
            </w:r>
            <w:r w:rsidR="00C931CA">
              <w:rPr>
                <w:noProof/>
                <w:webHidden/>
              </w:rPr>
              <w:t>45</w:t>
            </w:r>
            <w:r>
              <w:rPr>
                <w:noProof/>
                <w:webHidden/>
              </w:rPr>
              <w:fldChar w:fldCharType="end"/>
            </w:r>
          </w:hyperlink>
        </w:p>
        <w:p w:rsidR="00296F54" w:rsidRDefault="001472A9">
          <w:pPr>
            <w:pStyle w:val="TOC2"/>
            <w:tabs>
              <w:tab w:val="left" w:pos="880"/>
              <w:tab w:val="right" w:leader="dot" w:pos="9350"/>
            </w:tabs>
            <w:rPr>
              <w:noProof/>
            </w:rPr>
          </w:pPr>
          <w:hyperlink w:anchor="_Toc36072310" w:history="1">
            <w:r w:rsidR="00296F54" w:rsidRPr="006336F9">
              <w:rPr>
                <w:rStyle w:val="Hyperlink"/>
                <w:b/>
                <w:noProof/>
                <w:lang/>
              </w:rPr>
              <w:t>4.2.</w:t>
            </w:r>
            <w:r w:rsidR="00296F54">
              <w:rPr>
                <w:noProof/>
              </w:rPr>
              <w:tab/>
            </w:r>
            <w:r w:rsidR="00296F54" w:rsidRPr="006336F9">
              <w:rPr>
                <w:rStyle w:val="Hyperlink"/>
                <w:b/>
                <w:noProof/>
                <w:lang/>
              </w:rPr>
              <w:t>Оцена програма и мотиви за посету</w:t>
            </w:r>
            <w:r w:rsidR="00296F54">
              <w:rPr>
                <w:noProof/>
                <w:webHidden/>
              </w:rPr>
              <w:tab/>
            </w:r>
            <w:r>
              <w:rPr>
                <w:noProof/>
                <w:webHidden/>
              </w:rPr>
              <w:fldChar w:fldCharType="begin"/>
            </w:r>
            <w:r w:rsidR="00296F54">
              <w:rPr>
                <w:noProof/>
                <w:webHidden/>
              </w:rPr>
              <w:instrText xml:space="preserve"> PAGEREF _Toc36072310 \h </w:instrText>
            </w:r>
            <w:r>
              <w:rPr>
                <w:noProof/>
                <w:webHidden/>
              </w:rPr>
            </w:r>
            <w:r>
              <w:rPr>
                <w:noProof/>
                <w:webHidden/>
              </w:rPr>
              <w:fldChar w:fldCharType="separate"/>
            </w:r>
            <w:r w:rsidR="00C931CA">
              <w:rPr>
                <w:noProof/>
                <w:webHidden/>
              </w:rPr>
              <w:t>47</w:t>
            </w:r>
            <w:r>
              <w:rPr>
                <w:noProof/>
                <w:webHidden/>
              </w:rPr>
              <w:fldChar w:fldCharType="end"/>
            </w:r>
          </w:hyperlink>
        </w:p>
        <w:p w:rsidR="00296F54" w:rsidRDefault="001472A9">
          <w:pPr>
            <w:pStyle w:val="TOC2"/>
            <w:tabs>
              <w:tab w:val="left" w:pos="880"/>
              <w:tab w:val="right" w:leader="dot" w:pos="9350"/>
            </w:tabs>
            <w:rPr>
              <w:noProof/>
            </w:rPr>
          </w:pPr>
          <w:hyperlink w:anchor="_Toc36072311" w:history="1">
            <w:r w:rsidR="00296F54" w:rsidRPr="006336F9">
              <w:rPr>
                <w:rStyle w:val="Hyperlink"/>
                <w:b/>
                <w:noProof/>
                <w:lang/>
              </w:rPr>
              <w:t>4.3.</w:t>
            </w:r>
            <w:r w:rsidR="00296F54">
              <w:rPr>
                <w:noProof/>
              </w:rPr>
              <w:tab/>
            </w:r>
            <w:r w:rsidR="00296F54" w:rsidRPr="006336F9">
              <w:rPr>
                <w:rStyle w:val="Hyperlink"/>
                <w:b/>
                <w:noProof/>
                <w:lang w:val="sr-Cyrl-CS"/>
              </w:rPr>
              <w:t>Финансијске могућности за културну партиципацију</w:t>
            </w:r>
            <w:r w:rsidR="00296F54" w:rsidRPr="006336F9">
              <w:rPr>
                <w:rStyle w:val="Hyperlink"/>
                <w:b/>
                <w:noProof/>
                <w:lang/>
              </w:rPr>
              <w:t xml:space="preserve"> и цена културних програма</w:t>
            </w:r>
            <w:r w:rsidR="00296F54">
              <w:rPr>
                <w:noProof/>
                <w:webHidden/>
              </w:rPr>
              <w:tab/>
            </w:r>
            <w:r>
              <w:rPr>
                <w:noProof/>
                <w:webHidden/>
              </w:rPr>
              <w:fldChar w:fldCharType="begin"/>
            </w:r>
            <w:r w:rsidR="00296F54">
              <w:rPr>
                <w:noProof/>
                <w:webHidden/>
              </w:rPr>
              <w:instrText xml:space="preserve"> PAGEREF _Toc36072311 \h </w:instrText>
            </w:r>
            <w:r>
              <w:rPr>
                <w:noProof/>
                <w:webHidden/>
              </w:rPr>
            </w:r>
            <w:r>
              <w:rPr>
                <w:noProof/>
                <w:webHidden/>
              </w:rPr>
              <w:fldChar w:fldCharType="separate"/>
            </w:r>
            <w:r w:rsidR="00C931CA">
              <w:rPr>
                <w:noProof/>
                <w:webHidden/>
              </w:rPr>
              <w:t>48</w:t>
            </w:r>
            <w:r>
              <w:rPr>
                <w:noProof/>
                <w:webHidden/>
              </w:rPr>
              <w:fldChar w:fldCharType="end"/>
            </w:r>
          </w:hyperlink>
        </w:p>
        <w:p w:rsidR="00296F54" w:rsidRDefault="001472A9">
          <w:pPr>
            <w:pStyle w:val="TOC2"/>
            <w:tabs>
              <w:tab w:val="left" w:pos="880"/>
              <w:tab w:val="right" w:leader="dot" w:pos="9350"/>
            </w:tabs>
            <w:rPr>
              <w:noProof/>
            </w:rPr>
          </w:pPr>
          <w:hyperlink w:anchor="_Toc36072312" w:history="1">
            <w:r w:rsidR="00296F54" w:rsidRPr="006336F9">
              <w:rPr>
                <w:rStyle w:val="Hyperlink"/>
                <w:b/>
                <w:noProof/>
                <w:lang/>
              </w:rPr>
              <w:t>4.4.</w:t>
            </w:r>
            <w:r w:rsidR="00296F54">
              <w:rPr>
                <w:noProof/>
              </w:rPr>
              <w:tab/>
            </w:r>
            <w:r w:rsidR="00296F54" w:rsidRPr="006336F9">
              <w:rPr>
                <w:rStyle w:val="Hyperlink"/>
                <w:b/>
                <w:noProof/>
                <w:lang/>
              </w:rPr>
              <w:t>Манифестација као кључни део културног активизма</w:t>
            </w:r>
            <w:r w:rsidR="00296F54">
              <w:rPr>
                <w:noProof/>
                <w:webHidden/>
              </w:rPr>
              <w:tab/>
            </w:r>
            <w:r>
              <w:rPr>
                <w:noProof/>
                <w:webHidden/>
              </w:rPr>
              <w:fldChar w:fldCharType="begin"/>
            </w:r>
            <w:r w:rsidR="00296F54">
              <w:rPr>
                <w:noProof/>
                <w:webHidden/>
              </w:rPr>
              <w:instrText xml:space="preserve"> PAGEREF _Toc36072312 \h </w:instrText>
            </w:r>
            <w:r>
              <w:rPr>
                <w:noProof/>
                <w:webHidden/>
              </w:rPr>
            </w:r>
            <w:r>
              <w:rPr>
                <w:noProof/>
                <w:webHidden/>
              </w:rPr>
              <w:fldChar w:fldCharType="separate"/>
            </w:r>
            <w:r w:rsidR="00C931CA">
              <w:rPr>
                <w:noProof/>
                <w:webHidden/>
              </w:rPr>
              <w:t>51</w:t>
            </w:r>
            <w:r>
              <w:rPr>
                <w:noProof/>
                <w:webHidden/>
              </w:rPr>
              <w:fldChar w:fldCharType="end"/>
            </w:r>
          </w:hyperlink>
        </w:p>
        <w:p w:rsidR="00296F54" w:rsidRDefault="001472A9">
          <w:pPr>
            <w:pStyle w:val="TOC1"/>
            <w:tabs>
              <w:tab w:val="left" w:pos="440"/>
              <w:tab w:val="right" w:leader="dot" w:pos="9350"/>
            </w:tabs>
            <w:rPr>
              <w:noProof/>
            </w:rPr>
          </w:pPr>
          <w:hyperlink w:anchor="_Toc36072313" w:history="1">
            <w:r w:rsidR="00296F54" w:rsidRPr="006336F9">
              <w:rPr>
                <w:rStyle w:val="Hyperlink"/>
                <w:b/>
                <w:noProof/>
                <w:lang/>
              </w:rPr>
              <w:t>5.</w:t>
            </w:r>
            <w:r w:rsidR="00296F54">
              <w:rPr>
                <w:noProof/>
              </w:rPr>
              <w:tab/>
            </w:r>
            <w:r w:rsidR="00296F54" w:rsidRPr="006336F9">
              <w:rPr>
                <w:rStyle w:val="Hyperlink"/>
                <w:b/>
                <w:noProof/>
                <w:lang/>
              </w:rPr>
              <w:t>Информисаност и комуникација</w:t>
            </w:r>
            <w:r w:rsidR="00296F54">
              <w:rPr>
                <w:noProof/>
                <w:webHidden/>
              </w:rPr>
              <w:tab/>
            </w:r>
            <w:r>
              <w:rPr>
                <w:noProof/>
                <w:webHidden/>
              </w:rPr>
              <w:fldChar w:fldCharType="begin"/>
            </w:r>
            <w:r w:rsidR="00296F54">
              <w:rPr>
                <w:noProof/>
                <w:webHidden/>
              </w:rPr>
              <w:instrText xml:space="preserve"> PAGEREF _Toc36072313 \h </w:instrText>
            </w:r>
            <w:r>
              <w:rPr>
                <w:noProof/>
                <w:webHidden/>
              </w:rPr>
            </w:r>
            <w:r>
              <w:rPr>
                <w:noProof/>
                <w:webHidden/>
              </w:rPr>
              <w:fldChar w:fldCharType="separate"/>
            </w:r>
            <w:r w:rsidR="00C931CA">
              <w:rPr>
                <w:noProof/>
                <w:webHidden/>
              </w:rPr>
              <w:t>54</w:t>
            </w:r>
            <w:r>
              <w:rPr>
                <w:noProof/>
                <w:webHidden/>
              </w:rPr>
              <w:fldChar w:fldCharType="end"/>
            </w:r>
          </w:hyperlink>
        </w:p>
        <w:p w:rsidR="00296F54" w:rsidRDefault="001472A9">
          <w:pPr>
            <w:pStyle w:val="TOC1"/>
            <w:tabs>
              <w:tab w:val="left" w:pos="440"/>
              <w:tab w:val="right" w:leader="dot" w:pos="9350"/>
            </w:tabs>
            <w:rPr>
              <w:noProof/>
            </w:rPr>
          </w:pPr>
          <w:hyperlink w:anchor="_Toc36072314" w:history="1">
            <w:r w:rsidR="00296F54" w:rsidRPr="006336F9">
              <w:rPr>
                <w:rStyle w:val="Hyperlink"/>
                <w:b/>
                <w:noProof/>
                <w:lang/>
              </w:rPr>
              <w:t>6.</w:t>
            </w:r>
            <w:r w:rsidR="00296F54">
              <w:rPr>
                <w:noProof/>
              </w:rPr>
              <w:tab/>
            </w:r>
            <w:r w:rsidR="00296F54" w:rsidRPr="006336F9">
              <w:rPr>
                <w:rStyle w:val="Hyperlink"/>
                <w:b/>
                <w:noProof/>
                <w:lang/>
              </w:rPr>
              <w:t>Културна препознатљивост и брендирање</w:t>
            </w:r>
            <w:r w:rsidR="00296F54">
              <w:rPr>
                <w:noProof/>
                <w:webHidden/>
              </w:rPr>
              <w:tab/>
            </w:r>
            <w:r>
              <w:rPr>
                <w:noProof/>
                <w:webHidden/>
              </w:rPr>
              <w:fldChar w:fldCharType="begin"/>
            </w:r>
            <w:r w:rsidR="00296F54">
              <w:rPr>
                <w:noProof/>
                <w:webHidden/>
              </w:rPr>
              <w:instrText xml:space="preserve"> PAGEREF _Toc36072314 \h </w:instrText>
            </w:r>
            <w:r>
              <w:rPr>
                <w:noProof/>
                <w:webHidden/>
              </w:rPr>
            </w:r>
            <w:r>
              <w:rPr>
                <w:noProof/>
                <w:webHidden/>
              </w:rPr>
              <w:fldChar w:fldCharType="separate"/>
            </w:r>
            <w:r w:rsidR="00C931CA">
              <w:rPr>
                <w:noProof/>
                <w:webHidden/>
              </w:rPr>
              <w:t>72</w:t>
            </w:r>
            <w:r>
              <w:rPr>
                <w:noProof/>
                <w:webHidden/>
              </w:rPr>
              <w:fldChar w:fldCharType="end"/>
            </w:r>
          </w:hyperlink>
        </w:p>
        <w:p w:rsidR="00296F54" w:rsidRDefault="001472A9">
          <w:pPr>
            <w:pStyle w:val="TOC1"/>
            <w:tabs>
              <w:tab w:val="right" w:leader="dot" w:pos="9350"/>
            </w:tabs>
            <w:rPr>
              <w:noProof/>
            </w:rPr>
          </w:pPr>
          <w:hyperlink w:anchor="_Toc36072315" w:history="1">
            <w:r w:rsidR="00296F54" w:rsidRPr="006336F9">
              <w:rPr>
                <w:rStyle w:val="Hyperlink"/>
                <w:b/>
                <w:noProof/>
                <w:lang/>
              </w:rPr>
              <w:t xml:space="preserve">АНЕКС 2: </w:t>
            </w:r>
            <w:r w:rsidR="00296F54" w:rsidRPr="006336F9">
              <w:rPr>
                <w:rStyle w:val="Hyperlink"/>
                <w:rFonts w:ascii="Times New Roman" w:hAnsi="Times New Roman" w:cs="Times New Roman"/>
                <w:b/>
                <w:noProof/>
                <w:lang/>
              </w:rPr>
              <w:t>Анализа ставова и потреба запослених у установама културе града Сомбора</w:t>
            </w:r>
            <w:r w:rsidR="00296F54">
              <w:rPr>
                <w:noProof/>
                <w:webHidden/>
              </w:rPr>
              <w:tab/>
            </w:r>
            <w:r>
              <w:rPr>
                <w:noProof/>
                <w:webHidden/>
              </w:rPr>
              <w:fldChar w:fldCharType="begin"/>
            </w:r>
            <w:r w:rsidR="00296F54">
              <w:rPr>
                <w:noProof/>
                <w:webHidden/>
              </w:rPr>
              <w:instrText xml:space="preserve"> PAGEREF _Toc36072315 \h </w:instrText>
            </w:r>
            <w:r>
              <w:rPr>
                <w:noProof/>
                <w:webHidden/>
              </w:rPr>
            </w:r>
            <w:r>
              <w:rPr>
                <w:noProof/>
                <w:webHidden/>
              </w:rPr>
              <w:fldChar w:fldCharType="separate"/>
            </w:r>
            <w:r w:rsidR="00C931CA">
              <w:rPr>
                <w:noProof/>
                <w:webHidden/>
              </w:rPr>
              <w:t>77</w:t>
            </w:r>
            <w:r>
              <w:rPr>
                <w:noProof/>
                <w:webHidden/>
              </w:rPr>
              <w:fldChar w:fldCharType="end"/>
            </w:r>
          </w:hyperlink>
        </w:p>
        <w:p w:rsidR="00296F54" w:rsidRDefault="001472A9">
          <w:pPr>
            <w:pStyle w:val="TOC1"/>
            <w:tabs>
              <w:tab w:val="left" w:pos="440"/>
              <w:tab w:val="right" w:leader="dot" w:pos="9350"/>
            </w:tabs>
            <w:rPr>
              <w:noProof/>
            </w:rPr>
          </w:pPr>
          <w:hyperlink w:anchor="_Toc36072316" w:history="1">
            <w:r w:rsidR="00296F54" w:rsidRPr="006336F9">
              <w:rPr>
                <w:rStyle w:val="Hyperlink"/>
                <w:b/>
                <w:noProof/>
              </w:rPr>
              <w:t>1.</w:t>
            </w:r>
            <w:r w:rsidR="00296F54">
              <w:rPr>
                <w:noProof/>
              </w:rPr>
              <w:tab/>
            </w:r>
            <w:r w:rsidR="00296F54" w:rsidRPr="006336F9">
              <w:rPr>
                <w:rStyle w:val="Hyperlink"/>
                <w:b/>
                <w:noProof/>
              </w:rPr>
              <w:t>Услови рада</w:t>
            </w:r>
            <w:r w:rsidR="00296F54">
              <w:rPr>
                <w:noProof/>
                <w:webHidden/>
              </w:rPr>
              <w:tab/>
            </w:r>
            <w:r>
              <w:rPr>
                <w:noProof/>
                <w:webHidden/>
              </w:rPr>
              <w:fldChar w:fldCharType="begin"/>
            </w:r>
            <w:r w:rsidR="00296F54">
              <w:rPr>
                <w:noProof/>
                <w:webHidden/>
              </w:rPr>
              <w:instrText xml:space="preserve"> PAGEREF _Toc36072316 \h </w:instrText>
            </w:r>
            <w:r>
              <w:rPr>
                <w:noProof/>
                <w:webHidden/>
              </w:rPr>
            </w:r>
            <w:r>
              <w:rPr>
                <w:noProof/>
                <w:webHidden/>
              </w:rPr>
              <w:fldChar w:fldCharType="separate"/>
            </w:r>
            <w:r w:rsidR="00C931CA">
              <w:rPr>
                <w:noProof/>
                <w:webHidden/>
              </w:rPr>
              <w:t>78</w:t>
            </w:r>
            <w:r>
              <w:rPr>
                <w:noProof/>
                <w:webHidden/>
              </w:rPr>
              <w:fldChar w:fldCharType="end"/>
            </w:r>
          </w:hyperlink>
        </w:p>
        <w:p w:rsidR="00296F54" w:rsidRDefault="001472A9">
          <w:pPr>
            <w:pStyle w:val="TOC2"/>
            <w:tabs>
              <w:tab w:val="left" w:pos="880"/>
              <w:tab w:val="right" w:leader="dot" w:pos="9350"/>
            </w:tabs>
            <w:rPr>
              <w:noProof/>
            </w:rPr>
          </w:pPr>
          <w:hyperlink w:anchor="_Toc36072317" w:history="1">
            <w:r w:rsidR="00296F54" w:rsidRPr="006336F9">
              <w:rPr>
                <w:rStyle w:val="Hyperlink"/>
                <w:b/>
                <w:noProof/>
                <w:lang/>
              </w:rPr>
              <w:t>1.1.</w:t>
            </w:r>
            <w:r w:rsidR="00296F54">
              <w:rPr>
                <w:noProof/>
              </w:rPr>
              <w:tab/>
            </w:r>
            <w:r w:rsidR="00296F54" w:rsidRPr="006336F9">
              <w:rPr>
                <w:rStyle w:val="Hyperlink"/>
                <w:b/>
                <w:noProof/>
                <w:lang/>
              </w:rPr>
              <w:t xml:space="preserve">Степен </w:t>
            </w:r>
            <w:r w:rsidR="00296F54" w:rsidRPr="006336F9">
              <w:rPr>
                <w:rStyle w:val="Hyperlink"/>
                <w:b/>
                <w:noProof/>
              </w:rPr>
              <w:t>задовољства</w:t>
            </w:r>
            <w:r w:rsidR="00296F54" w:rsidRPr="006336F9">
              <w:rPr>
                <w:rStyle w:val="Hyperlink"/>
                <w:b/>
                <w:noProof/>
                <w:lang/>
              </w:rPr>
              <w:t xml:space="preserve"> укупним условима рада</w:t>
            </w:r>
            <w:r w:rsidR="00296F54">
              <w:rPr>
                <w:noProof/>
                <w:webHidden/>
              </w:rPr>
              <w:tab/>
            </w:r>
            <w:r>
              <w:rPr>
                <w:noProof/>
                <w:webHidden/>
              </w:rPr>
              <w:fldChar w:fldCharType="begin"/>
            </w:r>
            <w:r w:rsidR="00296F54">
              <w:rPr>
                <w:noProof/>
                <w:webHidden/>
              </w:rPr>
              <w:instrText xml:space="preserve"> PAGEREF _Toc36072317 \h </w:instrText>
            </w:r>
            <w:r>
              <w:rPr>
                <w:noProof/>
                <w:webHidden/>
              </w:rPr>
            </w:r>
            <w:r>
              <w:rPr>
                <w:noProof/>
                <w:webHidden/>
              </w:rPr>
              <w:fldChar w:fldCharType="separate"/>
            </w:r>
            <w:r w:rsidR="00C931CA">
              <w:rPr>
                <w:noProof/>
                <w:webHidden/>
              </w:rPr>
              <w:t>78</w:t>
            </w:r>
            <w:r>
              <w:rPr>
                <w:noProof/>
                <w:webHidden/>
              </w:rPr>
              <w:fldChar w:fldCharType="end"/>
            </w:r>
          </w:hyperlink>
        </w:p>
        <w:p w:rsidR="00296F54" w:rsidRDefault="001472A9">
          <w:pPr>
            <w:pStyle w:val="TOC2"/>
            <w:tabs>
              <w:tab w:val="left" w:pos="880"/>
              <w:tab w:val="right" w:leader="dot" w:pos="9350"/>
            </w:tabs>
            <w:rPr>
              <w:noProof/>
            </w:rPr>
          </w:pPr>
          <w:hyperlink w:anchor="_Toc36072318" w:history="1">
            <w:r w:rsidR="00296F54" w:rsidRPr="006336F9">
              <w:rPr>
                <w:rStyle w:val="Hyperlink"/>
                <w:b/>
                <w:noProof/>
              </w:rPr>
              <w:t>1.2.</w:t>
            </w:r>
            <w:r w:rsidR="00296F54">
              <w:rPr>
                <w:noProof/>
              </w:rPr>
              <w:tab/>
            </w:r>
            <w:r w:rsidR="00296F54" w:rsidRPr="006336F9">
              <w:rPr>
                <w:rStyle w:val="Hyperlink"/>
                <w:b/>
                <w:noProof/>
              </w:rPr>
              <w:t>Приоритетне области за унапређење услова рада</w:t>
            </w:r>
            <w:r w:rsidR="00296F54">
              <w:rPr>
                <w:noProof/>
                <w:webHidden/>
              </w:rPr>
              <w:tab/>
            </w:r>
            <w:r>
              <w:rPr>
                <w:noProof/>
                <w:webHidden/>
              </w:rPr>
              <w:fldChar w:fldCharType="begin"/>
            </w:r>
            <w:r w:rsidR="00296F54">
              <w:rPr>
                <w:noProof/>
                <w:webHidden/>
              </w:rPr>
              <w:instrText xml:space="preserve"> PAGEREF _Toc36072318 \h </w:instrText>
            </w:r>
            <w:r>
              <w:rPr>
                <w:noProof/>
                <w:webHidden/>
              </w:rPr>
            </w:r>
            <w:r>
              <w:rPr>
                <w:noProof/>
                <w:webHidden/>
              </w:rPr>
              <w:fldChar w:fldCharType="separate"/>
            </w:r>
            <w:r w:rsidR="00C931CA">
              <w:rPr>
                <w:noProof/>
                <w:webHidden/>
              </w:rPr>
              <w:t>79</w:t>
            </w:r>
            <w:r>
              <w:rPr>
                <w:noProof/>
                <w:webHidden/>
              </w:rPr>
              <w:fldChar w:fldCharType="end"/>
            </w:r>
          </w:hyperlink>
        </w:p>
        <w:p w:rsidR="00296F54" w:rsidRDefault="001472A9">
          <w:pPr>
            <w:pStyle w:val="TOC3"/>
            <w:rPr>
              <w:noProof/>
            </w:rPr>
          </w:pPr>
          <w:hyperlink w:anchor="_Toc36072319" w:history="1">
            <w:r w:rsidR="00296F54" w:rsidRPr="006336F9">
              <w:rPr>
                <w:rStyle w:val="Hyperlink"/>
                <w:i/>
                <w:noProof/>
              </w:rPr>
              <w:t>1.2.1. Унапређење иинфраструктурних услова рада/ потребе запослених</w:t>
            </w:r>
            <w:r w:rsidR="00296F54">
              <w:rPr>
                <w:noProof/>
                <w:webHidden/>
              </w:rPr>
              <w:tab/>
            </w:r>
            <w:r>
              <w:rPr>
                <w:noProof/>
                <w:webHidden/>
              </w:rPr>
              <w:fldChar w:fldCharType="begin"/>
            </w:r>
            <w:r w:rsidR="00296F54">
              <w:rPr>
                <w:noProof/>
                <w:webHidden/>
              </w:rPr>
              <w:instrText xml:space="preserve"> PAGEREF _Toc36072319 \h </w:instrText>
            </w:r>
            <w:r>
              <w:rPr>
                <w:noProof/>
                <w:webHidden/>
              </w:rPr>
            </w:r>
            <w:r>
              <w:rPr>
                <w:noProof/>
                <w:webHidden/>
              </w:rPr>
              <w:fldChar w:fldCharType="separate"/>
            </w:r>
            <w:r w:rsidR="00C931CA">
              <w:rPr>
                <w:noProof/>
                <w:webHidden/>
              </w:rPr>
              <w:t>80</w:t>
            </w:r>
            <w:r>
              <w:rPr>
                <w:noProof/>
                <w:webHidden/>
              </w:rPr>
              <w:fldChar w:fldCharType="end"/>
            </w:r>
          </w:hyperlink>
        </w:p>
        <w:p w:rsidR="00296F54" w:rsidRDefault="001472A9">
          <w:pPr>
            <w:pStyle w:val="TOC3"/>
            <w:rPr>
              <w:noProof/>
            </w:rPr>
          </w:pPr>
          <w:hyperlink w:anchor="_Toc36072320" w:history="1">
            <w:r w:rsidR="00296F54" w:rsidRPr="006336F9">
              <w:rPr>
                <w:rStyle w:val="Hyperlink"/>
                <w:i/>
                <w:noProof/>
              </w:rPr>
              <w:t>1.2.2. Запошљавање нових кадрова у установама културе/ потребе запослених</w:t>
            </w:r>
            <w:r w:rsidR="00296F54">
              <w:rPr>
                <w:noProof/>
                <w:webHidden/>
              </w:rPr>
              <w:tab/>
            </w:r>
            <w:r>
              <w:rPr>
                <w:noProof/>
                <w:webHidden/>
              </w:rPr>
              <w:fldChar w:fldCharType="begin"/>
            </w:r>
            <w:r w:rsidR="00296F54">
              <w:rPr>
                <w:noProof/>
                <w:webHidden/>
              </w:rPr>
              <w:instrText xml:space="preserve"> PAGEREF _Toc36072320 \h </w:instrText>
            </w:r>
            <w:r>
              <w:rPr>
                <w:noProof/>
                <w:webHidden/>
              </w:rPr>
            </w:r>
            <w:r>
              <w:rPr>
                <w:noProof/>
                <w:webHidden/>
              </w:rPr>
              <w:fldChar w:fldCharType="separate"/>
            </w:r>
            <w:r w:rsidR="00C931CA">
              <w:rPr>
                <w:noProof/>
                <w:webHidden/>
              </w:rPr>
              <w:t>81</w:t>
            </w:r>
            <w:r>
              <w:rPr>
                <w:noProof/>
                <w:webHidden/>
              </w:rPr>
              <w:fldChar w:fldCharType="end"/>
            </w:r>
          </w:hyperlink>
        </w:p>
        <w:p w:rsidR="00296F54" w:rsidRDefault="001472A9">
          <w:pPr>
            <w:pStyle w:val="TOC3"/>
            <w:rPr>
              <w:noProof/>
            </w:rPr>
          </w:pPr>
          <w:hyperlink w:anchor="_Toc36072321" w:history="1">
            <w:r w:rsidR="00296F54" w:rsidRPr="006336F9">
              <w:rPr>
                <w:rStyle w:val="Hyperlink"/>
                <w:i/>
                <w:noProof/>
              </w:rPr>
              <w:t>1.2.3. Професионално усавршавање знања и вештина/ потребе запослених</w:t>
            </w:r>
            <w:r w:rsidR="00296F54">
              <w:rPr>
                <w:noProof/>
                <w:webHidden/>
              </w:rPr>
              <w:tab/>
            </w:r>
            <w:r>
              <w:rPr>
                <w:noProof/>
                <w:webHidden/>
              </w:rPr>
              <w:fldChar w:fldCharType="begin"/>
            </w:r>
            <w:r w:rsidR="00296F54">
              <w:rPr>
                <w:noProof/>
                <w:webHidden/>
              </w:rPr>
              <w:instrText xml:space="preserve"> PAGEREF _Toc36072321 \h </w:instrText>
            </w:r>
            <w:r>
              <w:rPr>
                <w:noProof/>
                <w:webHidden/>
              </w:rPr>
            </w:r>
            <w:r>
              <w:rPr>
                <w:noProof/>
                <w:webHidden/>
              </w:rPr>
              <w:fldChar w:fldCharType="separate"/>
            </w:r>
            <w:r w:rsidR="00C931CA">
              <w:rPr>
                <w:noProof/>
                <w:webHidden/>
              </w:rPr>
              <w:t>81</w:t>
            </w:r>
            <w:r>
              <w:rPr>
                <w:noProof/>
                <w:webHidden/>
              </w:rPr>
              <w:fldChar w:fldCharType="end"/>
            </w:r>
          </w:hyperlink>
        </w:p>
        <w:p w:rsidR="00296F54" w:rsidRDefault="001472A9">
          <w:pPr>
            <w:pStyle w:val="TOC1"/>
            <w:tabs>
              <w:tab w:val="right" w:leader="dot" w:pos="9350"/>
            </w:tabs>
            <w:rPr>
              <w:noProof/>
            </w:rPr>
          </w:pPr>
          <w:hyperlink w:anchor="_Toc36072322" w:history="1">
            <w:r w:rsidR="00296F54" w:rsidRPr="006336F9">
              <w:rPr>
                <w:rStyle w:val="Hyperlink"/>
                <w:rFonts w:ascii="Times New Roman" w:hAnsi="Times New Roman" w:cs="Times New Roman"/>
                <w:noProof/>
                <w:lang/>
              </w:rPr>
              <w:t>2</w:t>
            </w:r>
            <w:r w:rsidR="00296F54" w:rsidRPr="006336F9">
              <w:rPr>
                <w:rStyle w:val="Hyperlink"/>
                <w:b/>
                <w:noProof/>
              </w:rPr>
              <w:t>. Оцена стања у установи културе</w:t>
            </w:r>
            <w:r w:rsidR="00296F54">
              <w:rPr>
                <w:noProof/>
                <w:webHidden/>
              </w:rPr>
              <w:tab/>
            </w:r>
            <w:r>
              <w:rPr>
                <w:noProof/>
                <w:webHidden/>
              </w:rPr>
              <w:fldChar w:fldCharType="begin"/>
            </w:r>
            <w:r w:rsidR="00296F54">
              <w:rPr>
                <w:noProof/>
                <w:webHidden/>
              </w:rPr>
              <w:instrText xml:space="preserve"> PAGEREF _Toc36072322 \h </w:instrText>
            </w:r>
            <w:r>
              <w:rPr>
                <w:noProof/>
                <w:webHidden/>
              </w:rPr>
            </w:r>
            <w:r>
              <w:rPr>
                <w:noProof/>
                <w:webHidden/>
              </w:rPr>
              <w:fldChar w:fldCharType="separate"/>
            </w:r>
            <w:r w:rsidR="00C931CA">
              <w:rPr>
                <w:noProof/>
                <w:webHidden/>
              </w:rPr>
              <w:t>84</w:t>
            </w:r>
            <w:r>
              <w:rPr>
                <w:noProof/>
                <w:webHidden/>
              </w:rPr>
              <w:fldChar w:fldCharType="end"/>
            </w:r>
          </w:hyperlink>
        </w:p>
        <w:p w:rsidR="00296F54" w:rsidRDefault="001472A9">
          <w:pPr>
            <w:pStyle w:val="TOC2"/>
            <w:tabs>
              <w:tab w:val="right" w:leader="dot" w:pos="9350"/>
            </w:tabs>
            <w:rPr>
              <w:noProof/>
            </w:rPr>
          </w:pPr>
          <w:hyperlink w:anchor="_Toc36072323" w:history="1">
            <w:r w:rsidR="00296F54" w:rsidRPr="006336F9">
              <w:rPr>
                <w:rStyle w:val="Hyperlink"/>
                <w:b/>
                <w:noProof/>
                <w:lang/>
              </w:rPr>
              <w:t>2.1. Вредновање различитих области функционисања установе културе</w:t>
            </w:r>
            <w:r w:rsidR="00296F54">
              <w:rPr>
                <w:noProof/>
                <w:webHidden/>
              </w:rPr>
              <w:tab/>
            </w:r>
            <w:r>
              <w:rPr>
                <w:noProof/>
                <w:webHidden/>
              </w:rPr>
              <w:fldChar w:fldCharType="begin"/>
            </w:r>
            <w:r w:rsidR="00296F54">
              <w:rPr>
                <w:noProof/>
                <w:webHidden/>
              </w:rPr>
              <w:instrText xml:space="preserve"> PAGEREF _Toc36072323 \h </w:instrText>
            </w:r>
            <w:r>
              <w:rPr>
                <w:noProof/>
                <w:webHidden/>
              </w:rPr>
            </w:r>
            <w:r>
              <w:rPr>
                <w:noProof/>
                <w:webHidden/>
              </w:rPr>
              <w:fldChar w:fldCharType="separate"/>
            </w:r>
            <w:r w:rsidR="00C931CA">
              <w:rPr>
                <w:noProof/>
                <w:webHidden/>
              </w:rPr>
              <w:t>84</w:t>
            </w:r>
            <w:r>
              <w:rPr>
                <w:noProof/>
                <w:webHidden/>
              </w:rPr>
              <w:fldChar w:fldCharType="end"/>
            </w:r>
          </w:hyperlink>
        </w:p>
        <w:p w:rsidR="00296F54" w:rsidRDefault="001472A9">
          <w:pPr>
            <w:pStyle w:val="TOC2"/>
            <w:tabs>
              <w:tab w:val="right" w:leader="dot" w:pos="9350"/>
            </w:tabs>
            <w:rPr>
              <w:noProof/>
            </w:rPr>
          </w:pPr>
          <w:hyperlink w:anchor="_Toc36072324" w:history="1">
            <w:r w:rsidR="00296F54" w:rsidRPr="006336F9">
              <w:rPr>
                <w:rStyle w:val="Hyperlink"/>
                <w:b/>
                <w:noProof/>
              </w:rPr>
              <w:t>2.2. Вредновање сарадње установа са различитим актерима на локалном нивоу</w:t>
            </w:r>
            <w:r w:rsidR="00296F54">
              <w:rPr>
                <w:noProof/>
                <w:webHidden/>
              </w:rPr>
              <w:tab/>
            </w:r>
            <w:r>
              <w:rPr>
                <w:noProof/>
                <w:webHidden/>
              </w:rPr>
              <w:fldChar w:fldCharType="begin"/>
            </w:r>
            <w:r w:rsidR="00296F54">
              <w:rPr>
                <w:noProof/>
                <w:webHidden/>
              </w:rPr>
              <w:instrText xml:space="preserve"> PAGEREF _Toc36072324 \h </w:instrText>
            </w:r>
            <w:r>
              <w:rPr>
                <w:noProof/>
                <w:webHidden/>
              </w:rPr>
            </w:r>
            <w:r>
              <w:rPr>
                <w:noProof/>
                <w:webHidden/>
              </w:rPr>
              <w:fldChar w:fldCharType="separate"/>
            </w:r>
            <w:r w:rsidR="00C931CA">
              <w:rPr>
                <w:noProof/>
                <w:webHidden/>
              </w:rPr>
              <w:t>85</w:t>
            </w:r>
            <w:r>
              <w:rPr>
                <w:noProof/>
                <w:webHidden/>
              </w:rPr>
              <w:fldChar w:fldCharType="end"/>
            </w:r>
          </w:hyperlink>
        </w:p>
        <w:p w:rsidR="00296F54" w:rsidRDefault="001472A9">
          <w:pPr>
            <w:pStyle w:val="TOC2"/>
            <w:tabs>
              <w:tab w:val="right" w:leader="dot" w:pos="9350"/>
            </w:tabs>
            <w:rPr>
              <w:noProof/>
            </w:rPr>
          </w:pPr>
          <w:hyperlink w:anchor="_Toc36072325" w:history="1">
            <w:r w:rsidR="00296F54" w:rsidRPr="006336F9">
              <w:rPr>
                <w:rStyle w:val="Hyperlink"/>
                <w:b/>
                <w:noProof/>
              </w:rPr>
              <w:t>2.3. Актуелни проблеми у установи/оцене запослених</w:t>
            </w:r>
            <w:r w:rsidR="00296F54">
              <w:rPr>
                <w:noProof/>
                <w:webHidden/>
              </w:rPr>
              <w:tab/>
            </w:r>
            <w:r>
              <w:rPr>
                <w:noProof/>
                <w:webHidden/>
              </w:rPr>
              <w:fldChar w:fldCharType="begin"/>
            </w:r>
            <w:r w:rsidR="00296F54">
              <w:rPr>
                <w:noProof/>
                <w:webHidden/>
              </w:rPr>
              <w:instrText xml:space="preserve"> PAGEREF _Toc36072325 \h </w:instrText>
            </w:r>
            <w:r>
              <w:rPr>
                <w:noProof/>
                <w:webHidden/>
              </w:rPr>
            </w:r>
            <w:r>
              <w:rPr>
                <w:noProof/>
                <w:webHidden/>
              </w:rPr>
              <w:fldChar w:fldCharType="separate"/>
            </w:r>
            <w:r w:rsidR="00C931CA">
              <w:rPr>
                <w:noProof/>
                <w:webHidden/>
              </w:rPr>
              <w:t>86</w:t>
            </w:r>
            <w:r>
              <w:rPr>
                <w:noProof/>
                <w:webHidden/>
              </w:rPr>
              <w:fldChar w:fldCharType="end"/>
            </w:r>
          </w:hyperlink>
        </w:p>
        <w:p w:rsidR="00296F54" w:rsidRDefault="001472A9">
          <w:pPr>
            <w:pStyle w:val="TOC2"/>
            <w:tabs>
              <w:tab w:val="right" w:leader="dot" w:pos="9350"/>
            </w:tabs>
            <w:rPr>
              <w:noProof/>
            </w:rPr>
          </w:pPr>
          <w:hyperlink w:anchor="_Toc36072326" w:history="1">
            <w:r w:rsidR="00296F54" w:rsidRPr="006336F9">
              <w:rPr>
                <w:rStyle w:val="Hyperlink"/>
                <w:b/>
                <w:noProof/>
              </w:rPr>
              <w:t>2.4. Програмска политика установа</w:t>
            </w:r>
            <w:r w:rsidR="00296F54">
              <w:rPr>
                <w:noProof/>
                <w:webHidden/>
              </w:rPr>
              <w:tab/>
            </w:r>
            <w:r>
              <w:rPr>
                <w:noProof/>
                <w:webHidden/>
              </w:rPr>
              <w:fldChar w:fldCharType="begin"/>
            </w:r>
            <w:r w:rsidR="00296F54">
              <w:rPr>
                <w:noProof/>
                <w:webHidden/>
              </w:rPr>
              <w:instrText xml:space="preserve"> PAGEREF _Toc36072326 \h </w:instrText>
            </w:r>
            <w:r>
              <w:rPr>
                <w:noProof/>
                <w:webHidden/>
              </w:rPr>
            </w:r>
            <w:r>
              <w:rPr>
                <w:noProof/>
                <w:webHidden/>
              </w:rPr>
              <w:fldChar w:fldCharType="separate"/>
            </w:r>
            <w:r w:rsidR="00C931CA">
              <w:rPr>
                <w:noProof/>
                <w:webHidden/>
              </w:rPr>
              <w:t>87</w:t>
            </w:r>
            <w:r>
              <w:rPr>
                <w:noProof/>
                <w:webHidden/>
              </w:rPr>
              <w:fldChar w:fldCharType="end"/>
            </w:r>
          </w:hyperlink>
        </w:p>
        <w:p w:rsidR="00296F54" w:rsidRDefault="001472A9">
          <w:pPr>
            <w:pStyle w:val="TOC3"/>
            <w:rPr>
              <w:noProof/>
            </w:rPr>
          </w:pPr>
          <w:hyperlink w:anchor="_Toc36072327" w:history="1">
            <w:r w:rsidR="00296F54" w:rsidRPr="006336F9">
              <w:rPr>
                <w:rStyle w:val="Hyperlink"/>
                <w:i/>
                <w:noProof/>
              </w:rPr>
              <w:t>2.4.1. Прилагођеност програма различитим друштвеним групама</w:t>
            </w:r>
            <w:r w:rsidR="00296F54">
              <w:rPr>
                <w:noProof/>
                <w:webHidden/>
              </w:rPr>
              <w:tab/>
            </w:r>
            <w:r>
              <w:rPr>
                <w:noProof/>
                <w:webHidden/>
              </w:rPr>
              <w:fldChar w:fldCharType="begin"/>
            </w:r>
            <w:r w:rsidR="00296F54">
              <w:rPr>
                <w:noProof/>
                <w:webHidden/>
              </w:rPr>
              <w:instrText xml:space="preserve"> PAGEREF _Toc36072327 \h </w:instrText>
            </w:r>
            <w:r>
              <w:rPr>
                <w:noProof/>
                <w:webHidden/>
              </w:rPr>
            </w:r>
            <w:r>
              <w:rPr>
                <w:noProof/>
                <w:webHidden/>
              </w:rPr>
              <w:fldChar w:fldCharType="separate"/>
            </w:r>
            <w:r w:rsidR="00C931CA">
              <w:rPr>
                <w:noProof/>
                <w:webHidden/>
              </w:rPr>
              <w:t>87</w:t>
            </w:r>
            <w:r>
              <w:rPr>
                <w:noProof/>
                <w:webHidden/>
              </w:rPr>
              <w:fldChar w:fldCharType="end"/>
            </w:r>
          </w:hyperlink>
        </w:p>
        <w:p w:rsidR="00296F54" w:rsidRDefault="001472A9">
          <w:pPr>
            <w:pStyle w:val="TOC3"/>
            <w:rPr>
              <w:noProof/>
            </w:rPr>
          </w:pPr>
          <w:hyperlink w:anchor="_Toc36072328" w:history="1">
            <w:r w:rsidR="00296F54" w:rsidRPr="006336F9">
              <w:rPr>
                <w:rStyle w:val="Hyperlink"/>
                <w:i/>
                <w:noProof/>
              </w:rPr>
              <w:t>2.4.2. Унапређење програмске политике</w:t>
            </w:r>
            <w:r w:rsidR="00296F54">
              <w:rPr>
                <w:noProof/>
                <w:webHidden/>
              </w:rPr>
              <w:tab/>
            </w:r>
            <w:r>
              <w:rPr>
                <w:noProof/>
                <w:webHidden/>
              </w:rPr>
              <w:fldChar w:fldCharType="begin"/>
            </w:r>
            <w:r w:rsidR="00296F54">
              <w:rPr>
                <w:noProof/>
                <w:webHidden/>
              </w:rPr>
              <w:instrText xml:space="preserve"> PAGEREF _Toc36072328 \h </w:instrText>
            </w:r>
            <w:r>
              <w:rPr>
                <w:noProof/>
                <w:webHidden/>
              </w:rPr>
            </w:r>
            <w:r>
              <w:rPr>
                <w:noProof/>
                <w:webHidden/>
              </w:rPr>
              <w:fldChar w:fldCharType="separate"/>
            </w:r>
            <w:r w:rsidR="00C931CA">
              <w:rPr>
                <w:noProof/>
                <w:webHidden/>
              </w:rPr>
              <w:t>89</w:t>
            </w:r>
            <w:r>
              <w:rPr>
                <w:noProof/>
                <w:webHidden/>
              </w:rPr>
              <w:fldChar w:fldCharType="end"/>
            </w:r>
          </w:hyperlink>
        </w:p>
        <w:p w:rsidR="00296F54" w:rsidRDefault="001472A9">
          <w:pPr>
            <w:pStyle w:val="TOC3"/>
            <w:rPr>
              <w:noProof/>
            </w:rPr>
          </w:pPr>
          <w:hyperlink w:anchor="_Toc36072329" w:history="1">
            <w:r w:rsidR="00296F54" w:rsidRPr="006336F9">
              <w:rPr>
                <w:rStyle w:val="Hyperlink"/>
                <w:i/>
                <w:noProof/>
              </w:rPr>
              <w:t>2.</w:t>
            </w:r>
            <w:r w:rsidR="00296F54" w:rsidRPr="006336F9">
              <w:rPr>
                <w:rStyle w:val="Hyperlink"/>
                <w:i/>
                <w:noProof/>
                <w:lang/>
              </w:rPr>
              <w:t>4</w:t>
            </w:r>
            <w:r w:rsidR="00296F54" w:rsidRPr="006336F9">
              <w:rPr>
                <w:rStyle w:val="Hyperlink"/>
                <w:i/>
                <w:noProof/>
              </w:rPr>
              <w:t>.3. Одржавање програма ван установе</w:t>
            </w:r>
            <w:r w:rsidR="00296F54">
              <w:rPr>
                <w:noProof/>
                <w:webHidden/>
              </w:rPr>
              <w:tab/>
            </w:r>
            <w:r>
              <w:rPr>
                <w:noProof/>
                <w:webHidden/>
              </w:rPr>
              <w:fldChar w:fldCharType="begin"/>
            </w:r>
            <w:r w:rsidR="00296F54">
              <w:rPr>
                <w:noProof/>
                <w:webHidden/>
              </w:rPr>
              <w:instrText xml:space="preserve"> PAGEREF _Toc36072329 \h </w:instrText>
            </w:r>
            <w:r>
              <w:rPr>
                <w:noProof/>
                <w:webHidden/>
              </w:rPr>
            </w:r>
            <w:r>
              <w:rPr>
                <w:noProof/>
                <w:webHidden/>
              </w:rPr>
              <w:fldChar w:fldCharType="separate"/>
            </w:r>
            <w:r w:rsidR="00C931CA">
              <w:rPr>
                <w:noProof/>
                <w:webHidden/>
              </w:rPr>
              <w:t>90</w:t>
            </w:r>
            <w:r>
              <w:rPr>
                <w:noProof/>
                <w:webHidden/>
              </w:rPr>
              <w:fldChar w:fldCharType="end"/>
            </w:r>
          </w:hyperlink>
        </w:p>
        <w:p w:rsidR="00296F54" w:rsidRDefault="001472A9">
          <w:pPr>
            <w:pStyle w:val="TOC3"/>
            <w:rPr>
              <w:noProof/>
            </w:rPr>
          </w:pPr>
          <w:hyperlink w:anchor="_Toc36072330" w:history="1">
            <w:r w:rsidR="00296F54" w:rsidRPr="006336F9">
              <w:rPr>
                <w:rStyle w:val="Hyperlink"/>
                <w:i/>
                <w:noProof/>
              </w:rPr>
              <w:t>2.</w:t>
            </w:r>
            <w:r w:rsidR="00296F54" w:rsidRPr="006336F9">
              <w:rPr>
                <w:rStyle w:val="Hyperlink"/>
                <w:i/>
                <w:noProof/>
                <w:lang/>
              </w:rPr>
              <w:t>4</w:t>
            </w:r>
            <w:r w:rsidR="00296F54" w:rsidRPr="006336F9">
              <w:rPr>
                <w:rStyle w:val="Hyperlink"/>
                <w:i/>
                <w:noProof/>
              </w:rPr>
              <w:t>.4 Маркетинг и промоција</w:t>
            </w:r>
            <w:r w:rsidR="00296F54">
              <w:rPr>
                <w:noProof/>
                <w:webHidden/>
              </w:rPr>
              <w:tab/>
            </w:r>
            <w:r>
              <w:rPr>
                <w:noProof/>
                <w:webHidden/>
              </w:rPr>
              <w:fldChar w:fldCharType="begin"/>
            </w:r>
            <w:r w:rsidR="00296F54">
              <w:rPr>
                <w:noProof/>
                <w:webHidden/>
              </w:rPr>
              <w:instrText xml:space="preserve"> PAGEREF _Toc36072330 \h </w:instrText>
            </w:r>
            <w:r>
              <w:rPr>
                <w:noProof/>
                <w:webHidden/>
              </w:rPr>
            </w:r>
            <w:r>
              <w:rPr>
                <w:noProof/>
                <w:webHidden/>
              </w:rPr>
              <w:fldChar w:fldCharType="separate"/>
            </w:r>
            <w:r w:rsidR="00C931CA">
              <w:rPr>
                <w:noProof/>
                <w:webHidden/>
              </w:rPr>
              <w:t>90</w:t>
            </w:r>
            <w:r>
              <w:rPr>
                <w:noProof/>
                <w:webHidden/>
              </w:rPr>
              <w:fldChar w:fldCharType="end"/>
            </w:r>
          </w:hyperlink>
        </w:p>
        <w:p w:rsidR="00296F54" w:rsidRDefault="001472A9">
          <w:pPr>
            <w:pStyle w:val="TOC1"/>
            <w:tabs>
              <w:tab w:val="right" w:leader="dot" w:pos="9350"/>
            </w:tabs>
            <w:rPr>
              <w:noProof/>
            </w:rPr>
          </w:pPr>
          <w:hyperlink w:anchor="_Toc36072331" w:history="1">
            <w:r w:rsidR="00296F54" w:rsidRPr="006336F9">
              <w:rPr>
                <w:rStyle w:val="Hyperlink"/>
                <w:b/>
                <w:noProof/>
                <w:lang/>
              </w:rPr>
              <w:t>3. Оцена културне понуде града Сомбора</w:t>
            </w:r>
            <w:r w:rsidR="00296F54">
              <w:rPr>
                <w:noProof/>
                <w:webHidden/>
              </w:rPr>
              <w:tab/>
            </w:r>
            <w:r>
              <w:rPr>
                <w:noProof/>
                <w:webHidden/>
              </w:rPr>
              <w:fldChar w:fldCharType="begin"/>
            </w:r>
            <w:r w:rsidR="00296F54">
              <w:rPr>
                <w:noProof/>
                <w:webHidden/>
              </w:rPr>
              <w:instrText xml:space="preserve"> PAGEREF _Toc36072331 \h </w:instrText>
            </w:r>
            <w:r>
              <w:rPr>
                <w:noProof/>
                <w:webHidden/>
              </w:rPr>
            </w:r>
            <w:r>
              <w:rPr>
                <w:noProof/>
                <w:webHidden/>
              </w:rPr>
              <w:fldChar w:fldCharType="separate"/>
            </w:r>
            <w:r w:rsidR="00C931CA">
              <w:rPr>
                <w:noProof/>
                <w:webHidden/>
              </w:rPr>
              <w:t>91</w:t>
            </w:r>
            <w:r>
              <w:rPr>
                <w:noProof/>
                <w:webHidden/>
              </w:rPr>
              <w:fldChar w:fldCharType="end"/>
            </w:r>
          </w:hyperlink>
        </w:p>
        <w:p w:rsidR="00296F54" w:rsidRDefault="001472A9">
          <w:pPr>
            <w:pStyle w:val="TOC2"/>
            <w:tabs>
              <w:tab w:val="right" w:leader="dot" w:pos="9350"/>
            </w:tabs>
            <w:rPr>
              <w:noProof/>
            </w:rPr>
          </w:pPr>
          <w:hyperlink w:anchor="_Toc36072332" w:history="1">
            <w:r w:rsidR="00296F54" w:rsidRPr="006336F9">
              <w:rPr>
                <w:rStyle w:val="Hyperlink"/>
                <w:b/>
                <w:noProof/>
              </w:rPr>
              <w:t>3.1. Препознатљивост и брендирање града Сомбора кроз културу</w:t>
            </w:r>
            <w:r w:rsidR="00296F54">
              <w:rPr>
                <w:noProof/>
                <w:webHidden/>
              </w:rPr>
              <w:tab/>
            </w:r>
            <w:r>
              <w:rPr>
                <w:noProof/>
                <w:webHidden/>
              </w:rPr>
              <w:fldChar w:fldCharType="begin"/>
            </w:r>
            <w:r w:rsidR="00296F54">
              <w:rPr>
                <w:noProof/>
                <w:webHidden/>
              </w:rPr>
              <w:instrText xml:space="preserve"> PAGEREF _Toc36072332 \h </w:instrText>
            </w:r>
            <w:r>
              <w:rPr>
                <w:noProof/>
                <w:webHidden/>
              </w:rPr>
            </w:r>
            <w:r>
              <w:rPr>
                <w:noProof/>
                <w:webHidden/>
              </w:rPr>
              <w:fldChar w:fldCharType="separate"/>
            </w:r>
            <w:r w:rsidR="00C931CA">
              <w:rPr>
                <w:noProof/>
                <w:webHidden/>
              </w:rPr>
              <w:t>91</w:t>
            </w:r>
            <w:r>
              <w:rPr>
                <w:noProof/>
                <w:webHidden/>
              </w:rPr>
              <w:fldChar w:fldCharType="end"/>
            </w:r>
          </w:hyperlink>
        </w:p>
        <w:p w:rsidR="00296F54" w:rsidRDefault="001472A9">
          <w:pPr>
            <w:pStyle w:val="TOC2"/>
            <w:tabs>
              <w:tab w:val="right" w:leader="dot" w:pos="9350"/>
            </w:tabs>
            <w:rPr>
              <w:noProof/>
            </w:rPr>
          </w:pPr>
          <w:hyperlink w:anchor="_Toc36072333" w:history="1">
            <w:r w:rsidR="00296F54" w:rsidRPr="006336F9">
              <w:rPr>
                <w:rStyle w:val="Hyperlink"/>
                <w:b/>
                <w:noProof/>
              </w:rPr>
              <w:t>3.2. Културни туризам</w:t>
            </w:r>
            <w:r w:rsidR="00296F54">
              <w:rPr>
                <w:noProof/>
                <w:webHidden/>
              </w:rPr>
              <w:tab/>
            </w:r>
            <w:r>
              <w:rPr>
                <w:noProof/>
                <w:webHidden/>
              </w:rPr>
              <w:fldChar w:fldCharType="begin"/>
            </w:r>
            <w:r w:rsidR="00296F54">
              <w:rPr>
                <w:noProof/>
                <w:webHidden/>
              </w:rPr>
              <w:instrText xml:space="preserve"> PAGEREF _Toc36072333 \h </w:instrText>
            </w:r>
            <w:r>
              <w:rPr>
                <w:noProof/>
                <w:webHidden/>
              </w:rPr>
            </w:r>
            <w:r>
              <w:rPr>
                <w:noProof/>
                <w:webHidden/>
              </w:rPr>
              <w:fldChar w:fldCharType="separate"/>
            </w:r>
            <w:r w:rsidR="00C931CA">
              <w:rPr>
                <w:noProof/>
                <w:webHidden/>
              </w:rPr>
              <w:t>94</w:t>
            </w:r>
            <w:r>
              <w:rPr>
                <w:noProof/>
                <w:webHidden/>
              </w:rPr>
              <w:fldChar w:fldCharType="end"/>
            </w:r>
          </w:hyperlink>
        </w:p>
        <w:p w:rsidR="00296F54" w:rsidRDefault="001472A9">
          <w:pPr>
            <w:pStyle w:val="TOC2"/>
            <w:tabs>
              <w:tab w:val="right" w:leader="dot" w:pos="9350"/>
            </w:tabs>
            <w:rPr>
              <w:noProof/>
            </w:rPr>
          </w:pPr>
          <w:hyperlink w:anchor="_Toc36072334" w:history="1">
            <w:r w:rsidR="00296F54" w:rsidRPr="006336F9">
              <w:rPr>
                <w:rStyle w:val="Hyperlink"/>
                <w:b/>
                <w:noProof/>
              </w:rPr>
              <w:t>3.3 Културна политика</w:t>
            </w:r>
            <w:r w:rsidR="00296F54">
              <w:rPr>
                <w:noProof/>
                <w:webHidden/>
              </w:rPr>
              <w:tab/>
            </w:r>
            <w:r>
              <w:rPr>
                <w:noProof/>
                <w:webHidden/>
              </w:rPr>
              <w:fldChar w:fldCharType="begin"/>
            </w:r>
            <w:r w:rsidR="00296F54">
              <w:rPr>
                <w:noProof/>
                <w:webHidden/>
              </w:rPr>
              <w:instrText xml:space="preserve"> PAGEREF _Toc36072334 \h </w:instrText>
            </w:r>
            <w:r>
              <w:rPr>
                <w:noProof/>
                <w:webHidden/>
              </w:rPr>
            </w:r>
            <w:r>
              <w:rPr>
                <w:noProof/>
                <w:webHidden/>
              </w:rPr>
              <w:fldChar w:fldCharType="separate"/>
            </w:r>
            <w:r w:rsidR="00C931CA">
              <w:rPr>
                <w:noProof/>
                <w:webHidden/>
              </w:rPr>
              <w:t>95</w:t>
            </w:r>
            <w:r>
              <w:rPr>
                <w:noProof/>
                <w:webHidden/>
              </w:rPr>
              <w:fldChar w:fldCharType="end"/>
            </w:r>
          </w:hyperlink>
        </w:p>
        <w:p w:rsidR="00296F54" w:rsidRDefault="001472A9">
          <w:pPr>
            <w:pStyle w:val="TOC1"/>
            <w:tabs>
              <w:tab w:val="right" w:leader="dot" w:pos="9350"/>
            </w:tabs>
            <w:rPr>
              <w:noProof/>
            </w:rPr>
          </w:pPr>
          <w:hyperlink w:anchor="_Toc36072335" w:history="1">
            <w:r w:rsidR="00296F54" w:rsidRPr="006336F9">
              <w:rPr>
                <w:rStyle w:val="Hyperlink"/>
                <w:rFonts w:ascii="Arial" w:hAnsi="Arial" w:cs="Arial"/>
                <w:b/>
                <w:noProof/>
                <w:lang/>
              </w:rPr>
              <w:t xml:space="preserve">АКЦИОНИ ПЛАН </w:t>
            </w:r>
            <w:r w:rsidR="00296F54" w:rsidRPr="006336F9">
              <w:rPr>
                <w:rStyle w:val="Hyperlink"/>
                <w:rFonts w:ascii="Arial" w:hAnsi="Arial" w:cs="Arial"/>
                <w:b/>
                <w:noProof/>
              </w:rPr>
              <w:t xml:space="preserve">СТРАТЕГИЈЕ РАЗВОЈА КУЛТУРЕ ГРАДА СОМБОРА </w:t>
            </w:r>
            <w:r w:rsidR="00C931CA">
              <w:rPr>
                <w:rStyle w:val="Hyperlink"/>
                <w:rFonts w:ascii="Arial" w:hAnsi="Arial" w:cs="Arial"/>
                <w:b/>
                <w:noProof/>
              </w:rPr>
              <w:t>2021</w:t>
            </w:r>
            <w:r w:rsidR="00296F54" w:rsidRPr="006336F9">
              <w:rPr>
                <w:rStyle w:val="Hyperlink"/>
                <w:rFonts w:ascii="Arial" w:hAnsi="Arial" w:cs="Arial"/>
                <w:b/>
                <w:noProof/>
              </w:rPr>
              <w:t>-2025</w:t>
            </w:r>
            <w:r w:rsidR="00296F54">
              <w:rPr>
                <w:noProof/>
                <w:webHidden/>
              </w:rPr>
              <w:tab/>
            </w:r>
            <w:r>
              <w:rPr>
                <w:noProof/>
                <w:webHidden/>
              </w:rPr>
              <w:fldChar w:fldCharType="begin"/>
            </w:r>
            <w:r w:rsidR="00296F54">
              <w:rPr>
                <w:noProof/>
                <w:webHidden/>
              </w:rPr>
              <w:instrText xml:space="preserve"> PAGEREF _Toc36072335 \h </w:instrText>
            </w:r>
            <w:r>
              <w:rPr>
                <w:noProof/>
                <w:webHidden/>
              </w:rPr>
            </w:r>
            <w:r>
              <w:rPr>
                <w:noProof/>
                <w:webHidden/>
              </w:rPr>
              <w:fldChar w:fldCharType="separate"/>
            </w:r>
            <w:r w:rsidR="00C931CA">
              <w:rPr>
                <w:noProof/>
                <w:webHidden/>
              </w:rPr>
              <w:t>99</w:t>
            </w:r>
            <w:r>
              <w:rPr>
                <w:noProof/>
                <w:webHidden/>
              </w:rPr>
              <w:fldChar w:fldCharType="end"/>
            </w:r>
          </w:hyperlink>
        </w:p>
        <w:p w:rsidR="000606DF" w:rsidRDefault="001472A9" w:rsidP="000606DF">
          <w:pPr>
            <w:spacing w:line="240" w:lineRule="auto"/>
          </w:pPr>
          <w:r w:rsidRPr="000606DF">
            <w:rPr>
              <w:rFonts w:ascii="Times New Roman" w:hAnsi="Times New Roman" w:cs="Times New Roman"/>
              <w:b/>
              <w:bCs/>
              <w:noProof/>
            </w:rPr>
            <w:fldChar w:fldCharType="end"/>
          </w:r>
        </w:p>
      </w:sdtContent>
    </w:sdt>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0606DF" w:rsidRDefault="000606DF" w:rsidP="0057644C">
      <w:pPr>
        <w:spacing w:after="0"/>
        <w:jc w:val="center"/>
        <w:rPr>
          <w:rFonts w:ascii="Times New Roman" w:hAnsi="Times New Roman" w:cs="Times New Roman"/>
          <w:b/>
          <w:sz w:val="32"/>
          <w:szCs w:val="32"/>
        </w:rPr>
      </w:pPr>
    </w:p>
    <w:p w:rsidR="00BB1151" w:rsidRDefault="00BB1151" w:rsidP="00B03CD2">
      <w:pPr>
        <w:pStyle w:val="Heading1"/>
        <w:numPr>
          <w:ilvl w:val="0"/>
          <w:numId w:val="13"/>
        </w:numPr>
        <w:ind w:left="284"/>
        <w:rPr>
          <w:b/>
        </w:rPr>
      </w:pPr>
      <w:bookmarkStart w:id="0" w:name="_Toc36072276"/>
      <w:r w:rsidRPr="00594010">
        <w:rPr>
          <w:b/>
        </w:rPr>
        <w:t>Увод</w:t>
      </w:r>
      <w:bookmarkEnd w:id="0"/>
    </w:p>
    <w:p w:rsidR="00594010" w:rsidRPr="00594010" w:rsidRDefault="00594010" w:rsidP="0057644C">
      <w:pPr>
        <w:spacing w:after="0"/>
      </w:pPr>
    </w:p>
    <w:p w:rsidR="002F5232" w:rsidRDefault="002F5232" w:rsidP="000764E2">
      <w:pPr>
        <w:spacing w:line="276" w:lineRule="auto"/>
        <w:jc w:val="both"/>
        <w:rPr>
          <w:rFonts w:ascii="Times New Roman" w:hAnsi="Times New Roman" w:cs="Times New Roman"/>
          <w:noProof/>
          <w:sz w:val="24"/>
          <w:szCs w:val="24"/>
          <w:lang w:val="sr-Cyrl-CS"/>
        </w:rPr>
      </w:pPr>
      <w:r>
        <w:rPr>
          <w:rFonts w:ascii="Times New Roman" w:hAnsi="Times New Roman" w:cs="Times New Roman"/>
          <w:sz w:val="24"/>
          <w:szCs w:val="24"/>
        </w:rPr>
        <w:tab/>
        <w:t>Стратегија развоја културе Г</w:t>
      </w:r>
      <w:r w:rsidR="00EC5E7E">
        <w:rPr>
          <w:rFonts w:ascii="Times New Roman" w:hAnsi="Times New Roman" w:cs="Times New Roman"/>
          <w:sz w:val="24"/>
          <w:szCs w:val="24"/>
        </w:rPr>
        <w:t xml:space="preserve">рада Сомбора за период од </w:t>
      </w:r>
      <w:r w:rsidR="00C931CA">
        <w:rPr>
          <w:rFonts w:ascii="Times New Roman" w:hAnsi="Times New Roman" w:cs="Times New Roman"/>
          <w:sz w:val="24"/>
          <w:szCs w:val="24"/>
        </w:rPr>
        <w:t>2021</w:t>
      </w:r>
      <w:r w:rsidR="00EC5E7E">
        <w:rPr>
          <w:rFonts w:ascii="Times New Roman" w:hAnsi="Times New Roman" w:cs="Times New Roman"/>
          <w:sz w:val="24"/>
          <w:szCs w:val="24"/>
        </w:rPr>
        <w:t>. до 2025. године се израђује на основу члана 7</w:t>
      </w:r>
      <w:r w:rsidR="00E26ED4">
        <w:rPr>
          <w:rFonts w:ascii="Times New Roman" w:hAnsi="Times New Roman" w:cs="Times New Roman"/>
          <w:sz w:val="24"/>
          <w:szCs w:val="24"/>
        </w:rPr>
        <w:t>.</w:t>
      </w:r>
      <w:r w:rsidR="00EC5E7E">
        <w:rPr>
          <w:rFonts w:ascii="Times New Roman" w:hAnsi="Times New Roman" w:cs="Times New Roman"/>
          <w:sz w:val="24"/>
          <w:szCs w:val="24"/>
        </w:rPr>
        <w:t xml:space="preserve"> Закона о култури (</w:t>
      </w:r>
      <w:r w:rsidR="00EC5E7E">
        <w:rPr>
          <w:rFonts w:ascii="Times New Roman" w:hAnsi="Times New Roman" w:cs="Times New Roman"/>
          <w:noProof/>
          <w:sz w:val="24"/>
          <w:szCs w:val="24"/>
          <w:lang w:val="sr-Cyrl-CS"/>
        </w:rPr>
        <w:t>Сл</w:t>
      </w:r>
      <w:r w:rsidR="00EC5E7E" w:rsidRPr="00EC5E7E">
        <w:rPr>
          <w:rFonts w:ascii="Times New Roman" w:hAnsi="Times New Roman" w:cs="Times New Roman"/>
          <w:noProof/>
          <w:sz w:val="24"/>
          <w:szCs w:val="24"/>
          <w:lang w:val="sr-Cyrl-CS"/>
        </w:rPr>
        <w:t xml:space="preserve">. </w:t>
      </w:r>
      <w:r w:rsidR="00EC5E7E">
        <w:rPr>
          <w:rFonts w:ascii="Times New Roman" w:hAnsi="Times New Roman" w:cs="Times New Roman"/>
          <w:noProof/>
          <w:sz w:val="24"/>
          <w:szCs w:val="24"/>
          <w:lang w:val="sr-Cyrl-CS"/>
        </w:rPr>
        <w:t>гласникРС</w:t>
      </w:r>
      <w:r w:rsidR="00EC5E7E" w:rsidRPr="00EC5E7E">
        <w:rPr>
          <w:rFonts w:ascii="Times New Roman" w:hAnsi="Times New Roman" w:cs="Times New Roman"/>
          <w:noProof/>
          <w:sz w:val="24"/>
          <w:szCs w:val="24"/>
          <w:lang w:val="sr-Cyrl-CS"/>
        </w:rPr>
        <w:t xml:space="preserve">, </w:t>
      </w:r>
      <w:r w:rsidR="00EC5E7E">
        <w:rPr>
          <w:rFonts w:ascii="Times New Roman" w:hAnsi="Times New Roman" w:cs="Times New Roman"/>
          <w:noProof/>
          <w:sz w:val="24"/>
          <w:szCs w:val="24"/>
          <w:lang w:val="sr-Cyrl-CS"/>
        </w:rPr>
        <w:t>бр</w:t>
      </w:r>
      <w:r w:rsidR="00EC5E7E" w:rsidRPr="00EC5E7E">
        <w:rPr>
          <w:rFonts w:ascii="Times New Roman" w:hAnsi="Times New Roman" w:cs="Times New Roman"/>
          <w:noProof/>
          <w:sz w:val="24"/>
          <w:szCs w:val="24"/>
          <w:lang w:val="sr-Cyrl-CS"/>
        </w:rPr>
        <w:t xml:space="preserve">. 72/2009, 13/2016 </w:t>
      </w:r>
      <w:r w:rsidR="00EC5E7E">
        <w:rPr>
          <w:rFonts w:ascii="Times New Roman" w:hAnsi="Times New Roman" w:cs="Times New Roman"/>
          <w:noProof/>
          <w:sz w:val="24"/>
          <w:szCs w:val="24"/>
          <w:lang w:val="sr-Cyrl-CS"/>
        </w:rPr>
        <w:t>и</w:t>
      </w:r>
      <w:r w:rsidR="00EC5E7E" w:rsidRPr="00EC5E7E">
        <w:rPr>
          <w:rFonts w:ascii="Times New Roman" w:hAnsi="Times New Roman" w:cs="Times New Roman"/>
          <w:noProof/>
          <w:sz w:val="24"/>
          <w:szCs w:val="24"/>
          <w:lang w:val="sr-Cyrl-CS"/>
        </w:rPr>
        <w:t xml:space="preserve"> 30/2016 – </w:t>
      </w:r>
      <w:r w:rsidR="00EC5E7E">
        <w:rPr>
          <w:rFonts w:ascii="Times New Roman" w:hAnsi="Times New Roman" w:cs="Times New Roman"/>
          <w:noProof/>
          <w:sz w:val="24"/>
          <w:szCs w:val="24"/>
          <w:lang w:val="sr-Cyrl-CS"/>
        </w:rPr>
        <w:t>исп</w:t>
      </w:r>
      <w:r w:rsidR="007B0EE0">
        <w:rPr>
          <w:rFonts w:ascii="Times New Roman" w:hAnsi="Times New Roman" w:cs="Times New Roman"/>
          <w:noProof/>
          <w:sz w:val="24"/>
          <w:szCs w:val="24"/>
          <w:lang w:val="sr-Cyrl-CS"/>
        </w:rPr>
        <w:t xml:space="preserve"> </w:t>
      </w:r>
      <w:r w:rsidR="007B0EE0">
        <w:rPr>
          <w:rFonts w:ascii="Times New Roman" w:hAnsi="Times New Roman" w:cs="Times New Roman"/>
          <w:noProof/>
          <w:sz w:val="24"/>
          <w:szCs w:val="24"/>
          <w:lang/>
        </w:rPr>
        <w:t>и 6/2020</w:t>
      </w:r>
      <w:r w:rsidR="00EC5E7E" w:rsidRPr="00EC5E7E">
        <w:rPr>
          <w:rFonts w:ascii="Times New Roman" w:hAnsi="Times New Roman" w:cs="Times New Roman"/>
          <w:noProof/>
          <w:sz w:val="24"/>
          <w:szCs w:val="24"/>
          <w:lang w:val="sr-Cyrl-CS"/>
        </w:rPr>
        <w:t>)</w:t>
      </w:r>
      <w:r w:rsidR="00402C60">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и Стратегије одрживог развоја града Сомбора (Сл. л</w:t>
      </w:r>
      <w:r w:rsidR="00402C60">
        <w:rPr>
          <w:rFonts w:ascii="Times New Roman" w:hAnsi="Times New Roman" w:cs="Times New Roman"/>
          <w:noProof/>
          <w:sz w:val="24"/>
          <w:szCs w:val="24"/>
          <w:lang w:val="sr-Cyrl-CS"/>
        </w:rPr>
        <w:t xml:space="preserve">ист града Сомбора, бр. 11/2018), </w:t>
      </w:r>
      <w:r w:rsidR="00402C60">
        <w:rPr>
          <w:rFonts w:ascii="Times New Roman" w:hAnsi="Times New Roman" w:cs="Times New Roman"/>
          <w:noProof/>
          <w:sz w:val="24"/>
          <w:szCs w:val="24"/>
          <w:lang/>
        </w:rPr>
        <w:t xml:space="preserve">а у складу са Законом о планском систему </w:t>
      </w:r>
      <w:r w:rsidR="00402C60" w:rsidRPr="00402C60">
        <w:rPr>
          <w:rFonts w:ascii="Times New Roman" w:hAnsi="Times New Roman" w:cs="Times New Roman"/>
          <w:noProof/>
          <w:sz w:val="24"/>
          <w:szCs w:val="24"/>
          <w:lang/>
        </w:rPr>
        <w:t>(Службени гласник РС – бр. 30/2018)</w:t>
      </w:r>
      <w:r w:rsidR="00402C60">
        <w:rPr>
          <w:rFonts w:ascii="Times New Roman" w:hAnsi="Times New Roman" w:cs="Times New Roman"/>
          <w:noProof/>
          <w:sz w:val="24"/>
          <w:szCs w:val="24"/>
          <w:lang/>
        </w:rPr>
        <w:t>.</w:t>
      </w:r>
      <w:r>
        <w:rPr>
          <w:rFonts w:ascii="Times New Roman" w:hAnsi="Times New Roman" w:cs="Times New Roman"/>
          <w:noProof/>
          <w:sz w:val="24"/>
          <w:szCs w:val="24"/>
          <w:lang w:val="sr-Cyrl-CS"/>
        </w:rPr>
        <w:t xml:space="preserve"> </w:t>
      </w:r>
    </w:p>
    <w:p w:rsidR="00EC5E7E" w:rsidRDefault="002F5232" w:rsidP="000764E2">
      <w:p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lang w:val="sr-Cyrl-CS"/>
        </w:rPr>
        <w:tab/>
      </w:r>
      <w:r w:rsidRPr="002F5232">
        <w:rPr>
          <w:rFonts w:ascii="Times New Roman" w:hAnsi="Times New Roman" w:cs="Times New Roman"/>
          <w:noProof/>
          <w:sz w:val="24"/>
          <w:szCs w:val="24"/>
          <w:lang w:val="sr-Cyrl-CS"/>
        </w:rPr>
        <w:t>Град Со</w:t>
      </w:r>
      <w:r w:rsidR="00504212">
        <w:rPr>
          <w:rFonts w:ascii="Times New Roman" w:hAnsi="Times New Roman" w:cs="Times New Roman"/>
          <w:noProof/>
          <w:sz w:val="24"/>
          <w:szCs w:val="24"/>
          <w:lang w:val="sr-Cyrl-CS"/>
        </w:rPr>
        <w:t xml:space="preserve">мбор има препознатљив идентитет </w:t>
      </w:r>
      <w:r w:rsidRPr="002F5232">
        <w:rPr>
          <w:rFonts w:ascii="Times New Roman" w:hAnsi="Times New Roman" w:cs="Times New Roman"/>
          <w:noProof/>
          <w:sz w:val="24"/>
          <w:szCs w:val="24"/>
          <w:lang w:val="sr-Cyrl-CS"/>
        </w:rPr>
        <w:t>заснован</w:t>
      </w:r>
      <w:r>
        <w:rPr>
          <w:rFonts w:ascii="Times New Roman" w:hAnsi="Times New Roman" w:cs="Times New Roman"/>
          <w:noProof/>
          <w:sz w:val="24"/>
          <w:szCs w:val="24"/>
          <w:lang w:val="sr-Cyrl-CS"/>
        </w:rPr>
        <w:t xml:space="preserve"> на</w:t>
      </w:r>
      <w:r w:rsidR="00A14E3D">
        <w:rPr>
          <w:rFonts w:ascii="Times New Roman" w:hAnsi="Times New Roman" w:cs="Times New Roman"/>
          <w:noProof/>
          <w:sz w:val="24"/>
          <w:szCs w:val="24"/>
          <w:lang w:val="sr-Cyrl-CS"/>
        </w:rPr>
        <w:t xml:space="preserve"> </w:t>
      </w:r>
      <w:r w:rsidR="00A14E3D" w:rsidRPr="00A14E3D">
        <w:rPr>
          <w:rFonts w:ascii="Times New Roman" w:hAnsi="Times New Roman" w:cs="Times New Roman"/>
          <w:noProof/>
          <w:sz w:val="24"/>
          <w:szCs w:val="24"/>
          <w:lang w:val="sr-Cyrl-CS"/>
        </w:rPr>
        <w:t>чињеници да је дуже од пола миленијума културно, административно и економско средиште на раскршћу држава и цивилизација.</w:t>
      </w:r>
      <w:r>
        <w:rPr>
          <w:rFonts w:ascii="Times New Roman" w:hAnsi="Times New Roman" w:cs="Times New Roman"/>
          <w:noProof/>
          <w:sz w:val="24"/>
          <w:szCs w:val="24"/>
          <w:lang w:val="sr-Cyrl-CS"/>
        </w:rPr>
        <w:t xml:space="preserve"> </w:t>
      </w:r>
      <w:r w:rsidR="007502C9">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 xml:space="preserve">Стратегија одрживог развоја града Сомбора 2014 – </w:t>
      </w:r>
      <w:r w:rsidR="00C931CA">
        <w:rPr>
          <w:rFonts w:ascii="Times New Roman" w:hAnsi="Times New Roman" w:cs="Times New Roman"/>
          <w:noProof/>
          <w:sz w:val="24"/>
          <w:szCs w:val="24"/>
          <w:lang w:val="sr-Cyrl-CS"/>
        </w:rPr>
        <w:t>2021</w:t>
      </w:r>
      <w:r>
        <w:rPr>
          <w:rFonts w:ascii="Times New Roman" w:hAnsi="Times New Roman" w:cs="Times New Roman"/>
          <w:noProof/>
          <w:sz w:val="24"/>
          <w:szCs w:val="24"/>
          <w:lang w:val="sr-Cyrl-CS"/>
        </w:rPr>
        <w:t xml:space="preserve"> истиче потребу за развојем и спровођењем систематичне културне политике</w:t>
      </w:r>
      <w:r w:rsidR="00E26ED4">
        <w:rPr>
          <w:rFonts w:ascii="Times New Roman" w:hAnsi="Times New Roman" w:cs="Times New Roman"/>
          <w:noProof/>
          <w:sz w:val="24"/>
          <w:szCs w:val="24"/>
          <w:lang w:val="sr-Cyrl-CS"/>
        </w:rPr>
        <w:t>,</w:t>
      </w:r>
      <w:r>
        <w:rPr>
          <w:rFonts w:ascii="Times New Roman" w:hAnsi="Times New Roman" w:cs="Times New Roman"/>
          <w:noProof/>
          <w:sz w:val="24"/>
          <w:szCs w:val="24"/>
          <w:lang w:val="sr-Cyrl-CS"/>
        </w:rPr>
        <w:t xml:space="preserve"> која би подстицала умрежавање</w:t>
      </w:r>
      <w:r w:rsidRPr="002F5232">
        <w:rPr>
          <w:rFonts w:ascii="Times New Roman" w:hAnsi="Times New Roman" w:cs="Times New Roman"/>
          <w:noProof/>
          <w:sz w:val="24"/>
          <w:szCs w:val="24"/>
          <w:lang w:val="sr-Cyrl-CS"/>
        </w:rPr>
        <w:t xml:space="preserve"> различитих др</w:t>
      </w:r>
      <w:r w:rsidR="00AF3268">
        <w:rPr>
          <w:rFonts w:ascii="Times New Roman" w:hAnsi="Times New Roman" w:cs="Times New Roman"/>
          <w:noProof/>
          <w:sz w:val="24"/>
          <w:szCs w:val="24"/>
          <w:lang w:val="sr-Cyrl-CS"/>
        </w:rPr>
        <w:t xml:space="preserve">уштвених и културних чинилаца, </w:t>
      </w:r>
      <w:r w:rsidRPr="002F5232">
        <w:rPr>
          <w:rFonts w:ascii="Times New Roman" w:hAnsi="Times New Roman" w:cs="Times New Roman"/>
          <w:noProof/>
          <w:sz w:val="24"/>
          <w:szCs w:val="24"/>
          <w:lang w:val="sr-Cyrl-CS"/>
        </w:rPr>
        <w:t>уметности, креативности, инова</w:t>
      </w:r>
      <w:r w:rsidR="00AF3268">
        <w:rPr>
          <w:rFonts w:ascii="Times New Roman" w:hAnsi="Times New Roman" w:cs="Times New Roman"/>
          <w:noProof/>
          <w:sz w:val="24"/>
          <w:szCs w:val="24"/>
          <w:lang w:val="sr-Cyrl-CS"/>
        </w:rPr>
        <w:t xml:space="preserve">тивности, уметничке едукације, </w:t>
      </w:r>
      <w:r w:rsidRPr="002F5232">
        <w:rPr>
          <w:rFonts w:ascii="Times New Roman" w:hAnsi="Times New Roman" w:cs="Times New Roman"/>
          <w:noProof/>
          <w:sz w:val="24"/>
          <w:szCs w:val="24"/>
          <w:lang w:val="sr-Cyrl-CS"/>
        </w:rPr>
        <w:t>стварање услова за развој креативних индустрија и јавне комуникације</w:t>
      </w:r>
      <w:r>
        <w:rPr>
          <w:rFonts w:ascii="Times New Roman" w:hAnsi="Times New Roman" w:cs="Times New Roman"/>
          <w:noProof/>
          <w:sz w:val="24"/>
          <w:szCs w:val="24"/>
          <w:lang w:val="sr-Cyrl-CS"/>
        </w:rPr>
        <w:t>.</w:t>
      </w:r>
      <w:r w:rsidR="00E26ED4" w:rsidRPr="00E26ED4">
        <w:rPr>
          <w:rFonts w:ascii="Times New Roman" w:hAnsi="Times New Roman" w:cs="Times New Roman"/>
          <w:noProof/>
          <w:sz w:val="24"/>
          <w:szCs w:val="24"/>
          <w:lang w:val="sr-Cyrl-CS"/>
        </w:rPr>
        <w:t>Овом</w:t>
      </w:r>
      <w:r w:rsidR="006C6FB5">
        <w:rPr>
          <w:rFonts w:ascii="Times New Roman" w:hAnsi="Times New Roman" w:cs="Times New Roman"/>
          <w:noProof/>
          <w:sz w:val="24"/>
          <w:szCs w:val="24"/>
          <w:lang/>
        </w:rPr>
        <w:t xml:space="preserve"> </w:t>
      </w:r>
      <w:r w:rsidR="00E26ED4">
        <w:rPr>
          <w:rFonts w:ascii="Times New Roman" w:hAnsi="Times New Roman" w:cs="Times New Roman"/>
          <w:noProof/>
          <w:sz w:val="24"/>
          <w:szCs w:val="24"/>
          <w:lang w:val="sr-Cyrl-CS"/>
        </w:rPr>
        <w:t>Стратегијом је дефинисано пет</w:t>
      </w:r>
      <w:r w:rsidR="00C47F03" w:rsidRPr="00C47F03">
        <w:rPr>
          <w:rFonts w:ascii="Times New Roman" w:hAnsi="Times New Roman" w:cs="Times New Roman"/>
          <w:noProof/>
          <w:sz w:val="24"/>
          <w:szCs w:val="24"/>
          <w:lang w:val="sr-Cyrl-CS"/>
        </w:rPr>
        <w:t xml:space="preserve"> приоритета у области културе: </w:t>
      </w:r>
      <w:r w:rsidR="00C47F03" w:rsidRPr="00C47F03">
        <w:rPr>
          <w:rFonts w:ascii="Times New Roman" w:hAnsi="Times New Roman" w:cs="Times New Roman"/>
          <w:i/>
          <w:noProof/>
          <w:sz w:val="24"/>
          <w:szCs w:val="24"/>
          <w:lang w:val="sr-Cyrl-CS"/>
        </w:rPr>
        <w:t>1. Подстицање повезивања институција културе на свим нивоима; 2. Унапређење и модернизација установа културе; 3. Очување културног наслеђа; 4. Унапређење финансирања културе; 5. Развој културних садржаја и акт</w:t>
      </w:r>
      <w:r w:rsidR="00C47F03">
        <w:rPr>
          <w:rFonts w:ascii="Times New Roman" w:hAnsi="Times New Roman" w:cs="Times New Roman"/>
          <w:i/>
          <w:noProof/>
          <w:sz w:val="24"/>
          <w:szCs w:val="24"/>
          <w:lang w:val="sr-Cyrl-CS"/>
        </w:rPr>
        <w:t>ивности.</w:t>
      </w:r>
      <w:r w:rsidR="006C6FB5">
        <w:rPr>
          <w:rFonts w:ascii="Times New Roman" w:hAnsi="Times New Roman" w:cs="Times New Roman"/>
          <w:i/>
          <w:noProof/>
          <w:sz w:val="24"/>
          <w:szCs w:val="24"/>
          <w:lang/>
        </w:rPr>
        <w:t xml:space="preserve"> </w:t>
      </w:r>
      <w:r w:rsidR="00C47F03" w:rsidRPr="00C47F03">
        <w:rPr>
          <w:rFonts w:ascii="Times New Roman" w:hAnsi="Times New Roman" w:cs="Times New Roman"/>
          <w:noProof/>
          <w:sz w:val="24"/>
          <w:szCs w:val="24"/>
          <w:lang w:val="sr-Cyrl-CS"/>
        </w:rPr>
        <w:t xml:space="preserve">Након усвајања Стратегије, донети су и акциони планови за поједине области, па тако и </w:t>
      </w:r>
      <w:r w:rsidR="00C47F03" w:rsidRPr="00C47F03">
        <w:rPr>
          <w:rFonts w:ascii="Times New Roman" w:hAnsi="Times New Roman" w:cs="Times New Roman"/>
          <w:i/>
          <w:noProof/>
          <w:sz w:val="24"/>
          <w:szCs w:val="24"/>
          <w:lang w:val="sr-Cyrl-CS"/>
        </w:rPr>
        <w:t>Акциони план за области: млади, нво, култура, спорт, медији и односи са јавношћу</w:t>
      </w:r>
      <w:r w:rsidR="00C47F03">
        <w:rPr>
          <w:rFonts w:ascii="Times New Roman" w:hAnsi="Times New Roman" w:cs="Times New Roman"/>
          <w:noProof/>
          <w:sz w:val="24"/>
          <w:szCs w:val="24"/>
          <w:lang w:val="sr-Cyrl-CS"/>
        </w:rPr>
        <w:t xml:space="preserve"> где је у оквиру приоритета </w:t>
      </w:r>
      <w:r w:rsidR="00C47F03" w:rsidRPr="00C47F03">
        <w:rPr>
          <w:rFonts w:ascii="Times New Roman" w:hAnsi="Times New Roman" w:cs="Times New Roman"/>
          <w:i/>
          <w:noProof/>
          <w:sz w:val="24"/>
          <w:szCs w:val="24"/>
          <w:lang w:val="sr-Cyrl-CS"/>
        </w:rPr>
        <w:t>Развој културних садржаја и активности</w:t>
      </w:r>
      <w:r w:rsidR="00C47F03">
        <w:rPr>
          <w:rFonts w:ascii="Times New Roman" w:hAnsi="Times New Roman" w:cs="Times New Roman"/>
          <w:noProof/>
          <w:sz w:val="24"/>
          <w:szCs w:val="24"/>
          <w:lang w:val="sr-Cyrl-CS"/>
        </w:rPr>
        <w:t xml:space="preserve"> предвиђено</w:t>
      </w:r>
      <w:r w:rsidR="006C6FB5">
        <w:rPr>
          <w:rFonts w:ascii="Times New Roman" w:hAnsi="Times New Roman" w:cs="Times New Roman"/>
          <w:noProof/>
          <w:sz w:val="24"/>
          <w:szCs w:val="24"/>
          <w:lang/>
        </w:rPr>
        <w:t xml:space="preserve"> </w:t>
      </w:r>
      <w:r w:rsidR="00C47F03">
        <w:rPr>
          <w:rFonts w:ascii="Times New Roman" w:hAnsi="Times New Roman" w:cs="Times New Roman"/>
          <w:noProof/>
          <w:sz w:val="24"/>
          <w:szCs w:val="24"/>
          <w:lang w:val="sr-Cyrl-CS"/>
        </w:rPr>
        <w:t xml:space="preserve">спровођење </w:t>
      </w:r>
      <w:r w:rsidR="00DB7B9E">
        <w:rPr>
          <w:rFonts w:ascii="Times New Roman" w:hAnsi="Times New Roman" w:cs="Times New Roman"/>
          <w:noProof/>
          <w:sz w:val="24"/>
          <w:szCs w:val="24"/>
          <w:lang w:val="sr-Cyrl-CS"/>
        </w:rPr>
        <w:t>истраживања о културним потребама и навикама грађана Сомбор</w:t>
      </w:r>
      <w:r w:rsidR="00C47F03">
        <w:rPr>
          <w:rFonts w:ascii="Times New Roman" w:hAnsi="Times New Roman" w:cs="Times New Roman"/>
          <w:noProof/>
          <w:sz w:val="24"/>
          <w:szCs w:val="24"/>
          <w:lang w:val="sr-Cyrl-CS"/>
        </w:rPr>
        <w:t>а</w:t>
      </w:r>
      <w:r w:rsidR="00DB7B9E">
        <w:rPr>
          <w:rFonts w:ascii="Times New Roman" w:hAnsi="Times New Roman" w:cs="Times New Roman"/>
          <w:noProof/>
          <w:sz w:val="24"/>
          <w:szCs w:val="24"/>
          <w:lang w:val="sr-Cyrl-CS"/>
        </w:rPr>
        <w:t>, као и креирање Стратегије развоја културе</w:t>
      </w:r>
      <w:r w:rsidR="00DB7B9E">
        <w:rPr>
          <w:rStyle w:val="FootnoteReference"/>
          <w:rFonts w:ascii="Times New Roman" w:hAnsi="Times New Roman" w:cs="Times New Roman"/>
          <w:noProof/>
          <w:sz w:val="24"/>
          <w:szCs w:val="24"/>
          <w:lang w:val="sr-Cyrl-CS"/>
        </w:rPr>
        <w:footnoteReference w:id="1"/>
      </w:r>
      <w:r w:rsidR="00DB7B9E">
        <w:rPr>
          <w:rFonts w:ascii="Times New Roman" w:hAnsi="Times New Roman" w:cs="Times New Roman"/>
          <w:noProof/>
          <w:sz w:val="24"/>
          <w:szCs w:val="24"/>
          <w:lang w:val="sr-Cyrl-CS"/>
        </w:rPr>
        <w:t xml:space="preserve">. </w:t>
      </w:r>
      <w:r w:rsidR="00C47F03">
        <w:rPr>
          <w:rFonts w:ascii="Times New Roman" w:hAnsi="Times New Roman" w:cs="Times New Roman"/>
          <w:noProof/>
          <w:sz w:val="24"/>
          <w:szCs w:val="24"/>
        </w:rPr>
        <w:t>Такође</w:t>
      </w:r>
      <w:r w:rsidR="00F86C2A">
        <w:rPr>
          <w:rFonts w:ascii="Times New Roman" w:hAnsi="Times New Roman" w:cs="Times New Roman"/>
          <w:noProof/>
          <w:sz w:val="24"/>
          <w:szCs w:val="24"/>
        </w:rPr>
        <w:t xml:space="preserve">, приликом аплицирања на конкурс „Градови у фокусу“ Министарства културе и информисања, 2018. године, Градска управа Сомбор је као једну од слабости културне политике </w:t>
      </w:r>
      <w:r w:rsidR="00E26ED4">
        <w:rPr>
          <w:rFonts w:ascii="Times New Roman" w:hAnsi="Times New Roman" w:cs="Times New Roman"/>
          <w:noProof/>
          <w:sz w:val="24"/>
          <w:szCs w:val="24"/>
        </w:rPr>
        <w:t>Града</w:t>
      </w:r>
      <w:r w:rsidR="00F86C2A">
        <w:rPr>
          <w:rFonts w:ascii="Times New Roman" w:hAnsi="Times New Roman" w:cs="Times New Roman"/>
          <w:noProof/>
          <w:sz w:val="24"/>
          <w:szCs w:val="24"/>
        </w:rPr>
        <w:t xml:space="preserve"> истакла неп</w:t>
      </w:r>
      <w:r w:rsidR="00E26ED4">
        <w:rPr>
          <w:rFonts w:ascii="Times New Roman" w:hAnsi="Times New Roman" w:cs="Times New Roman"/>
          <w:noProof/>
          <w:sz w:val="24"/>
          <w:szCs w:val="24"/>
        </w:rPr>
        <w:t>остојање стратешких докумената у</w:t>
      </w:r>
      <w:r w:rsidR="00F86C2A">
        <w:rPr>
          <w:rFonts w:ascii="Times New Roman" w:hAnsi="Times New Roman" w:cs="Times New Roman"/>
          <w:noProof/>
          <w:sz w:val="24"/>
          <w:szCs w:val="24"/>
        </w:rPr>
        <w:t xml:space="preserve"> области културе</w:t>
      </w:r>
      <w:r w:rsidR="00E26ED4">
        <w:rPr>
          <w:rFonts w:ascii="Times New Roman" w:hAnsi="Times New Roman" w:cs="Times New Roman"/>
          <w:noProof/>
          <w:sz w:val="24"/>
          <w:szCs w:val="24"/>
        </w:rPr>
        <w:t>,</w:t>
      </w:r>
      <w:r w:rsidR="00F86C2A">
        <w:rPr>
          <w:rFonts w:ascii="Times New Roman" w:hAnsi="Times New Roman" w:cs="Times New Roman"/>
          <w:noProof/>
          <w:sz w:val="24"/>
          <w:szCs w:val="24"/>
        </w:rPr>
        <w:t xml:space="preserve"> који би издвојили приоритете и циљеве којима</w:t>
      </w:r>
      <w:r w:rsidR="006C6FB5">
        <w:rPr>
          <w:rFonts w:ascii="Times New Roman" w:hAnsi="Times New Roman" w:cs="Times New Roman"/>
          <w:noProof/>
          <w:sz w:val="24"/>
          <w:szCs w:val="24"/>
        </w:rPr>
        <w:t xml:space="preserve"> </w:t>
      </w:r>
      <w:r w:rsidR="00504212">
        <w:rPr>
          <w:rFonts w:ascii="Times New Roman" w:hAnsi="Times New Roman" w:cs="Times New Roman"/>
          <w:noProof/>
          <w:sz w:val="24"/>
          <w:szCs w:val="24"/>
        </w:rPr>
        <w:t>би требало да</w:t>
      </w:r>
      <w:r w:rsidR="00C47F03">
        <w:rPr>
          <w:rFonts w:ascii="Times New Roman" w:hAnsi="Times New Roman" w:cs="Times New Roman"/>
          <w:noProof/>
          <w:sz w:val="24"/>
          <w:szCs w:val="24"/>
        </w:rPr>
        <w:t xml:space="preserve"> стреми култура у Граду</w:t>
      </w:r>
      <w:r w:rsidR="00F86C2A">
        <w:rPr>
          <w:rFonts w:ascii="Times New Roman" w:hAnsi="Times New Roman" w:cs="Times New Roman"/>
          <w:noProof/>
          <w:sz w:val="24"/>
          <w:szCs w:val="24"/>
        </w:rPr>
        <w:t xml:space="preserve"> и који би допринели развоју културе града, већој посећености програма из културе и већој препознатљивости Сомбора</w:t>
      </w:r>
      <w:r w:rsidR="00E26ED4">
        <w:rPr>
          <w:rFonts w:ascii="Times New Roman" w:hAnsi="Times New Roman" w:cs="Times New Roman"/>
          <w:noProof/>
          <w:sz w:val="24"/>
          <w:szCs w:val="24"/>
        </w:rPr>
        <w:t>,</w:t>
      </w:r>
      <w:r w:rsidR="00F86C2A">
        <w:rPr>
          <w:rFonts w:ascii="Times New Roman" w:hAnsi="Times New Roman" w:cs="Times New Roman"/>
          <w:noProof/>
          <w:sz w:val="24"/>
          <w:szCs w:val="24"/>
        </w:rPr>
        <w:t xml:space="preserve"> у Аутономној покрајини Војводини, Републици Србији и Региону</w:t>
      </w:r>
      <w:r w:rsidR="00C47F03">
        <w:rPr>
          <w:rFonts w:ascii="Times New Roman" w:hAnsi="Times New Roman" w:cs="Times New Roman"/>
          <w:noProof/>
          <w:sz w:val="24"/>
          <w:szCs w:val="24"/>
        </w:rPr>
        <w:t>,</w:t>
      </w:r>
      <w:r w:rsidR="00F86C2A">
        <w:rPr>
          <w:rFonts w:ascii="Times New Roman" w:hAnsi="Times New Roman" w:cs="Times New Roman"/>
          <w:noProof/>
          <w:sz w:val="24"/>
          <w:szCs w:val="24"/>
        </w:rPr>
        <w:t xml:space="preserve"> као града у коме се култура чува и развија. Поред тога, Институт за позориште, филм, радио и телевизију, Факултета драмских </w:t>
      </w:r>
      <w:r w:rsidR="00F86C2A">
        <w:rPr>
          <w:rFonts w:ascii="Times New Roman" w:hAnsi="Times New Roman" w:cs="Times New Roman"/>
          <w:noProof/>
          <w:sz w:val="24"/>
          <w:szCs w:val="24"/>
        </w:rPr>
        <w:lastRenderedPageBreak/>
        <w:t>уметности, Универзитета уметности у Београду, је у сарадњи са Заводом за проучавање културног развитка, републичком установом културе</w:t>
      </w:r>
      <w:r w:rsidR="00BB6F32">
        <w:rPr>
          <w:rFonts w:ascii="Times New Roman" w:hAnsi="Times New Roman" w:cs="Times New Roman"/>
          <w:noProof/>
          <w:sz w:val="24"/>
          <w:szCs w:val="24"/>
        </w:rPr>
        <w:t>, уз подршку пројек</w:t>
      </w:r>
      <w:r w:rsidR="00BB6F32" w:rsidRPr="00BB6F32">
        <w:rPr>
          <w:rFonts w:ascii="Times New Roman" w:hAnsi="Times New Roman" w:cs="Times New Roman"/>
          <w:noProof/>
          <w:sz w:val="24"/>
          <w:szCs w:val="24"/>
        </w:rPr>
        <w:t>т</w:t>
      </w:r>
      <w:r w:rsidR="00BB6F32">
        <w:rPr>
          <w:rFonts w:ascii="Times New Roman" w:hAnsi="Times New Roman" w:cs="Times New Roman"/>
          <w:noProof/>
          <w:sz w:val="24"/>
          <w:szCs w:val="24"/>
        </w:rPr>
        <w:t>а</w:t>
      </w:r>
      <w:r w:rsidR="00BB6F32" w:rsidRPr="00BB6F32">
        <w:rPr>
          <w:rFonts w:ascii="Times New Roman" w:hAnsi="Times New Roman" w:cs="Times New Roman"/>
          <w:noProof/>
          <w:sz w:val="24"/>
          <w:szCs w:val="24"/>
        </w:rPr>
        <w:t xml:space="preserve"> PERFORM (Performing </w:t>
      </w:r>
      <w:r w:rsidR="00BB6F32">
        <w:rPr>
          <w:rFonts w:ascii="Times New Roman" w:hAnsi="Times New Roman" w:cs="Times New Roman"/>
          <w:noProof/>
          <w:sz w:val="24"/>
          <w:szCs w:val="24"/>
        </w:rPr>
        <w:t xml:space="preserve">and Responsive Social Sciences) </w:t>
      </w:r>
      <w:r w:rsidR="00BB6F32" w:rsidRPr="00BB6F32">
        <w:rPr>
          <w:rFonts w:ascii="Times New Roman" w:hAnsi="Times New Roman" w:cs="Times New Roman"/>
          <w:noProof/>
          <w:sz w:val="24"/>
          <w:szCs w:val="24"/>
        </w:rPr>
        <w:t>Швајцарске агенције за развој и сарадњу (SDC)</w:t>
      </w:r>
      <w:r w:rsidR="00BB6F32">
        <w:rPr>
          <w:rFonts w:ascii="Times New Roman" w:hAnsi="Times New Roman" w:cs="Times New Roman"/>
          <w:noProof/>
          <w:sz w:val="24"/>
          <w:szCs w:val="24"/>
        </w:rPr>
        <w:t>,</w:t>
      </w:r>
      <w:r w:rsidR="00F86C2A">
        <w:rPr>
          <w:rFonts w:ascii="Times New Roman" w:hAnsi="Times New Roman" w:cs="Times New Roman"/>
          <w:noProof/>
          <w:sz w:val="24"/>
          <w:szCs w:val="24"/>
        </w:rPr>
        <w:t>током 2018. године спровео</w:t>
      </w:r>
      <w:r w:rsidR="00C47F03">
        <w:rPr>
          <w:rFonts w:ascii="Times New Roman" w:hAnsi="Times New Roman" w:cs="Times New Roman"/>
          <w:noProof/>
          <w:sz w:val="24"/>
          <w:szCs w:val="24"/>
        </w:rPr>
        <w:t xml:space="preserve"> истраживање „Модели локалне културне политике као основа за повећање културне партиципације“</w:t>
      </w:r>
      <w:r w:rsidR="00AF3268">
        <w:rPr>
          <w:rStyle w:val="FootnoteReference"/>
          <w:rFonts w:ascii="Times New Roman" w:hAnsi="Times New Roman" w:cs="Times New Roman"/>
          <w:noProof/>
          <w:sz w:val="24"/>
          <w:szCs w:val="24"/>
        </w:rPr>
        <w:footnoteReference w:id="2"/>
      </w:r>
      <w:r w:rsidR="00AF3268">
        <w:rPr>
          <w:rFonts w:ascii="Times New Roman" w:hAnsi="Times New Roman" w:cs="Times New Roman"/>
          <w:noProof/>
          <w:sz w:val="24"/>
          <w:szCs w:val="24"/>
        </w:rPr>
        <w:t xml:space="preserve">где је </w:t>
      </w:r>
      <w:r w:rsidR="00BB6F32">
        <w:rPr>
          <w:rFonts w:ascii="Times New Roman" w:hAnsi="Times New Roman" w:cs="Times New Roman"/>
          <w:noProof/>
          <w:sz w:val="24"/>
          <w:szCs w:val="24"/>
        </w:rPr>
        <w:t>као један од највећих изазова у Сомбору издвојио н</w:t>
      </w:r>
      <w:r w:rsidR="00BB6F32" w:rsidRPr="00BB6F32">
        <w:rPr>
          <w:rFonts w:ascii="Times New Roman" w:hAnsi="Times New Roman" w:cs="Times New Roman"/>
          <w:noProof/>
          <w:sz w:val="24"/>
          <w:szCs w:val="24"/>
        </w:rPr>
        <w:t>епостојање стратешког плана развоја културе Града</w:t>
      </w:r>
      <w:r w:rsidR="00AF3268">
        <w:rPr>
          <w:rFonts w:ascii="Times New Roman" w:hAnsi="Times New Roman" w:cs="Times New Roman"/>
          <w:noProof/>
          <w:sz w:val="24"/>
          <w:szCs w:val="24"/>
        </w:rPr>
        <w:t>, што су напоменули и представници Градске управе Сомбор, представници установа културе и удружења грађана у култури. Ово истраживање је предложило у</w:t>
      </w:r>
      <w:r w:rsidR="00AF3268" w:rsidRPr="00AF3268">
        <w:rPr>
          <w:rFonts w:ascii="Times New Roman" w:hAnsi="Times New Roman" w:cs="Times New Roman"/>
          <w:noProof/>
          <w:sz w:val="24"/>
          <w:szCs w:val="24"/>
        </w:rPr>
        <w:t>спостављ</w:t>
      </w:r>
      <w:r w:rsidR="00AF3268">
        <w:rPr>
          <w:rFonts w:ascii="Times New Roman" w:hAnsi="Times New Roman" w:cs="Times New Roman"/>
          <w:noProof/>
          <w:sz w:val="24"/>
          <w:szCs w:val="24"/>
        </w:rPr>
        <w:t xml:space="preserve">ање система за имплементацију и </w:t>
      </w:r>
      <w:r w:rsidR="00AF3268" w:rsidRPr="00AF3268">
        <w:rPr>
          <w:rFonts w:ascii="Times New Roman" w:hAnsi="Times New Roman" w:cs="Times New Roman"/>
          <w:noProof/>
          <w:sz w:val="24"/>
          <w:szCs w:val="24"/>
        </w:rPr>
        <w:t>мониторинг примене стратешког планирања</w:t>
      </w:r>
      <w:r w:rsidR="00AF3268">
        <w:rPr>
          <w:rFonts w:ascii="Times New Roman" w:hAnsi="Times New Roman" w:cs="Times New Roman"/>
          <w:noProof/>
          <w:sz w:val="24"/>
          <w:szCs w:val="24"/>
        </w:rPr>
        <w:t xml:space="preserve">. </w:t>
      </w:r>
    </w:p>
    <w:p w:rsidR="00504212" w:rsidRDefault="00504212" w:rsidP="0057644C">
      <w:pPr>
        <w:spacing w:after="0"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Сходно наведеним подацима и приоритетима Стратегије одрживог развоја града Сомбора 2014 – </w:t>
      </w:r>
      <w:r w:rsidR="00C931CA">
        <w:rPr>
          <w:rFonts w:ascii="Times New Roman" w:hAnsi="Times New Roman" w:cs="Times New Roman"/>
          <w:noProof/>
          <w:sz w:val="24"/>
          <w:szCs w:val="24"/>
        </w:rPr>
        <w:t>2021</w:t>
      </w:r>
      <w:r w:rsidR="00E26ED4">
        <w:rPr>
          <w:rFonts w:ascii="Times New Roman" w:hAnsi="Times New Roman" w:cs="Times New Roman"/>
          <w:noProof/>
          <w:sz w:val="24"/>
          <w:szCs w:val="24"/>
        </w:rPr>
        <w:t>,</w:t>
      </w:r>
      <w:r>
        <w:rPr>
          <w:rFonts w:ascii="Times New Roman" w:hAnsi="Times New Roman" w:cs="Times New Roman"/>
          <w:noProof/>
          <w:sz w:val="24"/>
          <w:szCs w:val="24"/>
        </w:rPr>
        <w:t xml:space="preserve"> Градска управа Сомбор је покренула иницијитаву за израду </w:t>
      </w:r>
      <w:r w:rsidR="00E26ED4">
        <w:rPr>
          <w:rFonts w:ascii="Times New Roman" w:hAnsi="Times New Roman" w:cs="Times New Roman"/>
          <w:noProof/>
          <w:sz w:val="24"/>
          <w:szCs w:val="24"/>
        </w:rPr>
        <w:t>локалног стратешког документа у</w:t>
      </w:r>
      <w:r>
        <w:rPr>
          <w:rFonts w:ascii="Times New Roman" w:hAnsi="Times New Roman" w:cs="Times New Roman"/>
          <w:noProof/>
          <w:sz w:val="24"/>
          <w:szCs w:val="24"/>
        </w:rPr>
        <w:t xml:space="preserve"> области културе за период од пет година, од </w:t>
      </w:r>
      <w:r w:rsidR="00C931CA">
        <w:rPr>
          <w:rFonts w:ascii="Times New Roman" w:hAnsi="Times New Roman" w:cs="Times New Roman"/>
          <w:noProof/>
          <w:sz w:val="24"/>
          <w:szCs w:val="24"/>
        </w:rPr>
        <w:t>2021</w:t>
      </w:r>
      <w:r>
        <w:rPr>
          <w:rFonts w:ascii="Times New Roman" w:hAnsi="Times New Roman" w:cs="Times New Roman"/>
          <w:noProof/>
          <w:sz w:val="24"/>
          <w:szCs w:val="24"/>
        </w:rPr>
        <w:t xml:space="preserve">. до 2025. године. </w:t>
      </w:r>
      <w:r w:rsidR="000B47E7">
        <w:rPr>
          <w:rFonts w:ascii="Times New Roman" w:hAnsi="Times New Roman" w:cs="Times New Roman"/>
          <w:noProof/>
          <w:sz w:val="24"/>
          <w:szCs w:val="24"/>
        </w:rPr>
        <w:t>Градска управа Сомбор је израду Стратегије поверила Заводу за проучавање културног развитка, републичкој установи културе, која се бави истраживањима културне политике, културне партиципације и стратешким планирањем у култури, која је у овом процесу партнер на пројекту</w:t>
      </w:r>
      <w:r w:rsidR="000B47E7">
        <w:rPr>
          <w:rStyle w:val="FootnoteReference"/>
          <w:rFonts w:ascii="Times New Roman" w:hAnsi="Times New Roman" w:cs="Times New Roman"/>
          <w:noProof/>
          <w:sz w:val="24"/>
          <w:szCs w:val="24"/>
        </w:rPr>
        <w:footnoteReference w:id="3"/>
      </w:r>
      <w:r w:rsidR="000B47E7">
        <w:rPr>
          <w:rFonts w:ascii="Times New Roman" w:hAnsi="Times New Roman" w:cs="Times New Roman"/>
          <w:noProof/>
          <w:sz w:val="24"/>
          <w:szCs w:val="24"/>
        </w:rPr>
        <w:t xml:space="preserve">. </w:t>
      </w:r>
    </w:p>
    <w:p w:rsidR="002A4DFE" w:rsidRPr="000606DF" w:rsidRDefault="002A4DFE" w:rsidP="00594010">
      <w:pPr>
        <w:spacing w:after="0"/>
        <w:jc w:val="both"/>
        <w:rPr>
          <w:rFonts w:ascii="Times New Roman" w:hAnsi="Times New Roman" w:cs="Times New Roman"/>
          <w:b/>
          <w:noProof/>
          <w:sz w:val="24"/>
          <w:szCs w:val="24"/>
        </w:rPr>
      </w:pPr>
    </w:p>
    <w:p w:rsidR="002A4DFE" w:rsidRPr="000606DF" w:rsidRDefault="002A4DFE" w:rsidP="00B03CD2">
      <w:pPr>
        <w:pStyle w:val="Heading2"/>
        <w:numPr>
          <w:ilvl w:val="1"/>
          <w:numId w:val="13"/>
        </w:numPr>
        <w:spacing w:before="0"/>
        <w:rPr>
          <w:b/>
          <w:noProof/>
        </w:rPr>
      </w:pPr>
      <w:bookmarkStart w:id="1" w:name="_Toc36072277"/>
      <w:r w:rsidRPr="000606DF">
        <w:rPr>
          <w:b/>
          <w:noProof/>
        </w:rPr>
        <w:t>Ток и динамика израде стратешког документа</w:t>
      </w:r>
      <w:bookmarkEnd w:id="1"/>
    </w:p>
    <w:p w:rsidR="002A4DFE" w:rsidRDefault="002A4DFE" w:rsidP="0057644C">
      <w:pPr>
        <w:spacing w:after="0"/>
        <w:jc w:val="both"/>
        <w:rPr>
          <w:rFonts w:ascii="Times New Roman" w:hAnsi="Times New Roman" w:cs="Times New Roman"/>
          <w:noProof/>
          <w:sz w:val="24"/>
          <w:szCs w:val="24"/>
        </w:rPr>
      </w:pPr>
    </w:p>
    <w:p w:rsidR="002A4DFE" w:rsidRDefault="002A4DFE" w:rsidP="00E26ED4">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За потребе израде Стратегије развоја културе града Сомбора </w:t>
      </w:r>
      <w:r w:rsidR="00C931CA">
        <w:rPr>
          <w:rFonts w:ascii="Times New Roman" w:hAnsi="Times New Roman" w:cs="Times New Roman"/>
          <w:noProof/>
          <w:sz w:val="24"/>
          <w:szCs w:val="24"/>
        </w:rPr>
        <w:t>2021</w:t>
      </w:r>
      <w:r>
        <w:rPr>
          <w:rFonts w:ascii="Times New Roman" w:hAnsi="Times New Roman" w:cs="Times New Roman"/>
          <w:noProof/>
          <w:sz w:val="24"/>
          <w:szCs w:val="24"/>
        </w:rPr>
        <w:t xml:space="preserve"> – 2025 Градска управа Сомбор је формирала Радну групу. Процес бирања чланова Радне групе подразумевао је објављивање Јавног позива </w:t>
      </w:r>
      <w:r w:rsidRPr="00E26ED4">
        <w:rPr>
          <w:rFonts w:ascii="Times New Roman" w:hAnsi="Times New Roman" w:cs="Times New Roman"/>
          <w:noProof/>
          <w:sz w:val="24"/>
          <w:szCs w:val="24"/>
        </w:rPr>
        <w:t>у сомборским медијима, јер</w:t>
      </w:r>
      <w:r>
        <w:rPr>
          <w:rFonts w:ascii="Times New Roman" w:hAnsi="Times New Roman" w:cs="Times New Roman"/>
          <w:noProof/>
          <w:sz w:val="24"/>
          <w:szCs w:val="24"/>
        </w:rPr>
        <w:t xml:space="preserve"> је циљ био укључивање што ширег</w:t>
      </w:r>
      <w:r w:rsidRPr="002A4DFE">
        <w:rPr>
          <w:rFonts w:ascii="Times New Roman" w:hAnsi="Times New Roman" w:cs="Times New Roman"/>
          <w:noProof/>
          <w:sz w:val="24"/>
          <w:szCs w:val="24"/>
        </w:rPr>
        <w:t xml:space="preserve"> сегмен</w:t>
      </w:r>
      <w:r w:rsidR="005A6543">
        <w:rPr>
          <w:rFonts w:ascii="Times New Roman" w:hAnsi="Times New Roman" w:cs="Times New Roman"/>
          <w:noProof/>
          <w:sz w:val="24"/>
          <w:szCs w:val="24"/>
        </w:rPr>
        <w:t>та</w:t>
      </w:r>
      <w:r w:rsidRPr="002A4DFE">
        <w:rPr>
          <w:rFonts w:ascii="Times New Roman" w:hAnsi="Times New Roman" w:cs="Times New Roman"/>
          <w:noProof/>
          <w:sz w:val="24"/>
          <w:szCs w:val="24"/>
        </w:rPr>
        <w:t>, како стручне културне јавности Града Сомбора, тако и свих оних који су заинтересовани да учествују у изради овог стратешког документа, пре свега кроз профилисање културних садржаја</w:t>
      </w:r>
      <w:r>
        <w:rPr>
          <w:rFonts w:ascii="Times New Roman" w:hAnsi="Times New Roman" w:cs="Times New Roman"/>
          <w:noProof/>
          <w:sz w:val="24"/>
          <w:szCs w:val="24"/>
        </w:rPr>
        <w:t xml:space="preserve"> који ће се нудити у будућности. Радна група имала је</w:t>
      </w:r>
      <w:r w:rsidRPr="002A4DFE">
        <w:rPr>
          <w:rFonts w:ascii="Times New Roman" w:hAnsi="Times New Roman" w:cs="Times New Roman"/>
          <w:noProof/>
          <w:sz w:val="24"/>
          <w:szCs w:val="24"/>
        </w:rPr>
        <w:t xml:space="preserve"> задатак да учествује у креирању и писању прегледа садашњег стањ</w:t>
      </w:r>
      <w:r>
        <w:rPr>
          <w:rFonts w:ascii="Times New Roman" w:hAnsi="Times New Roman" w:cs="Times New Roman"/>
          <w:noProof/>
          <w:sz w:val="24"/>
          <w:szCs w:val="24"/>
        </w:rPr>
        <w:t xml:space="preserve">а у оквиру стратешког документа, </w:t>
      </w:r>
      <w:r w:rsidR="007A71B7">
        <w:rPr>
          <w:rFonts w:ascii="Times New Roman" w:hAnsi="Times New Roman" w:cs="Times New Roman"/>
          <w:noProof/>
          <w:sz w:val="24"/>
          <w:szCs w:val="24"/>
        </w:rPr>
        <w:t xml:space="preserve">у дефинисању циљева и мера и </w:t>
      </w:r>
      <w:r w:rsidR="005A2F49">
        <w:rPr>
          <w:rFonts w:ascii="Times New Roman" w:hAnsi="Times New Roman" w:cs="Times New Roman"/>
          <w:noProof/>
          <w:sz w:val="24"/>
          <w:szCs w:val="24"/>
        </w:rPr>
        <w:t>у изради акционог плана. У Решењу о образовању Радне групе које је потписала Градоначелница Сомбора за чланове су именовани</w:t>
      </w:r>
      <w:r w:rsidR="00BB1151">
        <w:rPr>
          <w:rStyle w:val="FootnoteReference"/>
          <w:rFonts w:ascii="Times New Roman" w:hAnsi="Times New Roman" w:cs="Times New Roman"/>
          <w:noProof/>
          <w:sz w:val="24"/>
          <w:szCs w:val="24"/>
        </w:rPr>
        <w:footnoteReference w:id="4"/>
      </w:r>
      <w:r w:rsidR="005A2F49">
        <w:rPr>
          <w:rFonts w:ascii="Times New Roman" w:hAnsi="Times New Roman" w:cs="Times New Roman"/>
          <w:noProof/>
          <w:sz w:val="24"/>
          <w:szCs w:val="24"/>
        </w:rPr>
        <w:t xml:space="preserve">: </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Немања Сарач, члан Градског већа за културу и образовање</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Марија Шеремешић, председница удружења „Урбани Шокци“</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Весна Шашић, в.д. директора Културног центра „Лаза Костић“</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Бојана Ковачевић, директор Народног позоришта Сомбор</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Борислава Ристивојевић, директор Историјског архива Сомбор</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Милена Р</w:t>
      </w:r>
      <w:r w:rsidR="00BB1151">
        <w:rPr>
          <w:rFonts w:ascii="Times New Roman" w:hAnsi="Times New Roman" w:cs="Times New Roman"/>
          <w:noProof/>
          <w:sz w:val="24"/>
          <w:szCs w:val="24"/>
        </w:rPr>
        <w:t>ацков Ковачић, директор Галерије</w:t>
      </w:r>
      <w:r>
        <w:rPr>
          <w:rFonts w:ascii="Times New Roman" w:hAnsi="Times New Roman" w:cs="Times New Roman"/>
          <w:noProof/>
          <w:sz w:val="24"/>
          <w:szCs w:val="24"/>
        </w:rPr>
        <w:t xml:space="preserve"> „Милан Коњовић“</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lastRenderedPageBreak/>
        <w:t>Петер Мраковић, в.д. директора Градског музеја Сомбор</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Михаел Плац, председник Националног савета немачке националне мањине</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Миливоје Млађеновић, професор на Педагошком факултету Сомбор</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Прим. др Милан Божина, председник ГКУД „Раванград“</w:t>
      </w:r>
    </w:p>
    <w:p w:rsidR="005A2F49"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Наташа Туркић, директор Градске библиотеке „Карло Бијелицки“</w:t>
      </w:r>
    </w:p>
    <w:p w:rsidR="005A2F49" w:rsidRPr="00BB1151" w:rsidRDefault="005A2F49" w:rsidP="005A2F49">
      <w:pPr>
        <w:pStyle w:val="ListParagraph"/>
        <w:numPr>
          <w:ilvl w:val="0"/>
          <w:numId w:val="1"/>
        </w:numPr>
        <w:jc w:val="both"/>
        <w:rPr>
          <w:rFonts w:ascii="Times New Roman" w:hAnsi="Times New Roman" w:cs="Times New Roman"/>
          <w:noProof/>
          <w:sz w:val="24"/>
          <w:szCs w:val="24"/>
        </w:rPr>
      </w:pPr>
      <w:r>
        <w:rPr>
          <w:rFonts w:ascii="Times New Roman" w:hAnsi="Times New Roman" w:cs="Times New Roman"/>
          <w:noProof/>
          <w:sz w:val="24"/>
          <w:szCs w:val="24"/>
        </w:rPr>
        <w:t>Милан Радишић, диригент мешовитог хора Сомборског певачког друштва</w:t>
      </w:r>
    </w:p>
    <w:p w:rsidR="00B327C6" w:rsidRDefault="00B327C6" w:rsidP="00E26ED4">
      <w:pPr>
        <w:spacing w:line="276"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Израда стратешког документа подразумевала је отворени, јавни и партиципативни процес у коме су сви актери у култури, као и грађани</w:t>
      </w:r>
      <w:r w:rsidR="00BB115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Сомбора и насељених места позвани да дају своје мишљење и сугестије. У ту сврху </w:t>
      </w:r>
      <w:r w:rsidR="00B82B9C">
        <w:rPr>
          <w:rFonts w:ascii="Times New Roman" w:hAnsi="Times New Roman" w:cs="Times New Roman"/>
          <w:sz w:val="24"/>
          <w:szCs w:val="24"/>
          <w:lang w:val="sr-Cyrl-CS"/>
        </w:rPr>
        <w:t xml:space="preserve">реализовано је анкетно истраживање грађана Сомбора, анкетно истраживање запослених у установама културе, фокус </w:t>
      </w:r>
      <w:r w:rsidR="00BB1151">
        <w:rPr>
          <w:rFonts w:ascii="Times New Roman" w:hAnsi="Times New Roman" w:cs="Times New Roman"/>
          <w:sz w:val="24"/>
          <w:szCs w:val="24"/>
          <w:lang w:val="sr-Cyrl-CS"/>
        </w:rPr>
        <w:t xml:space="preserve">групе и интервјуи </w:t>
      </w:r>
      <w:r w:rsidR="00BB1151" w:rsidRPr="00BB1151">
        <w:rPr>
          <w:rFonts w:ascii="Times New Roman" w:hAnsi="Times New Roman" w:cs="Times New Roman"/>
          <w:sz w:val="24"/>
          <w:szCs w:val="24"/>
          <w:lang w:val="sr-Cyrl-CS"/>
        </w:rPr>
        <w:t>са кључним актерима културног живота и развоја</w:t>
      </w:r>
      <w:r w:rsidR="00BB1151">
        <w:rPr>
          <w:rFonts w:ascii="Times New Roman" w:hAnsi="Times New Roman" w:cs="Times New Roman"/>
          <w:sz w:val="24"/>
          <w:szCs w:val="24"/>
          <w:lang w:val="sr-Cyrl-CS"/>
        </w:rPr>
        <w:t xml:space="preserve"> града. </w:t>
      </w:r>
      <w:r w:rsidR="00BB1151" w:rsidRPr="00BB1151">
        <w:rPr>
          <w:rFonts w:ascii="Times New Roman" w:hAnsi="Times New Roman" w:cs="Times New Roman"/>
          <w:sz w:val="24"/>
          <w:szCs w:val="24"/>
          <w:lang w:val="sr-Cyrl-CS"/>
        </w:rPr>
        <w:t>За потребу</w:t>
      </w:r>
      <w:r w:rsidR="00B435E6">
        <w:rPr>
          <w:rFonts w:ascii="Times New Roman" w:hAnsi="Times New Roman" w:cs="Times New Roman"/>
          <w:sz w:val="24"/>
          <w:szCs w:val="24"/>
        </w:rPr>
        <w:t xml:space="preserve">спровођења интервјуа и фокус група </w:t>
      </w:r>
      <w:r w:rsidR="00B435E6" w:rsidRPr="00B435E6">
        <w:rPr>
          <w:rFonts w:ascii="Times New Roman" w:hAnsi="Times New Roman" w:cs="Times New Roman"/>
          <w:sz w:val="24"/>
          <w:szCs w:val="24"/>
        </w:rPr>
        <w:t>са представницима градске управе, установа културе, цивилног и приватног сектора у култури</w:t>
      </w:r>
      <w:r w:rsidR="00BB1151" w:rsidRPr="00BB1151">
        <w:rPr>
          <w:rFonts w:ascii="Times New Roman" w:hAnsi="Times New Roman" w:cs="Times New Roman"/>
          <w:sz w:val="24"/>
          <w:szCs w:val="24"/>
          <w:lang w:val="sr-Cyrl-CS"/>
        </w:rPr>
        <w:t xml:space="preserve"> креирани су </w:t>
      </w:r>
      <w:r w:rsidR="00E26ED4">
        <w:rPr>
          <w:rFonts w:ascii="Times New Roman" w:hAnsi="Times New Roman" w:cs="Times New Roman"/>
          <w:sz w:val="24"/>
          <w:szCs w:val="24"/>
          <w:lang w:val="sr-Cyrl-CS"/>
        </w:rPr>
        <w:t>специјализовани</w:t>
      </w:r>
      <w:r w:rsidR="00BB1151" w:rsidRPr="00BB1151">
        <w:rPr>
          <w:rFonts w:ascii="Times New Roman" w:hAnsi="Times New Roman" w:cs="Times New Roman"/>
          <w:sz w:val="24"/>
          <w:szCs w:val="24"/>
          <w:lang w:val="sr-Cyrl-CS"/>
        </w:rPr>
        <w:t xml:space="preserve"> полуструктурисани упитници.</w:t>
      </w:r>
      <w:r w:rsidR="00BB1151">
        <w:rPr>
          <w:rFonts w:ascii="Times New Roman" w:hAnsi="Times New Roman" w:cs="Times New Roman"/>
          <w:sz w:val="24"/>
          <w:szCs w:val="24"/>
          <w:lang w:val="sr-Cyrl-CS"/>
        </w:rPr>
        <w:t xml:space="preserve"> На тај начин спроведено је: </w:t>
      </w:r>
    </w:p>
    <w:p w:rsidR="00BB1151" w:rsidRDefault="00BB1151" w:rsidP="000764E2">
      <w:pPr>
        <w:pStyle w:val="ListParagraph"/>
        <w:numPr>
          <w:ilvl w:val="0"/>
          <w:numId w:val="2"/>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6 интервјуа</w:t>
      </w:r>
    </w:p>
    <w:p w:rsidR="00BB1151" w:rsidRPr="00BB1151" w:rsidRDefault="00BB1151" w:rsidP="000764E2">
      <w:pPr>
        <w:pStyle w:val="ListParagraph"/>
        <w:numPr>
          <w:ilvl w:val="0"/>
          <w:numId w:val="2"/>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10 фокус група. </w:t>
      </w:r>
    </w:p>
    <w:p w:rsidR="000606DF" w:rsidRDefault="002A4DFE" w:rsidP="000606DF">
      <w:pPr>
        <w:spacing w:line="276" w:lineRule="auto"/>
        <w:ind w:firstLine="720"/>
        <w:jc w:val="both"/>
        <w:rPr>
          <w:rFonts w:ascii="Times New Roman" w:hAnsi="Times New Roman" w:cs="Times New Roman"/>
          <w:sz w:val="24"/>
          <w:szCs w:val="24"/>
          <w:lang w:val="sr-Cyrl-CS"/>
        </w:rPr>
      </w:pPr>
      <w:r w:rsidRPr="002A4DFE">
        <w:rPr>
          <w:rFonts w:ascii="Times New Roman" w:hAnsi="Times New Roman" w:cs="Times New Roman"/>
          <w:sz w:val="24"/>
          <w:szCs w:val="24"/>
          <w:lang w:val="sr-Cyrl-CS"/>
        </w:rPr>
        <w:t>У фокус групама учествовало је 77 актера у култури, од који</w:t>
      </w:r>
      <w:r w:rsidR="00E26ED4">
        <w:rPr>
          <w:rFonts w:ascii="Times New Roman" w:hAnsi="Times New Roman" w:cs="Times New Roman"/>
          <w:sz w:val="24"/>
          <w:szCs w:val="24"/>
          <w:lang w:val="sr-Cyrl-CS"/>
        </w:rPr>
        <w:t>х</w:t>
      </w:r>
      <w:r w:rsidRPr="002A4DFE">
        <w:rPr>
          <w:rFonts w:ascii="Times New Roman" w:hAnsi="Times New Roman" w:cs="Times New Roman"/>
          <w:sz w:val="24"/>
          <w:szCs w:val="24"/>
          <w:lang w:val="sr-Cyrl-CS"/>
        </w:rPr>
        <w:t xml:space="preserve"> 18 представника удружења грађана, 9 представника других ресора и 3 представника старих заната. Интервјуима је обухваћено и четворо представника приватног сектора у култури.</w:t>
      </w:r>
    </w:p>
    <w:p w:rsidR="00C15B0A" w:rsidRPr="000606DF" w:rsidRDefault="00C15B0A" w:rsidP="00B03CD2">
      <w:pPr>
        <w:pStyle w:val="Heading2"/>
        <w:numPr>
          <w:ilvl w:val="1"/>
          <w:numId w:val="13"/>
        </w:numPr>
        <w:spacing w:before="0"/>
        <w:rPr>
          <w:rFonts w:cstheme="majorHAnsi"/>
          <w:b/>
          <w:lang w:val="sr-Cyrl-CS"/>
        </w:rPr>
      </w:pPr>
      <w:bookmarkStart w:id="2" w:name="_Toc36072278"/>
      <w:r w:rsidRPr="000606DF">
        <w:rPr>
          <w:rFonts w:cstheme="majorHAnsi"/>
          <w:b/>
          <w:lang w:val="sr-Cyrl-CS"/>
        </w:rPr>
        <w:t>Анкетно истраживање културних потреба и ставова грађана Сомбора и запослених у установама културе</w:t>
      </w:r>
      <w:bookmarkEnd w:id="2"/>
    </w:p>
    <w:p w:rsidR="000606DF" w:rsidRDefault="000606DF" w:rsidP="000606DF">
      <w:pPr>
        <w:spacing w:after="0" w:line="276" w:lineRule="auto"/>
        <w:jc w:val="both"/>
        <w:rPr>
          <w:rFonts w:ascii="Times New Roman" w:hAnsi="Times New Roman" w:cs="Times New Roman"/>
          <w:sz w:val="24"/>
          <w:szCs w:val="24"/>
          <w:u w:val="single"/>
          <w:lang w:val="sr-Cyrl-CS"/>
        </w:rPr>
      </w:pPr>
    </w:p>
    <w:p w:rsidR="00C15B0A" w:rsidRPr="00C15B0A" w:rsidRDefault="00C15B0A" w:rsidP="000764E2">
      <w:pPr>
        <w:spacing w:line="276" w:lineRule="auto"/>
        <w:jc w:val="both"/>
        <w:rPr>
          <w:rFonts w:ascii="Times New Roman" w:hAnsi="Times New Roman" w:cs="Times New Roman"/>
          <w:sz w:val="24"/>
          <w:szCs w:val="24"/>
          <w:u w:val="single"/>
          <w:lang w:val="sr-Cyrl-CS"/>
        </w:rPr>
      </w:pPr>
      <w:r w:rsidRPr="00C15B0A">
        <w:rPr>
          <w:rFonts w:ascii="Times New Roman" w:hAnsi="Times New Roman" w:cs="Times New Roman"/>
          <w:sz w:val="24"/>
          <w:szCs w:val="24"/>
          <w:u w:val="single"/>
          <w:lang w:val="sr-Cyrl-CS"/>
        </w:rPr>
        <w:t>Грађани Сомбора</w:t>
      </w:r>
    </w:p>
    <w:p w:rsidR="00AF303D" w:rsidRDefault="00C15B0A" w:rsidP="00E26ED4">
      <w:pPr>
        <w:spacing w:after="0" w:line="276" w:lineRule="auto"/>
        <w:ind w:firstLine="720"/>
        <w:jc w:val="both"/>
        <w:rPr>
          <w:rFonts w:ascii="Times New Roman" w:hAnsi="Times New Roman" w:cs="Times New Roman"/>
          <w:sz w:val="24"/>
          <w:szCs w:val="24"/>
          <w:lang w:val="sr-Cyrl-CS"/>
        </w:rPr>
      </w:pPr>
      <w:r w:rsidRPr="00C15B0A">
        <w:rPr>
          <w:rFonts w:ascii="Times New Roman" w:hAnsi="Times New Roman" w:cs="Times New Roman"/>
          <w:sz w:val="24"/>
          <w:szCs w:val="24"/>
          <w:lang w:val="sr-Cyrl-CS"/>
        </w:rPr>
        <w:t>Као метода испитивања коришћена је анкета</w:t>
      </w:r>
      <w:r>
        <w:rPr>
          <w:rStyle w:val="FootnoteReference"/>
          <w:rFonts w:ascii="Times New Roman" w:hAnsi="Times New Roman" w:cs="Times New Roman"/>
          <w:sz w:val="24"/>
          <w:szCs w:val="24"/>
          <w:lang w:val="sr-Cyrl-CS"/>
        </w:rPr>
        <w:footnoteReference w:id="5"/>
      </w:r>
      <w:r w:rsidRPr="00C15B0A">
        <w:rPr>
          <w:rFonts w:ascii="Times New Roman" w:hAnsi="Times New Roman" w:cs="Times New Roman"/>
          <w:sz w:val="24"/>
          <w:szCs w:val="24"/>
          <w:lang w:val="sr-Cyrl-CS"/>
        </w:rPr>
        <w:t xml:space="preserve"> креирана од стране стручног тима Завода за проучавање културног развитка. Предлог упитника одобрен је од стране градског већника задуженог за културу у Сомбору.  Поред социо-демографских карактеристика, упитник за потребе истраживања културних потреба и ставова грађана Сомбора састојао се од 49 пит</w:t>
      </w:r>
      <w:r w:rsidR="00AF303D">
        <w:rPr>
          <w:rFonts w:ascii="Times New Roman" w:hAnsi="Times New Roman" w:cs="Times New Roman"/>
          <w:sz w:val="24"/>
          <w:szCs w:val="24"/>
          <w:lang w:val="sr-Cyrl-CS"/>
        </w:rPr>
        <w:t xml:space="preserve">ања подељених у пет сегмената: </w:t>
      </w:r>
    </w:p>
    <w:p w:rsidR="00AF303D" w:rsidRDefault="00C15B0A" w:rsidP="000764E2">
      <w:pPr>
        <w:pStyle w:val="ListParagraph"/>
        <w:numPr>
          <w:ilvl w:val="0"/>
          <w:numId w:val="3"/>
        </w:numPr>
        <w:spacing w:line="276" w:lineRule="auto"/>
        <w:jc w:val="both"/>
        <w:rPr>
          <w:rFonts w:ascii="Times New Roman" w:hAnsi="Times New Roman" w:cs="Times New Roman"/>
          <w:sz w:val="24"/>
          <w:szCs w:val="24"/>
          <w:lang w:val="sr-Cyrl-CS"/>
        </w:rPr>
      </w:pPr>
      <w:r w:rsidRPr="00AF303D">
        <w:rPr>
          <w:rFonts w:ascii="Times New Roman" w:hAnsi="Times New Roman" w:cs="Times New Roman"/>
          <w:sz w:val="24"/>
          <w:szCs w:val="24"/>
          <w:lang w:val="sr-Cyrl-CS"/>
        </w:rPr>
        <w:t>културне потребе и слободно време. Под културним потребама грађана сматрала се мотивација за учешће у културним активностима, као и посећивање програма из културе у своје слободно време</w:t>
      </w:r>
    </w:p>
    <w:p w:rsidR="00AF303D" w:rsidRDefault="00C15B0A" w:rsidP="000764E2">
      <w:pPr>
        <w:pStyle w:val="ListParagraph"/>
        <w:numPr>
          <w:ilvl w:val="0"/>
          <w:numId w:val="3"/>
        </w:numPr>
        <w:spacing w:line="276" w:lineRule="auto"/>
        <w:jc w:val="both"/>
        <w:rPr>
          <w:rFonts w:ascii="Times New Roman" w:hAnsi="Times New Roman" w:cs="Times New Roman"/>
          <w:sz w:val="24"/>
          <w:szCs w:val="24"/>
          <w:lang w:val="sr-Cyrl-CS"/>
        </w:rPr>
      </w:pPr>
      <w:r w:rsidRPr="00AF303D">
        <w:rPr>
          <w:rFonts w:ascii="Times New Roman" w:hAnsi="Times New Roman" w:cs="Times New Roman"/>
          <w:sz w:val="24"/>
          <w:szCs w:val="24"/>
          <w:lang w:val="sr-Cyrl-CS"/>
        </w:rPr>
        <w:t>информисаност и комуникација</w:t>
      </w:r>
      <w:r w:rsidR="00E26ED4">
        <w:rPr>
          <w:rFonts w:ascii="Times New Roman" w:hAnsi="Times New Roman" w:cs="Times New Roman"/>
          <w:sz w:val="24"/>
          <w:szCs w:val="24"/>
          <w:lang w:val="sr-Cyrl-CS"/>
        </w:rPr>
        <w:t>,</w:t>
      </w:r>
      <w:r w:rsidRPr="00AF303D">
        <w:rPr>
          <w:rFonts w:ascii="Times New Roman" w:hAnsi="Times New Roman" w:cs="Times New Roman"/>
          <w:sz w:val="24"/>
          <w:szCs w:val="24"/>
          <w:lang w:val="sr-Cyrl-CS"/>
        </w:rPr>
        <w:t xml:space="preserve"> који је обухватио начин информисања о културним дешавањима у граду, као и ставове и препоруке за унапређење промоције</w:t>
      </w:r>
    </w:p>
    <w:p w:rsidR="00AF303D" w:rsidRDefault="00C15B0A" w:rsidP="000764E2">
      <w:pPr>
        <w:pStyle w:val="ListParagraph"/>
        <w:numPr>
          <w:ilvl w:val="0"/>
          <w:numId w:val="3"/>
        </w:numPr>
        <w:spacing w:line="276" w:lineRule="auto"/>
        <w:jc w:val="both"/>
        <w:rPr>
          <w:rFonts w:ascii="Times New Roman" w:hAnsi="Times New Roman" w:cs="Times New Roman"/>
          <w:sz w:val="24"/>
          <w:szCs w:val="24"/>
          <w:lang w:val="sr-Cyrl-CS"/>
        </w:rPr>
      </w:pPr>
      <w:r w:rsidRPr="00AF303D">
        <w:rPr>
          <w:rFonts w:ascii="Times New Roman" w:hAnsi="Times New Roman" w:cs="Times New Roman"/>
          <w:sz w:val="24"/>
          <w:szCs w:val="24"/>
          <w:lang w:val="sr-Cyrl-CS"/>
        </w:rPr>
        <w:lastRenderedPageBreak/>
        <w:t>културна препознатљивост и брендирање</w:t>
      </w:r>
      <w:r w:rsidR="00E26ED4">
        <w:rPr>
          <w:rFonts w:ascii="Times New Roman" w:hAnsi="Times New Roman" w:cs="Times New Roman"/>
          <w:sz w:val="24"/>
          <w:szCs w:val="24"/>
          <w:lang w:val="sr-Cyrl-CS"/>
        </w:rPr>
        <w:t>,</w:t>
      </w:r>
      <w:r w:rsidRPr="00AF303D">
        <w:rPr>
          <w:rFonts w:ascii="Times New Roman" w:hAnsi="Times New Roman" w:cs="Times New Roman"/>
          <w:sz w:val="24"/>
          <w:szCs w:val="24"/>
          <w:lang w:val="sr-Cyrl-CS"/>
        </w:rPr>
        <w:t xml:space="preserve"> који је био усмерен на ставове и препоруке у циљу повећања видљивости културних дешавања и културне традиције града Сомбора</w:t>
      </w:r>
    </w:p>
    <w:p w:rsidR="00AF303D" w:rsidRDefault="00C15B0A" w:rsidP="000764E2">
      <w:pPr>
        <w:pStyle w:val="ListParagraph"/>
        <w:numPr>
          <w:ilvl w:val="0"/>
          <w:numId w:val="3"/>
        </w:numPr>
        <w:spacing w:line="276" w:lineRule="auto"/>
        <w:jc w:val="both"/>
        <w:rPr>
          <w:rFonts w:ascii="Times New Roman" w:hAnsi="Times New Roman" w:cs="Times New Roman"/>
          <w:sz w:val="24"/>
          <w:szCs w:val="24"/>
          <w:lang w:val="sr-Cyrl-CS"/>
        </w:rPr>
      </w:pPr>
      <w:r w:rsidRPr="00AF303D">
        <w:rPr>
          <w:rFonts w:ascii="Times New Roman" w:hAnsi="Times New Roman" w:cs="Times New Roman"/>
          <w:sz w:val="24"/>
          <w:szCs w:val="24"/>
          <w:lang w:val="sr-Cyrl-CS"/>
        </w:rPr>
        <w:t>културна партиципација</w:t>
      </w:r>
      <w:r w:rsidR="00E26ED4">
        <w:rPr>
          <w:rFonts w:ascii="Times New Roman" w:hAnsi="Times New Roman" w:cs="Times New Roman"/>
          <w:sz w:val="24"/>
          <w:szCs w:val="24"/>
          <w:lang w:val="sr-Cyrl-CS"/>
        </w:rPr>
        <w:t>,</w:t>
      </w:r>
      <w:r w:rsidRPr="00AF303D">
        <w:rPr>
          <w:rFonts w:ascii="Times New Roman" w:hAnsi="Times New Roman" w:cs="Times New Roman"/>
          <w:sz w:val="24"/>
          <w:szCs w:val="24"/>
          <w:lang w:val="sr-Cyrl-CS"/>
        </w:rPr>
        <w:t xml:space="preserve"> који је био фокусиран на културну продукцију грађана, као и мотивацију да присуствују догађајима у култури</w:t>
      </w:r>
    </w:p>
    <w:p w:rsidR="00C15B0A" w:rsidRPr="00AF303D" w:rsidRDefault="00C15B0A" w:rsidP="000764E2">
      <w:pPr>
        <w:pStyle w:val="ListParagraph"/>
        <w:numPr>
          <w:ilvl w:val="0"/>
          <w:numId w:val="3"/>
        </w:numPr>
        <w:spacing w:line="276" w:lineRule="auto"/>
        <w:jc w:val="both"/>
        <w:rPr>
          <w:rFonts w:ascii="Times New Roman" w:hAnsi="Times New Roman" w:cs="Times New Roman"/>
          <w:sz w:val="24"/>
          <w:szCs w:val="24"/>
          <w:lang w:val="sr-Cyrl-CS"/>
        </w:rPr>
      </w:pPr>
      <w:r w:rsidRPr="00AF303D">
        <w:rPr>
          <w:rFonts w:ascii="Times New Roman" w:hAnsi="Times New Roman" w:cs="Times New Roman"/>
          <w:sz w:val="24"/>
          <w:szCs w:val="24"/>
          <w:lang w:val="sr-Cyrl-CS"/>
        </w:rPr>
        <w:t>оцене и ставови о културној понуди града Сомбора</w:t>
      </w:r>
    </w:p>
    <w:p w:rsidR="00E75DE5" w:rsidRDefault="00C15B0A" w:rsidP="000764E2">
      <w:pPr>
        <w:spacing w:line="276" w:lineRule="auto"/>
        <w:jc w:val="both"/>
        <w:rPr>
          <w:rFonts w:ascii="Times New Roman" w:hAnsi="Times New Roman" w:cs="Times New Roman"/>
          <w:sz w:val="24"/>
          <w:szCs w:val="24"/>
          <w:lang w:val="sr-Cyrl-CS"/>
        </w:rPr>
      </w:pPr>
      <w:r w:rsidRPr="00C15B0A">
        <w:rPr>
          <w:rFonts w:ascii="Times New Roman" w:hAnsi="Times New Roman" w:cs="Times New Roman"/>
          <w:sz w:val="24"/>
          <w:szCs w:val="24"/>
          <w:lang w:val="sr-Cyrl-CS"/>
        </w:rPr>
        <w:t>Податке о културним потребама и ставовима грађана Сомбора прикупљало је  укупно 17 анкетара, који су били подељени по месним заједницама</w:t>
      </w:r>
      <w:r w:rsidR="00AF303D">
        <w:rPr>
          <w:rFonts w:ascii="Times New Roman" w:hAnsi="Times New Roman" w:cs="Times New Roman"/>
          <w:sz w:val="24"/>
          <w:szCs w:val="24"/>
          <w:lang w:val="sr-Cyrl-CS"/>
        </w:rPr>
        <w:t>, урбаном и руралном подручју.</w:t>
      </w:r>
    </w:p>
    <w:tbl>
      <w:tblPr>
        <w:tblStyle w:val="GridTable4-Accent11"/>
        <w:tblW w:w="9428" w:type="dxa"/>
        <w:jc w:val="center"/>
        <w:tblLook w:val="04A0"/>
      </w:tblPr>
      <w:tblGrid>
        <w:gridCol w:w="2409"/>
        <w:gridCol w:w="2324"/>
        <w:gridCol w:w="841"/>
        <w:gridCol w:w="1245"/>
        <w:gridCol w:w="1786"/>
        <w:gridCol w:w="823"/>
      </w:tblGrid>
      <w:tr w:rsidR="00E75DE5" w:rsidRPr="0080046F" w:rsidTr="009B3984">
        <w:trPr>
          <w:cnfStyle w:val="100000000000"/>
          <w:trHeight w:val="272"/>
          <w:jc w:val="center"/>
        </w:trPr>
        <w:tc>
          <w:tcPr>
            <w:cnfStyle w:val="001000000000"/>
            <w:tcW w:w="2409" w:type="dxa"/>
            <w:noWrap/>
            <w:hideMark/>
          </w:tcPr>
          <w:p w:rsidR="00E75DE5" w:rsidRPr="0080046F" w:rsidRDefault="00E75DE5" w:rsidP="00131F6C">
            <w:pPr>
              <w:jc w:val="center"/>
              <w:rPr>
                <w:rFonts w:eastAsia="Times New Roman"/>
                <w:sz w:val="22"/>
              </w:rPr>
            </w:pPr>
            <w:r w:rsidRPr="0080046F">
              <w:rPr>
                <w:rFonts w:eastAsia="Times New Roman"/>
                <w:sz w:val="22"/>
              </w:rPr>
              <w:t>Месне заједнице</w:t>
            </w:r>
          </w:p>
        </w:tc>
        <w:tc>
          <w:tcPr>
            <w:tcW w:w="2324" w:type="dxa"/>
            <w:noWrap/>
            <w:hideMark/>
          </w:tcPr>
          <w:p w:rsidR="00E75DE5" w:rsidRPr="0080046F" w:rsidRDefault="009B3984" w:rsidP="009B3984">
            <w:pPr>
              <w:jc w:val="center"/>
              <w:cnfStyle w:val="100000000000"/>
              <w:rPr>
                <w:rFonts w:eastAsia="Times New Roman"/>
                <w:sz w:val="22"/>
              </w:rPr>
            </w:pPr>
            <w:r>
              <w:rPr>
                <w:rFonts w:eastAsia="Times New Roman"/>
                <w:sz w:val="22"/>
                <w:lang/>
              </w:rPr>
              <w:t xml:space="preserve">Број </w:t>
            </w:r>
            <w:r>
              <w:rPr>
                <w:rFonts w:eastAsia="Times New Roman"/>
                <w:sz w:val="22"/>
              </w:rPr>
              <w:t>с</w:t>
            </w:r>
            <w:r w:rsidR="0080046F">
              <w:rPr>
                <w:rFonts w:eastAsia="Times New Roman"/>
                <w:sz w:val="22"/>
              </w:rPr>
              <w:t>танов</w:t>
            </w:r>
            <w:r>
              <w:rPr>
                <w:rFonts w:eastAsia="Times New Roman"/>
                <w:sz w:val="22"/>
              </w:rPr>
              <w:t>ника</w:t>
            </w:r>
          </w:p>
        </w:tc>
        <w:tc>
          <w:tcPr>
            <w:tcW w:w="841" w:type="dxa"/>
            <w:noWrap/>
            <w:hideMark/>
          </w:tcPr>
          <w:p w:rsidR="00E75DE5" w:rsidRPr="0080046F" w:rsidRDefault="00E75DE5" w:rsidP="00131F6C">
            <w:pPr>
              <w:jc w:val="center"/>
              <w:cnfStyle w:val="100000000000"/>
              <w:rPr>
                <w:rFonts w:eastAsia="Times New Roman"/>
                <w:sz w:val="22"/>
              </w:rPr>
            </w:pPr>
            <w:r w:rsidRPr="0080046F">
              <w:rPr>
                <w:rFonts w:eastAsia="Times New Roman"/>
                <w:sz w:val="22"/>
              </w:rPr>
              <w:t>%</w:t>
            </w:r>
          </w:p>
        </w:tc>
        <w:tc>
          <w:tcPr>
            <w:tcW w:w="1245" w:type="dxa"/>
            <w:noWrap/>
            <w:hideMark/>
          </w:tcPr>
          <w:p w:rsidR="00E75DE5" w:rsidRPr="0080046F" w:rsidRDefault="00E75DE5" w:rsidP="00131F6C">
            <w:pPr>
              <w:jc w:val="center"/>
              <w:cnfStyle w:val="100000000000"/>
              <w:rPr>
                <w:rFonts w:eastAsia="Times New Roman"/>
                <w:sz w:val="22"/>
              </w:rPr>
            </w:pPr>
            <w:r w:rsidRPr="0080046F">
              <w:rPr>
                <w:rFonts w:eastAsia="Times New Roman"/>
                <w:sz w:val="22"/>
              </w:rPr>
              <w:t>Узорак</w:t>
            </w:r>
          </w:p>
        </w:tc>
        <w:tc>
          <w:tcPr>
            <w:tcW w:w="1786" w:type="dxa"/>
            <w:noWrap/>
            <w:hideMark/>
          </w:tcPr>
          <w:p w:rsidR="00E75DE5" w:rsidRPr="0080046F" w:rsidRDefault="00E75DE5" w:rsidP="00131F6C">
            <w:pPr>
              <w:jc w:val="center"/>
              <w:cnfStyle w:val="100000000000"/>
              <w:rPr>
                <w:rFonts w:eastAsia="Times New Roman"/>
                <w:sz w:val="22"/>
              </w:rPr>
            </w:pPr>
            <w:r w:rsidRPr="0080046F">
              <w:rPr>
                <w:rFonts w:eastAsia="Times New Roman"/>
                <w:sz w:val="22"/>
              </w:rPr>
              <w:t>Мушкарци</w:t>
            </w:r>
          </w:p>
        </w:tc>
        <w:tc>
          <w:tcPr>
            <w:tcW w:w="823" w:type="dxa"/>
            <w:noWrap/>
            <w:hideMark/>
          </w:tcPr>
          <w:p w:rsidR="00E75DE5" w:rsidRPr="0080046F" w:rsidRDefault="00E75DE5" w:rsidP="00131F6C">
            <w:pPr>
              <w:jc w:val="center"/>
              <w:cnfStyle w:val="100000000000"/>
              <w:rPr>
                <w:rFonts w:eastAsia="Times New Roman"/>
                <w:sz w:val="22"/>
              </w:rPr>
            </w:pPr>
            <w:r w:rsidRPr="0080046F">
              <w:rPr>
                <w:rFonts w:eastAsia="Times New Roman"/>
                <w:sz w:val="22"/>
              </w:rPr>
              <w:t>Жене</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 xml:space="preserve">Црвенка </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5,731</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12.0</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60</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29</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31</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 xml:space="preserve">Горња Варош </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15,700</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33.0</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165</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79</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86</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 xml:space="preserve">Млаке </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7,182</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15.1</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75</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36</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39</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 xml:space="preserve">Нова Селенча </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5,730</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12.0</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60</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29</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31</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 xml:space="preserve">Стара Селенча </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5,700</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12.0</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60</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29</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31</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 xml:space="preserve">Селенча </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5,730</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12.0</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60</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29</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31</w:t>
            </w:r>
          </w:p>
        </w:tc>
      </w:tr>
      <w:tr w:rsidR="00E75DE5" w:rsidRPr="0080046F" w:rsidTr="009B3984">
        <w:trPr>
          <w:cnfStyle w:val="000000100000"/>
          <w:trHeight w:val="272"/>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 xml:space="preserve">Венац </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1,850</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3.9</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19</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9</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10</w:t>
            </w:r>
          </w:p>
        </w:tc>
      </w:tr>
      <w:tr w:rsidR="00E75DE5" w:rsidRPr="0080046F" w:rsidTr="009B3984">
        <w:trPr>
          <w:trHeight w:val="272"/>
          <w:jc w:val="center"/>
        </w:trPr>
        <w:tc>
          <w:tcPr>
            <w:cnfStyle w:val="001000000000"/>
            <w:tcW w:w="2409" w:type="dxa"/>
            <w:noWrap/>
            <w:hideMark/>
          </w:tcPr>
          <w:p w:rsidR="00E75DE5" w:rsidRPr="0080046F" w:rsidRDefault="00E75DE5" w:rsidP="00131F6C">
            <w:pPr>
              <w:rPr>
                <w:rFonts w:eastAsia="Times New Roman"/>
                <w:color w:val="0070C0"/>
                <w:sz w:val="22"/>
              </w:rPr>
            </w:pPr>
            <w:r w:rsidRPr="0080046F">
              <w:rPr>
                <w:rFonts w:eastAsia="Times New Roman"/>
                <w:color w:val="0070C0"/>
                <w:sz w:val="22"/>
              </w:rPr>
              <w:t>Укупно</w:t>
            </w:r>
          </w:p>
        </w:tc>
        <w:tc>
          <w:tcPr>
            <w:tcW w:w="2324"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47,623</w:t>
            </w:r>
          </w:p>
        </w:tc>
        <w:tc>
          <w:tcPr>
            <w:tcW w:w="841"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100</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500</w:t>
            </w:r>
          </w:p>
        </w:tc>
        <w:tc>
          <w:tcPr>
            <w:tcW w:w="1786"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239</w:t>
            </w:r>
          </w:p>
        </w:tc>
        <w:tc>
          <w:tcPr>
            <w:tcW w:w="823"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261</w:t>
            </w:r>
          </w:p>
        </w:tc>
      </w:tr>
      <w:tr w:rsidR="00E75DE5" w:rsidRPr="0080046F" w:rsidTr="009B3984">
        <w:trPr>
          <w:cnfStyle w:val="000000100000"/>
          <w:trHeight w:val="273"/>
          <w:jc w:val="center"/>
        </w:trPr>
        <w:tc>
          <w:tcPr>
            <w:cnfStyle w:val="001000000000"/>
            <w:tcW w:w="2409" w:type="dxa"/>
            <w:shd w:val="clear" w:color="auto" w:fill="5B9BD5" w:themeFill="accent1"/>
            <w:noWrap/>
            <w:hideMark/>
          </w:tcPr>
          <w:p w:rsidR="00E75DE5" w:rsidRPr="009B3984" w:rsidRDefault="009B3984" w:rsidP="00131F6C">
            <w:pPr>
              <w:jc w:val="center"/>
              <w:rPr>
                <w:rFonts w:eastAsia="Times New Roman"/>
                <w:color w:val="FFFFFF" w:themeColor="background1"/>
                <w:sz w:val="22"/>
              </w:rPr>
            </w:pPr>
            <w:r w:rsidRPr="009B3984">
              <w:rPr>
                <w:rFonts w:eastAsia="Times New Roman"/>
                <w:color w:val="FFFFFF" w:themeColor="background1"/>
                <w:sz w:val="22"/>
              </w:rPr>
              <w:t>Насељена места</w:t>
            </w:r>
          </w:p>
        </w:tc>
        <w:tc>
          <w:tcPr>
            <w:tcW w:w="2324" w:type="dxa"/>
            <w:shd w:val="clear" w:color="auto" w:fill="5B9BD5" w:themeFill="accent1"/>
            <w:noWrap/>
            <w:hideMark/>
          </w:tcPr>
          <w:p w:rsidR="00E75DE5" w:rsidRPr="009B3984" w:rsidRDefault="009B3984" w:rsidP="009B3984">
            <w:pPr>
              <w:jc w:val="center"/>
              <w:cnfStyle w:val="000000100000"/>
              <w:rPr>
                <w:rFonts w:eastAsia="Times New Roman"/>
                <w:b/>
                <w:color w:val="FFFFFF" w:themeColor="background1"/>
                <w:sz w:val="22"/>
              </w:rPr>
            </w:pPr>
            <w:r>
              <w:rPr>
                <w:rFonts w:eastAsia="Times New Roman"/>
                <w:b/>
                <w:color w:val="FFFFFF" w:themeColor="background1"/>
                <w:sz w:val="22"/>
                <w:lang/>
              </w:rPr>
              <w:t>Број с</w:t>
            </w:r>
            <w:r w:rsidR="0080046F" w:rsidRPr="009B3984">
              <w:rPr>
                <w:rFonts w:eastAsia="Times New Roman"/>
                <w:b/>
                <w:color w:val="FFFFFF" w:themeColor="background1"/>
                <w:sz w:val="22"/>
              </w:rPr>
              <w:t>танов</w:t>
            </w:r>
            <w:r>
              <w:rPr>
                <w:rFonts w:eastAsia="Times New Roman"/>
                <w:b/>
                <w:color w:val="FFFFFF" w:themeColor="background1"/>
                <w:sz w:val="22"/>
              </w:rPr>
              <w:t>ника</w:t>
            </w:r>
          </w:p>
        </w:tc>
        <w:tc>
          <w:tcPr>
            <w:tcW w:w="841" w:type="dxa"/>
            <w:shd w:val="clear" w:color="auto" w:fill="5B9BD5" w:themeFill="accent1"/>
            <w:noWrap/>
            <w:hideMark/>
          </w:tcPr>
          <w:p w:rsidR="00E75DE5" w:rsidRPr="009B3984" w:rsidRDefault="00E75DE5" w:rsidP="00131F6C">
            <w:pPr>
              <w:jc w:val="center"/>
              <w:cnfStyle w:val="000000100000"/>
              <w:rPr>
                <w:rFonts w:eastAsia="Times New Roman"/>
                <w:b/>
                <w:color w:val="FFFFFF" w:themeColor="background1"/>
                <w:sz w:val="22"/>
              </w:rPr>
            </w:pPr>
            <w:r w:rsidRPr="009B3984">
              <w:rPr>
                <w:rFonts w:eastAsia="Times New Roman"/>
                <w:b/>
                <w:color w:val="FFFFFF" w:themeColor="background1"/>
                <w:sz w:val="22"/>
              </w:rPr>
              <w:t>%</w:t>
            </w:r>
          </w:p>
        </w:tc>
        <w:tc>
          <w:tcPr>
            <w:tcW w:w="1245" w:type="dxa"/>
            <w:shd w:val="clear" w:color="auto" w:fill="5B9BD5" w:themeFill="accent1"/>
            <w:noWrap/>
            <w:hideMark/>
          </w:tcPr>
          <w:p w:rsidR="00E75DE5" w:rsidRPr="009B3984" w:rsidRDefault="00E75DE5" w:rsidP="00131F6C">
            <w:pPr>
              <w:jc w:val="center"/>
              <w:cnfStyle w:val="000000100000"/>
              <w:rPr>
                <w:rFonts w:eastAsia="Times New Roman"/>
                <w:b/>
                <w:color w:val="FFFFFF" w:themeColor="background1"/>
                <w:sz w:val="22"/>
              </w:rPr>
            </w:pPr>
            <w:r w:rsidRPr="009B3984">
              <w:rPr>
                <w:rFonts w:eastAsia="Times New Roman"/>
                <w:b/>
                <w:color w:val="FFFFFF" w:themeColor="background1"/>
                <w:sz w:val="22"/>
              </w:rPr>
              <w:t>Узорак</w:t>
            </w:r>
          </w:p>
        </w:tc>
        <w:tc>
          <w:tcPr>
            <w:tcW w:w="1786" w:type="dxa"/>
            <w:shd w:val="clear" w:color="auto" w:fill="5B9BD5" w:themeFill="accent1"/>
            <w:noWrap/>
            <w:hideMark/>
          </w:tcPr>
          <w:p w:rsidR="00E75DE5" w:rsidRPr="009B3984" w:rsidRDefault="00E75DE5" w:rsidP="00131F6C">
            <w:pPr>
              <w:jc w:val="center"/>
              <w:cnfStyle w:val="000000100000"/>
              <w:rPr>
                <w:rFonts w:eastAsia="Times New Roman"/>
                <w:b/>
                <w:color w:val="FFFFFF" w:themeColor="background1"/>
                <w:sz w:val="22"/>
              </w:rPr>
            </w:pPr>
            <w:r w:rsidRPr="009B3984">
              <w:rPr>
                <w:rFonts w:eastAsia="Times New Roman"/>
                <w:b/>
                <w:color w:val="FFFFFF" w:themeColor="background1"/>
                <w:sz w:val="22"/>
              </w:rPr>
              <w:t>Мушкарци</w:t>
            </w:r>
          </w:p>
        </w:tc>
        <w:tc>
          <w:tcPr>
            <w:tcW w:w="823" w:type="dxa"/>
            <w:shd w:val="clear" w:color="auto" w:fill="5B9BD5" w:themeFill="accent1"/>
            <w:noWrap/>
            <w:hideMark/>
          </w:tcPr>
          <w:p w:rsidR="00E75DE5" w:rsidRPr="009B3984" w:rsidRDefault="00E75DE5" w:rsidP="00131F6C">
            <w:pPr>
              <w:jc w:val="center"/>
              <w:cnfStyle w:val="000000100000"/>
              <w:rPr>
                <w:rFonts w:eastAsia="Times New Roman"/>
                <w:b/>
                <w:color w:val="FFFFFF" w:themeColor="background1"/>
                <w:sz w:val="22"/>
              </w:rPr>
            </w:pPr>
            <w:r w:rsidRPr="009B3984">
              <w:rPr>
                <w:rFonts w:eastAsia="Times New Roman"/>
                <w:b/>
                <w:color w:val="FFFFFF" w:themeColor="background1"/>
                <w:sz w:val="22"/>
              </w:rPr>
              <w:t>Жене</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Алекса Шантић</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1,770</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4.6</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9</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4</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Бачки Брег</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1,140</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3.0</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6</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Бачки Моноштор</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3,485</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9.1</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18</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9</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9</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Бездан</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4,623</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12.1</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24</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12</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12</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Гаково</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1,810</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4.7</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10</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w:t>
            </w:r>
          </w:p>
        </w:tc>
      </w:tr>
      <w:tr w:rsidR="00E75DE5" w:rsidRPr="0080046F" w:rsidTr="009B3984">
        <w:trPr>
          <w:cnfStyle w:val="000000100000"/>
          <w:trHeight w:val="273"/>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Дорослово</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1,497</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3.9</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8</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4</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4</w:t>
            </w:r>
          </w:p>
        </w:tc>
      </w:tr>
      <w:tr w:rsidR="00E75DE5" w:rsidRPr="0080046F" w:rsidTr="009B3984">
        <w:trPr>
          <w:trHeight w:val="273"/>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Кљајићево</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5,045</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13.2</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27</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13</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14</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Колут</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1,327</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3.5</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7</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4</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Риђица</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2,013</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5.3</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11</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6</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Светозар Милетић</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2,746</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7.2</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15</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7</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8</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Станишић</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3,987</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10.4</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21</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10</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11</w:t>
            </w:r>
          </w:p>
        </w:tc>
      </w:tr>
      <w:tr w:rsidR="00E75DE5" w:rsidRPr="0080046F" w:rsidTr="009B3984">
        <w:trPr>
          <w:cnfStyle w:val="000000100000"/>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Стапар</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3,282</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8.6</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17</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8</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9</w:t>
            </w:r>
          </w:p>
        </w:tc>
      </w:tr>
      <w:tr w:rsidR="00E75DE5" w:rsidRPr="0080046F" w:rsidTr="009B3984">
        <w:trPr>
          <w:trHeight w:val="260"/>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Телечка</w:t>
            </w:r>
          </w:p>
        </w:tc>
        <w:tc>
          <w:tcPr>
            <w:tcW w:w="2324"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1,720</w:t>
            </w:r>
          </w:p>
        </w:tc>
        <w:tc>
          <w:tcPr>
            <w:tcW w:w="841"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4.5</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9</w:t>
            </w:r>
          </w:p>
        </w:tc>
        <w:tc>
          <w:tcPr>
            <w:tcW w:w="1786"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4</w:t>
            </w:r>
          </w:p>
        </w:tc>
        <w:tc>
          <w:tcPr>
            <w:tcW w:w="823" w:type="dxa"/>
            <w:noWrap/>
            <w:hideMark/>
          </w:tcPr>
          <w:p w:rsidR="00E75DE5" w:rsidRPr="0080046F" w:rsidRDefault="00E75DE5" w:rsidP="00131F6C">
            <w:pPr>
              <w:jc w:val="right"/>
              <w:cnfStyle w:val="000000000000"/>
              <w:rPr>
                <w:rFonts w:eastAsia="Times New Roman"/>
                <w:color w:val="000000"/>
                <w:sz w:val="22"/>
              </w:rPr>
            </w:pPr>
            <w:r w:rsidRPr="0080046F">
              <w:rPr>
                <w:rFonts w:eastAsia="Times New Roman"/>
                <w:color w:val="000000"/>
                <w:sz w:val="22"/>
              </w:rPr>
              <w:t>5</w:t>
            </w:r>
          </w:p>
        </w:tc>
      </w:tr>
      <w:tr w:rsidR="00E75DE5" w:rsidRPr="0080046F" w:rsidTr="009B3984">
        <w:trPr>
          <w:cnfStyle w:val="000000100000"/>
          <w:trHeight w:val="273"/>
          <w:jc w:val="center"/>
        </w:trPr>
        <w:tc>
          <w:tcPr>
            <w:cnfStyle w:val="001000000000"/>
            <w:tcW w:w="2409" w:type="dxa"/>
            <w:noWrap/>
            <w:hideMark/>
          </w:tcPr>
          <w:p w:rsidR="00E75DE5" w:rsidRPr="0080046F" w:rsidRDefault="00E75DE5" w:rsidP="00131F6C">
            <w:pPr>
              <w:rPr>
                <w:rFonts w:eastAsia="Times New Roman"/>
                <w:color w:val="000000"/>
                <w:sz w:val="22"/>
              </w:rPr>
            </w:pPr>
            <w:r w:rsidRPr="0080046F">
              <w:rPr>
                <w:rFonts w:eastAsia="Times New Roman"/>
                <w:color w:val="000000"/>
                <w:sz w:val="22"/>
              </w:rPr>
              <w:t>Чонопља</w:t>
            </w:r>
          </w:p>
        </w:tc>
        <w:tc>
          <w:tcPr>
            <w:tcW w:w="2324"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3,426</w:t>
            </w:r>
          </w:p>
        </w:tc>
        <w:tc>
          <w:tcPr>
            <w:tcW w:w="841"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8.9</w:t>
            </w:r>
          </w:p>
        </w:tc>
        <w:tc>
          <w:tcPr>
            <w:tcW w:w="1245" w:type="dxa"/>
            <w:noWrap/>
            <w:hideMark/>
          </w:tcPr>
          <w:p w:rsidR="00E75DE5" w:rsidRPr="0080046F" w:rsidRDefault="00E75DE5" w:rsidP="00131F6C">
            <w:pPr>
              <w:jc w:val="right"/>
              <w:cnfStyle w:val="000000100000"/>
              <w:rPr>
                <w:rFonts w:eastAsia="Times New Roman"/>
                <w:b/>
                <w:bCs/>
                <w:color w:val="0070C0"/>
                <w:sz w:val="22"/>
              </w:rPr>
            </w:pPr>
            <w:r w:rsidRPr="0080046F">
              <w:rPr>
                <w:rFonts w:eastAsia="Times New Roman"/>
                <w:b/>
                <w:bCs/>
                <w:color w:val="0070C0"/>
                <w:sz w:val="22"/>
              </w:rPr>
              <w:t>18</w:t>
            </w:r>
          </w:p>
        </w:tc>
        <w:tc>
          <w:tcPr>
            <w:tcW w:w="1786"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9</w:t>
            </w:r>
          </w:p>
        </w:tc>
        <w:tc>
          <w:tcPr>
            <w:tcW w:w="823" w:type="dxa"/>
            <w:noWrap/>
            <w:hideMark/>
          </w:tcPr>
          <w:p w:rsidR="00E75DE5" w:rsidRPr="0080046F" w:rsidRDefault="00E75DE5" w:rsidP="00131F6C">
            <w:pPr>
              <w:jc w:val="right"/>
              <w:cnfStyle w:val="000000100000"/>
              <w:rPr>
                <w:rFonts w:eastAsia="Times New Roman"/>
                <w:color w:val="000000"/>
                <w:sz w:val="22"/>
              </w:rPr>
            </w:pPr>
            <w:r w:rsidRPr="0080046F">
              <w:rPr>
                <w:rFonts w:eastAsia="Times New Roman"/>
                <w:color w:val="000000"/>
                <w:sz w:val="22"/>
              </w:rPr>
              <w:t>9</w:t>
            </w:r>
          </w:p>
        </w:tc>
      </w:tr>
      <w:tr w:rsidR="00E75DE5" w:rsidRPr="0080046F" w:rsidTr="009B3984">
        <w:trPr>
          <w:trHeight w:val="273"/>
          <w:jc w:val="center"/>
        </w:trPr>
        <w:tc>
          <w:tcPr>
            <w:cnfStyle w:val="001000000000"/>
            <w:tcW w:w="2409" w:type="dxa"/>
            <w:noWrap/>
            <w:hideMark/>
          </w:tcPr>
          <w:p w:rsidR="00E75DE5" w:rsidRPr="0080046F" w:rsidRDefault="00E75DE5" w:rsidP="00131F6C">
            <w:pPr>
              <w:rPr>
                <w:rFonts w:eastAsia="Times New Roman"/>
                <w:color w:val="FF0000"/>
                <w:sz w:val="22"/>
              </w:rPr>
            </w:pPr>
            <w:r w:rsidRPr="0080046F">
              <w:rPr>
                <w:rFonts w:eastAsia="Times New Roman"/>
                <w:color w:val="FF0000"/>
                <w:sz w:val="22"/>
              </w:rPr>
              <w:t> </w:t>
            </w:r>
          </w:p>
        </w:tc>
        <w:tc>
          <w:tcPr>
            <w:tcW w:w="2324"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38,282</w:t>
            </w:r>
          </w:p>
        </w:tc>
        <w:tc>
          <w:tcPr>
            <w:tcW w:w="841"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100</w:t>
            </w:r>
          </w:p>
        </w:tc>
        <w:tc>
          <w:tcPr>
            <w:tcW w:w="1245"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200</w:t>
            </w:r>
          </w:p>
        </w:tc>
        <w:tc>
          <w:tcPr>
            <w:tcW w:w="1786"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96</w:t>
            </w:r>
          </w:p>
        </w:tc>
        <w:tc>
          <w:tcPr>
            <w:tcW w:w="823" w:type="dxa"/>
            <w:noWrap/>
            <w:hideMark/>
          </w:tcPr>
          <w:p w:rsidR="00E75DE5" w:rsidRPr="0080046F" w:rsidRDefault="00E75DE5" w:rsidP="00131F6C">
            <w:pPr>
              <w:jc w:val="right"/>
              <w:cnfStyle w:val="000000000000"/>
              <w:rPr>
                <w:rFonts w:eastAsia="Times New Roman"/>
                <w:b/>
                <w:bCs/>
                <w:color w:val="0070C0"/>
                <w:sz w:val="22"/>
              </w:rPr>
            </w:pPr>
            <w:r w:rsidRPr="0080046F">
              <w:rPr>
                <w:rFonts w:eastAsia="Times New Roman"/>
                <w:b/>
                <w:bCs/>
                <w:color w:val="0070C0"/>
                <w:sz w:val="22"/>
              </w:rPr>
              <w:t>104</w:t>
            </w:r>
          </w:p>
        </w:tc>
      </w:tr>
    </w:tbl>
    <w:p w:rsidR="00E75DE5" w:rsidRDefault="00E75DE5" w:rsidP="000606DF">
      <w:pPr>
        <w:spacing w:after="0"/>
        <w:jc w:val="both"/>
        <w:rPr>
          <w:rFonts w:ascii="Times New Roman" w:hAnsi="Times New Roman" w:cs="Times New Roman"/>
          <w:sz w:val="24"/>
          <w:szCs w:val="24"/>
          <w:lang w:val="sr-Cyrl-CS"/>
        </w:rPr>
      </w:pPr>
    </w:p>
    <w:p w:rsidR="001942F3" w:rsidRDefault="00A404A6" w:rsidP="00C31239">
      <w:pPr>
        <w:spacing w:line="276" w:lineRule="auto"/>
        <w:ind w:firstLine="720"/>
        <w:jc w:val="both"/>
        <w:rPr>
          <w:rFonts w:ascii="Times New Roman" w:hAnsi="Times New Roman" w:cs="Times New Roman"/>
          <w:sz w:val="24"/>
          <w:szCs w:val="24"/>
          <w:lang w:val="sr-Cyrl-CS"/>
        </w:rPr>
      </w:pPr>
      <w:r w:rsidRPr="00A404A6">
        <w:rPr>
          <w:rFonts w:ascii="Times New Roman" w:hAnsi="Times New Roman" w:cs="Times New Roman"/>
          <w:sz w:val="24"/>
          <w:szCs w:val="24"/>
          <w:lang w:val="sr-Cyrl-CS"/>
        </w:rPr>
        <w:t>Испитаници су бирани намерним избором оних који су барем једном у последњих 6 месеци били на неком културном догађају. Теренски</w:t>
      </w:r>
      <w:r>
        <w:rPr>
          <w:rFonts w:ascii="Times New Roman" w:hAnsi="Times New Roman" w:cs="Times New Roman"/>
          <w:sz w:val="24"/>
          <w:szCs w:val="24"/>
          <w:lang w:val="sr-Cyrl-CS"/>
        </w:rPr>
        <w:t xml:space="preserve"> део истраживања обављен је током октобра и новембра 2019. го</w:t>
      </w:r>
      <w:r w:rsidR="00C31239">
        <w:rPr>
          <w:rFonts w:ascii="Times New Roman" w:hAnsi="Times New Roman" w:cs="Times New Roman"/>
          <w:sz w:val="24"/>
          <w:szCs w:val="24"/>
          <w:lang w:val="sr-Cyrl-CS"/>
        </w:rPr>
        <w:t>дине. Од укупно 700 планираних</w:t>
      </w:r>
      <w:r>
        <w:rPr>
          <w:rFonts w:ascii="Times New Roman" w:hAnsi="Times New Roman" w:cs="Times New Roman"/>
          <w:sz w:val="24"/>
          <w:szCs w:val="24"/>
          <w:lang w:val="sr-Cyrl-CS"/>
        </w:rPr>
        <w:t xml:space="preserve"> испитано је 626 грађана, те је реализација узорка 89,4%. </w:t>
      </w:r>
    </w:p>
    <w:p w:rsidR="00E92EDF" w:rsidRPr="00E92EDF" w:rsidRDefault="00E92EDF" w:rsidP="000764E2">
      <w:pPr>
        <w:spacing w:line="276" w:lineRule="auto"/>
        <w:jc w:val="both"/>
        <w:rPr>
          <w:rFonts w:ascii="Times New Roman" w:hAnsi="Times New Roman" w:cs="Times New Roman"/>
          <w:sz w:val="24"/>
          <w:szCs w:val="24"/>
          <w:u w:val="single"/>
          <w:lang w:val="sr-Cyrl-CS"/>
        </w:rPr>
      </w:pPr>
      <w:r w:rsidRPr="00E92EDF">
        <w:rPr>
          <w:rFonts w:ascii="Times New Roman" w:hAnsi="Times New Roman" w:cs="Times New Roman"/>
          <w:sz w:val="24"/>
          <w:szCs w:val="24"/>
          <w:u w:val="single"/>
          <w:lang w:val="sr-Cyrl-CS"/>
        </w:rPr>
        <w:t>Запослени у установама културе града Сомбора</w:t>
      </w:r>
    </w:p>
    <w:p w:rsidR="00B057C5" w:rsidRDefault="00E92EDF" w:rsidP="00C31239">
      <w:pPr>
        <w:spacing w:after="0" w:line="276" w:lineRule="auto"/>
        <w:ind w:firstLine="720"/>
        <w:jc w:val="both"/>
        <w:rPr>
          <w:rFonts w:ascii="Times New Roman" w:hAnsi="Times New Roman" w:cs="Times New Roman"/>
          <w:sz w:val="24"/>
          <w:szCs w:val="24"/>
          <w:lang w:val="sr-Cyrl-CS"/>
        </w:rPr>
      </w:pPr>
      <w:r w:rsidRPr="00E92EDF">
        <w:rPr>
          <w:rFonts w:ascii="Times New Roman" w:hAnsi="Times New Roman" w:cs="Times New Roman"/>
          <w:sz w:val="24"/>
          <w:szCs w:val="24"/>
          <w:lang w:val="sr-Cyrl-CS"/>
        </w:rPr>
        <w:t>Упитник за запослене у области културе састојао се од 31 питања и био је подељен на три дела:</w:t>
      </w:r>
    </w:p>
    <w:p w:rsidR="00B057C5" w:rsidRDefault="00E92EDF" w:rsidP="000764E2">
      <w:pPr>
        <w:pStyle w:val="ListParagraph"/>
        <w:numPr>
          <w:ilvl w:val="0"/>
          <w:numId w:val="4"/>
        </w:numPr>
        <w:spacing w:after="0" w:line="276" w:lineRule="auto"/>
        <w:jc w:val="both"/>
        <w:rPr>
          <w:rFonts w:ascii="Times New Roman" w:hAnsi="Times New Roman" w:cs="Times New Roman"/>
          <w:sz w:val="24"/>
          <w:szCs w:val="24"/>
          <w:lang w:val="sr-Cyrl-CS"/>
        </w:rPr>
      </w:pPr>
      <w:r w:rsidRPr="00B057C5">
        <w:rPr>
          <w:rFonts w:ascii="Times New Roman" w:hAnsi="Times New Roman" w:cs="Times New Roman"/>
          <w:sz w:val="24"/>
          <w:szCs w:val="24"/>
          <w:lang w:val="sr-Cyrl-CS"/>
        </w:rPr>
        <w:t xml:space="preserve">услови рада </w:t>
      </w:r>
      <w:r w:rsidR="00B057C5" w:rsidRPr="00B057C5">
        <w:rPr>
          <w:rFonts w:ascii="Times New Roman" w:hAnsi="Times New Roman" w:cs="Times New Roman"/>
          <w:sz w:val="24"/>
          <w:szCs w:val="24"/>
          <w:lang w:val="sr-Cyrl-CS"/>
        </w:rPr>
        <w:t>у установи у којој су запослени</w:t>
      </w:r>
    </w:p>
    <w:p w:rsidR="00B057C5" w:rsidRDefault="00E92EDF" w:rsidP="000764E2">
      <w:pPr>
        <w:pStyle w:val="ListParagraph"/>
        <w:numPr>
          <w:ilvl w:val="0"/>
          <w:numId w:val="4"/>
        </w:numPr>
        <w:spacing w:after="0" w:line="276" w:lineRule="auto"/>
        <w:jc w:val="both"/>
        <w:rPr>
          <w:rFonts w:ascii="Times New Roman" w:hAnsi="Times New Roman" w:cs="Times New Roman"/>
          <w:sz w:val="24"/>
          <w:szCs w:val="24"/>
          <w:lang w:val="sr-Cyrl-CS"/>
        </w:rPr>
      </w:pPr>
      <w:r w:rsidRPr="00B057C5">
        <w:rPr>
          <w:rFonts w:ascii="Times New Roman" w:hAnsi="Times New Roman" w:cs="Times New Roman"/>
          <w:sz w:val="24"/>
          <w:szCs w:val="24"/>
          <w:lang w:val="sr-Cyrl-CS"/>
        </w:rPr>
        <w:lastRenderedPageBreak/>
        <w:t>оц</w:t>
      </w:r>
      <w:r w:rsidR="00B057C5" w:rsidRPr="00B057C5">
        <w:rPr>
          <w:rFonts w:ascii="Times New Roman" w:hAnsi="Times New Roman" w:cs="Times New Roman"/>
          <w:sz w:val="24"/>
          <w:szCs w:val="24"/>
          <w:lang w:val="sr-Cyrl-CS"/>
        </w:rPr>
        <w:t>ена стања установе у којој раде</w:t>
      </w:r>
    </w:p>
    <w:p w:rsidR="00E92EDF" w:rsidRPr="00B057C5" w:rsidRDefault="00E92EDF" w:rsidP="000764E2">
      <w:pPr>
        <w:pStyle w:val="ListParagraph"/>
        <w:numPr>
          <w:ilvl w:val="0"/>
          <w:numId w:val="4"/>
        </w:numPr>
        <w:spacing w:line="276" w:lineRule="auto"/>
        <w:jc w:val="both"/>
        <w:rPr>
          <w:rFonts w:ascii="Times New Roman" w:hAnsi="Times New Roman" w:cs="Times New Roman"/>
          <w:sz w:val="24"/>
          <w:szCs w:val="24"/>
          <w:lang w:val="sr-Cyrl-CS"/>
        </w:rPr>
      </w:pPr>
      <w:r w:rsidRPr="00B057C5">
        <w:rPr>
          <w:rFonts w:ascii="Times New Roman" w:hAnsi="Times New Roman" w:cs="Times New Roman"/>
          <w:sz w:val="24"/>
          <w:szCs w:val="24"/>
          <w:lang w:val="sr-Cyrl-CS"/>
        </w:rPr>
        <w:t>оцена културне понуде града Сомбора</w:t>
      </w:r>
    </w:p>
    <w:p w:rsidR="001942F3" w:rsidRDefault="00E92EDF" w:rsidP="00C31239">
      <w:pPr>
        <w:spacing w:line="276" w:lineRule="auto"/>
        <w:ind w:firstLine="720"/>
        <w:jc w:val="both"/>
        <w:rPr>
          <w:rFonts w:ascii="Times New Roman" w:hAnsi="Times New Roman" w:cs="Times New Roman"/>
          <w:sz w:val="24"/>
          <w:szCs w:val="24"/>
          <w:lang w:val="sr-Cyrl-CS"/>
        </w:rPr>
      </w:pPr>
      <w:r w:rsidRPr="00E92EDF">
        <w:rPr>
          <w:rFonts w:ascii="Times New Roman" w:hAnsi="Times New Roman" w:cs="Times New Roman"/>
          <w:sz w:val="24"/>
          <w:szCs w:val="24"/>
          <w:lang w:val="sr-Cyrl-CS"/>
        </w:rPr>
        <w:t>На упитник је одговорило 43 запослених из свих установа културе. Према договору, директори установа нису одговарали на упитник.</w:t>
      </w:r>
    </w:p>
    <w:p w:rsidR="005A6543" w:rsidRPr="00594010" w:rsidRDefault="005A6543" w:rsidP="00B03CD2">
      <w:pPr>
        <w:pStyle w:val="Heading1"/>
        <w:numPr>
          <w:ilvl w:val="0"/>
          <w:numId w:val="13"/>
        </w:numPr>
        <w:rPr>
          <w:b/>
          <w:lang w:val="sr-Cyrl-CS"/>
        </w:rPr>
      </w:pPr>
      <w:bookmarkStart w:id="3" w:name="_Toc36072279"/>
      <w:r w:rsidRPr="00594010">
        <w:rPr>
          <w:b/>
          <w:lang w:val="sr-Cyrl-CS"/>
        </w:rPr>
        <w:t>Правни и стратешки оквир</w:t>
      </w:r>
      <w:bookmarkEnd w:id="3"/>
    </w:p>
    <w:p w:rsidR="00594010" w:rsidRPr="00594010" w:rsidRDefault="00594010" w:rsidP="00594010">
      <w:pPr>
        <w:spacing w:after="0"/>
        <w:rPr>
          <w:lang w:val="sr-Cyrl-CS"/>
        </w:rPr>
      </w:pPr>
    </w:p>
    <w:p w:rsidR="005A6543" w:rsidRPr="005A6543" w:rsidRDefault="005A6543" w:rsidP="000764E2">
      <w:p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 xml:space="preserve">Приликом израде овог стратешког документа водило се рачуна о поштовању свих међународних, националних и градских докумената који омогућавају спровођење Стратегије и унапређују културни развој Града.  </w:t>
      </w:r>
    </w:p>
    <w:p w:rsidR="005A6543" w:rsidRDefault="005A6543" w:rsidP="000764E2">
      <w:p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u w:val="single"/>
          <w:lang w:val="sr-Cyrl-CS"/>
        </w:rPr>
        <w:t>Међународни документи:</w:t>
      </w:r>
    </w:p>
    <w:p w:rsidR="005A6543" w:rsidRDefault="005A6543" w:rsidP="00B03CD2">
      <w:pPr>
        <w:pStyle w:val="ListParagraph"/>
        <w:numPr>
          <w:ilvl w:val="0"/>
          <w:numId w:val="5"/>
        </w:num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Европска конвенција о култури (Париз, 1954.) (Службени лист СФР</w:t>
      </w:r>
      <w:r>
        <w:rPr>
          <w:rFonts w:ascii="Times New Roman" w:hAnsi="Times New Roman" w:cs="Times New Roman"/>
          <w:sz w:val="24"/>
          <w:szCs w:val="24"/>
          <w:lang w:val="sr-Cyrl-CS"/>
        </w:rPr>
        <w:t>Ј – Међународни уговори 4/87)</w:t>
      </w:r>
    </w:p>
    <w:p w:rsidR="005A6543" w:rsidRDefault="005A6543" w:rsidP="00B03CD2">
      <w:pPr>
        <w:pStyle w:val="ListParagraph"/>
        <w:numPr>
          <w:ilvl w:val="0"/>
          <w:numId w:val="5"/>
        </w:num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Конвенција о заштити европског архитектонског блага (Гранада, 1985) (Службени лист СФР</w:t>
      </w:r>
      <w:r>
        <w:rPr>
          <w:rFonts w:ascii="Times New Roman" w:hAnsi="Times New Roman" w:cs="Times New Roman"/>
          <w:sz w:val="24"/>
          <w:szCs w:val="24"/>
          <w:lang w:val="sr-Cyrl-CS"/>
        </w:rPr>
        <w:t>Ј – Међународни уговори 4/91)</w:t>
      </w:r>
    </w:p>
    <w:p w:rsidR="005A6543" w:rsidRDefault="005A6543" w:rsidP="00B03CD2">
      <w:pPr>
        <w:pStyle w:val="ListParagraph"/>
        <w:numPr>
          <w:ilvl w:val="0"/>
          <w:numId w:val="5"/>
        </w:num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Европска конвенција о заштити архе</w:t>
      </w:r>
      <w:r>
        <w:rPr>
          <w:rFonts w:ascii="Times New Roman" w:hAnsi="Times New Roman" w:cs="Times New Roman"/>
          <w:sz w:val="24"/>
          <w:szCs w:val="24"/>
          <w:lang w:val="sr-Cyrl-CS"/>
        </w:rPr>
        <w:t xml:space="preserve">олошке баштине (Лондон, 1969) </w:t>
      </w:r>
      <w:r w:rsidRPr="005A6543">
        <w:rPr>
          <w:rFonts w:ascii="Times New Roman" w:hAnsi="Times New Roman" w:cs="Times New Roman"/>
          <w:sz w:val="24"/>
          <w:szCs w:val="24"/>
          <w:lang w:val="sr-Cyrl-CS"/>
        </w:rPr>
        <w:t>(Службени лист СФР</w:t>
      </w:r>
      <w:r>
        <w:rPr>
          <w:rFonts w:ascii="Times New Roman" w:hAnsi="Times New Roman" w:cs="Times New Roman"/>
          <w:sz w:val="24"/>
          <w:szCs w:val="24"/>
          <w:lang w:val="sr-Cyrl-CS"/>
        </w:rPr>
        <w:t>Ј – Међународни уговори 9/90)</w:t>
      </w:r>
    </w:p>
    <w:p w:rsidR="005A6543" w:rsidRDefault="005A6543" w:rsidP="00B03CD2">
      <w:pPr>
        <w:pStyle w:val="ListParagraph"/>
        <w:numPr>
          <w:ilvl w:val="0"/>
          <w:numId w:val="5"/>
        </w:num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Оквирна конвенција Савета Европе о вредности културног насл</w:t>
      </w:r>
      <w:r>
        <w:rPr>
          <w:rFonts w:ascii="Times New Roman" w:hAnsi="Times New Roman" w:cs="Times New Roman"/>
          <w:sz w:val="24"/>
          <w:szCs w:val="24"/>
          <w:lang w:val="sr-Cyrl-CS"/>
        </w:rPr>
        <w:t xml:space="preserve">еђа за друштво (Фаро, 2005.) </w:t>
      </w:r>
      <w:r w:rsidRPr="005A6543">
        <w:rPr>
          <w:rFonts w:ascii="Times New Roman" w:hAnsi="Times New Roman" w:cs="Times New Roman"/>
          <w:sz w:val="24"/>
          <w:szCs w:val="24"/>
          <w:lang w:val="sr-Cyrl-CS"/>
        </w:rPr>
        <w:t>(Службени гласник РС – Међународни уговори 1/2010</w:t>
      </w:r>
      <w:r>
        <w:rPr>
          <w:rFonts w:ascii="Times New Roman" w:hAnsi="Times New Roman" w:cs="Times New Roman"/>
          <w:sz w:val="24"/>
          <w:szCs w:val="24"/>
          <w:lang w:val="sr-Cyrl-CS"/>
        </w:rPr>
        <w:t>)</w:t>
      </w:r>
    </w:p>
    <w:p w:rsidR="005A6543" w:rsidRDefault="005A6543" w:rsidP="00B03CD2">
      <w:pPr>
        <w:pStyle w:val="ListParagraph"/>
        <w:numPr>
          <w:ilvl w:val="0"/>
          <w:numId w:val="5"/>
        </w:num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 xml:space="preserve">Конвенција о очувању нематеријалног културног наслеђа (Париз, 2003.) (Службени гласник РС – Међународни уговори 1/2010) </w:t>
      </w:r>
    </w:p>
    <w:p w:rsidR="005A6543" w:rsidRDefault="005A6543" w:rsidP="00594010">
      <w:pPr>
        <w:spacing w:line="276" w:lineRule="auto"/>
        <w:jc w:val="both"/>
        <w:rPr>
          <w:rFonts w:ascii="Times New Roman" w:hAnsi="Times New Roman" w:cs="Times New Roman"/>
          <w:sz w:val="24"/>
          <w:szCs w:val="24"/>
          <w:lang w:val="sr-Cyrl-CS"/>
        </w:rPr>
      </w:pPr>
      <w:r w:rsidRPr="005A6543">
        <w:rPr>
          <w:rFonts w:ascii="Times New Roman" w:hAnsi="Times New Roman" w:cs="Times New Roman"/>
          <w:sz w:val="24"/>
          <w:szCs w:val="24"/>
          <w:u w:val="single"/>
          <w:lang w:val="sr-Cyrl-CS"/>
        </w:rPr>
        <w:t>Национални документи:</w:t>
      </w:r>
    </w:p>
    <w:p w:rsidR="005A6543"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Закон о култури (Службени гласник РС –72/2009</w:t>
      </w:r>
      <w:r>
        <w:rPr>
          <w:rFonts w:ascii="Times New Roman" w:hAnsi="Times New Roman" w:cs="Times New Roman"/>
          <w:sz w:val="24"/>
          <w:szCs w:val="24"/>
          <w:lang w:val="sr-Cyrl-CS"/>
        </w:rPr>
        <w:t xml:space="preserve">, </w:t>
      </w:r>
      <w:r w:rsidRPr="005A6543">
        <w:rPr>
          <w:rFonts w:ascii="Times New Roman" w:hAnsi="Times New Roman" w:cs="Times New Roman"/>
          <w:sz w:val="24"/>
          <w:szCs w:val="24"/>
          <w:lang w:val="sr-Cyrl-CS"/>
        </w:rPr>
        <w:t>13/2016 и 30/2016 – исп</w:t>
      </w:r>
      <w:r w:rsidR="00500B84">
        <w:rPr>
          <w:rFonts w:ascii="Times New Roman" w:hAnsi="Times New Roman" w:cs="Times New Roman"/>
          <w:sz w:val="24"/>
          <w:szCs w:val="24"/>
          <w:lang w:val="sr-Cyrl-CS"/>
        </w:rPr>
        <w:t xml:space="preserve"> и 6/</w:t>
      </w:r>
      <w:r w:rsidR="00735A65">
        <w:rPr>
          <w:rFonts w:ascii="Times New Roman" w:hAnsi="Times New Roman" w:cs="Times New Roman"/>
          <w:sz w:val="24"/>
          <w:szCs w:val="24"/>
          <w:lang w:val="sr-Cyrl-CS"/>
        </w:rPr>
        <w:t>2020</w:t>
      </w:r>
      <w:r>
        <w:rPr>
          <w:rFonts w:ascii="Times New Roman" w:hAnsi="Times New Roman" w:cs="Times New Roman"/>
          <w:sz w:val="24"/>
          <w:szCs w:val="24"/>
          <w:lang w:val="sr-Cyrl-CS"/>
        </w:rPr>
        <w:t>)</w:t>
      </w:r>
    </w:p>
    <w:p w:rsidR="005A6543"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Закон о културним добрима (Службени гласник РС –71/94, 52/11-др. закон, 52/1</w:t>
      </w:r>
      <w:r>
        <w:rPr>
          <w:rFonts w:ascii="Times New Roman" w:hAnsi="Times New Roman" w:cs="Times New Roman"/>
          <w:sz w:val="24"/>
          <w:szCs w:val="24"/>
          <w:lang w:val="sr-Cyrl-CS"/>
        </w:rPr>
        <w:t>1-др. закон, 99/11-др. закон)</w:t>
      </w:r>
    </w:p>
    <w:p w:rsidR="00374CF2" w:rsidRDefault="00374CF2"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374CF2">
        <w:rPr>
          <w:rFonts w:ascii="Times New Roman" w:hAnsi="Times New Roman" w:cs="Times New Roman"/>
          <w:sz w:val="24"/>
          <w:szCs w:val="24"/>
          <w:lang w:val="sr-Cyrl-CS"/>
        </w:rPr>
        <w:t>Закон</w:t>
      </w:r>
      <w:r w:rsidR="00402C60">
        <w:rPr>
          <w:rFonts w:ascii="Times New Roman" w:hAnsi="Times New Roman" w:cs="Times New Roman"/>
          <w:sz w:val="24"/>
          <w:szCs w:val="24"/>
          <w:lang w:val="sr-Cyrl-CS"/>
        </w:rPr>
        <w:t xml:space="preserve"> </w:t>
      </w:r>
      <w:r w:rsidRPr="00374CF2">
        <w:rPr>
          <w:rFonts w:ascii="Times New Roman" w:hAnsi="Times New Roman" w:cs="Times New Roman"/>
          <w:sz w:val="24"/>
          <w:szCs w:val="24"/>
          <w:lang w:val="sr-Cyrl-CS"/>
        </w:rPr>
        <w:t>о планском систему Републике Србије</w:t>
      </w:r>
      <w:r>
        <w:rPr>
          <w:rFonts w:ascii="Times New Roman" w:hAnsi="Times New Roman" w:cs="Times New Roman"/>
          <w:sz w:val="24"/>
          <w:szCs w:val="24"/>
          <w:lang w:val="sr-Cyrl-CS"/>
        </w:rPr>
        <w:t xml:space="preserve"> (Службени гласник РС – бр. 30/2018)</w:t>
      </w:r>
    </w:p>
    <w:p w:rsidR="006F33F9" w:rsidRPr="00374CF2" w:rsidRDefault="006F33F9"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sz w:val="24"/>
          <w:szCs w:val="24"/>
          <w:lang w:val="sr-Cyrl-CS"/>
        </w:rPr>
        <w:t>Закон</w:t>
      </w:r>
      <w:r w:rsidRPr="006F33F9">
        <w:rPr>
          <w:rFonts w:ascii="Times New Roman" w:hAnsi="Times New Roman" w:cs="Times New Roman"/>
          <w:sz w:val="24"/>
          <w:szCs w:val="24"/>
          <w:lang w:val="sr-Cyrl-CS"/>
        </w:rPr>
        <w:t xml:space="preserve"> о локалној самоуправи (Службени гласник РС, бр. 129/2007, 83/2014 - др. закон, 101/2016 - др. закон и 47/2018)</w:t>
      </w:r>
    </w:p>
    <w:p w:rsidR="005A6543" w:rsidRPr="002223D2"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2223D2">
        <w:rPr>
          <w:rFonts w:ascii="Times New Roman" w:hAnsi="Times New Roman" w:cs="Times New Roman"/>
          <w:sz w:val="24"/>
          <w:szCs w:val="24"/>
          <w:lang w:val="sr-Cyrl-CS"/>
        </w:rPr>
        <w:t>Закон о библиотечко – информационој делатности (Службени гласник РС –52/2011)</w:t>
      </w:r>
    </w:p>
    <w:p w:rsidR="00B4616D"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2223D2">
        <w:rPr>
          <w:rFonts w:ascii="Times New Roman" w:hAnsi="Times New Roman" w:cs="Times New Roman"/>
          <w:sz w:val="24"/>
          <w:szCs w:val="24"/>
          <w:lang w:val="sr-Cyrl-CS"/>
        </w:rPr>
        <w:t>Закон о самосталном обављању уметничке или друге делатности у области културе (Службени гласник РС –39/93 и 42/98)</w:t>
      </w:r>
    </w:p>
    <w:p w:rsidR="007151D8" w:rsidRDefault="00B4616D"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З</w:t>
      </w:r>
      <w:r w:rsidRPr="00B4616D">
        <w:rPr>
          <w:rFonts w:ascii="Times New Roman" w:hAnsi="Times New Roman" w:cs="Times New Roman"/>
          <w:noProof/>
          <w:sz w:val="24"/>
          <w:szCs w:val="24"/>
          <w:lang w:val="sr-Cyrl-CS"/>
        </w:rPr>
        <w:t>акон о доприносима за обавезно социјално осигурањ</w:t>
      </w:r>
      <w:r w:rsidRPr="00B4616D">
        <w:rPr>
          <w:rFonts w:ascii="Times New Roman" w:hAnsi="Times New Roman" w:cs="Times New Roman"/>
          <w:sz w:val="24"/>
          <w:szCs w:val="24"/>
          <w:lang w:val="sr-Cyrl-CS"/>
        </w:rPr>
        <w:t>е</w:t>
      </w:r>
      <w:r>
        <w:rPr>
          <w:rFonts w:ascii="Times New Roman" w:hAnsi="Times New Roman" w:cs="Times New Roman"/>
          <w:noProof/>
          <w:sz w:val="24"/>
          <w:szCs w:val="24"/>
          <w:lang w:val="sr-Cyrl-CS"/>
        </w:rPr>
        <w:t>(Сл</w:t>
      </w:r>
      <w:r>
        <w:rPr>
          <w:rFonts w:ascii="Times New Roman" w:hAnsi="Times New Roman" w:cs="Times New Roman"/>
          <w:noProof/>
          <w:sz w:val="24"/>
          <w:szCs w:val="24"/>
        </w:rPr>
        <w:t xml:space="preserve">ужбени </w:t>
      </w:r>
      <w:r>
        <w:rPr>
          <w:rFonts w:ascii="Times New Roman" w:hAnsi="Times New Roman" w:cs="Times New Roman"/>
          <w:noProof/>
          <w:sz w:val="24"/>
          <w:szCs w:val="24"/>
          <w:lang w:val="sr-Cyrl-CS"/>
        </w:rPr>
        <w:t>гласникРС - бр</w:t>
      </w:r>
      <w:r w:rsidRPr="00B4616D">
        <w:rPr>
          <w:rFonts w:ascii="Times New Roman" w:hAnsi="Times New Roman" w:cs="Times New Roman"/>
          <w:noProof/>
          <w:sz w:val="24"/>
          <w:szCs w:val="24"/>
          <w:lang w:val="sr-Cyrl-CS"/>
        </w:rPr>
        <w:t xml:space="preserve">. 84/2004, 61/2005, 62/2006, 5/2009, 52/2011, 101/2011, 7/2012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 xml:space="preserve">., 8/2013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 xml:space="preserve">., 47/2013, 108/2013, 6/2014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 xml:space="preserve">., 57/2014, 68/2014 - </w:t>
      </w:r>
      <w:r>
        <w:rPr>
          <w:rFonts w:ascii="Times New Roman" w:hAnsi="Times New Roman" w:cs="Times New Roman"/>
          <w:noProof/>
          <w:sz w:val="24"/>
          <w:szCs w:val="24"/>
          <w:lang w:val="sr-Cyrl-CS"/>
        </w:rPr>
        <w:t>др</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закон</w:t>
      </w:r>
      <w:r w:rsidRPr="00B4616D">
        <w:rPr>
          <w:rFonts w:ascii="Times New Roman" w:hAnsi="Times New Roman" w:cs="Times New Roman"/>
          <w:noProof/>
          <w:sz w:val="24"/>
          <w:szCs w:val="24"/>
          <w:lang w:val="sr-Cyrl-CS"/>
        </w:rPr>
        <w:t xml:space="preserve">, 5/2015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 xml:space="preserve">., 112/2015, 5/2016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 xml:space="preserve">., 7/2017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 xml:space="preserve">., 113/2017, 7/2018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 xml:space="preserve">., 95/2018 </w:t>
      </w:r>
      <w:r>
        <w:rPr>
          <w:rFonts w:ascii="Times New Roman" w:hAnsi="Times New Roman" w:cs="Times New Roman"/>
          <w:noProof/>
          <w:sz w:val="24"/>
          <w:szCs w:val="24"/>
          <w:lang w:val="sr-Cyrl-CS"/>
        </w:rPr>
        <w:t>и</w:t>
      </w:r>
      <w:r w:rsidRPr="00B4616D">
        <w:rPr>
          <w:rFonts w:ascii="Times New Roman" w:hAnsi="Times New Roman" w:cs="Times New Roman"/>
          <w:noProof/>
          <w:sz w:val="24"/>
          <w:szCs w:val="24"/>
          <w:lang w:val="sr-Cyrl-CS"/>
        </w:rPr>
        <w:t xml:space="preserve"> 4/2019 </w:t>
      </w:r>
      <w:r w:rsidR="00427E29">
        <w:rPr>
          <w:rFonts w:ascii="Times New Roman" w:hAnsi="Times New Roman" w:cs="Times New Roman"/>
          <w:noProof/>
          <w:sz w:val="24"/>
          <w:szCs w:val="24"/>
          <w:lang w:val="sr-Cyrl-CS"/>
        </w:rPr>
        <w:t>–</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усклађени</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дин</w:t>
      </w:r>
      <w:r w:rsidRPr="00B4616D">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изн</w:t>
      </w:r>
      <w:r w:rsidRPr="00B4616D">
        <w:rPr>
          <w:rFonts w:ascii="Times New Roman" w:hAnsi="Times New Roman" w:cs="Times New Roman"/>
          <w:noProof/>
          <w:sz w:val="24"/>
          <w:szCs w:val="24"/>
          <w:lang w:val="sr-Cyrl-CS"/>
        </w:rPr>
        <w:t>.)</w:t>
      </w:r>
    </w:p>
    <w:p w:rsidR="007151D8" w:rsidRPr="007151D8"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7151D8">
        <w:rPr>
          <w:rFonts w:ascii="Times New Roman" w:hAnsi="Times New Roman" w:cs="Times New Roman"/>
          <w:sz w:val="24"/>
          <w:szCs w:val="24"/>
          <w:lang w:val="sr-Cyrl-CS"/>
        </w:rPr>
        <w:lastRenderedPageBreak/>
        <w:t>Закон о заштити права и слобода националних мањина</w:t>
      </w:r>
      <w:r w:rsidR="007151D8" w:rsidRPr="007151D8">
        <w:rPr>
          <w:rFonts w:ascii="Times New Roman" w:hAnsi="Times New Roman" w:cs="Times New Roman"/>
          <w:noProof/>
          <w:sz w:val="24"/>
          <w:szCs w:val="24"/>
          <w:lang w:val="sr-Cyrl-CS"/>
        </w:rPr>
        <w:t>(Службени лист СРЈ</w:t>
      </w:r>
      <w:r w:rsidR="007151D8">
        <w:rPr>
          <w:rFonts w:ascii="Times New Roman" w:hAnsi="Times New Roman" w:cs="Times New Roman"/>
          <w:noProof/>
          <w:sz w:val="24"/>
          <w:szCs w:val="24"/>
          <w:lang w:val="sr-Cyrl-CS"/>
        </w:rPr>
        <w:t xml:space="preserve"> - </w:t>
      </w:r>
      <w:r w:rsidR="007151D8" w:rsidRPr="007151D8">
        <w:rPr>
          <w:rFonts w:ascii="Times New Roman" w:hAnsi="Times New Roman" w:cs="Times New Roman"/>
          <w:noProof/>
          <w:sz w:val="24"/>
          <w:szCs w:val="24"/>
          <w:lang w:val="sr-Cyrl-CS"/>
        </w:rPr>
        <w:t>бр. 11/2002, Службени лист СЦГ</w:t>
      </w:r>
      <w:r w:rsidR="007151D8">
        <w:rPr>
          <w:rFonts w:ascii="Times New Roman" w:hAnsi="Times New Roman" w:cs="Times New Roman"/>
          <w:noProof/>
          <w:sz w:val="24"/>
          <w:szCs w:val="24"/>
          <w:lang w:val="sr-Cyrl-CS"/>
        </w:rPr>
        <w:t xml:space="preserve"> - </w:t>
      </w:r>
      <w:r w:rsidR="007151D8" w:rsidRPr="007151D8">
        <w:rPr>
          <w:rFonts w:ascii="Times New Roman" w:hAnsi="Times New Roman" w:cs="Times New Roman"/>
          <w:noProof/>
          <w:sz w:val="24"/>
          <w:szCs w:val="24"/>
          <w:lang w:val="sr-Cyrl-CS"/>
        </w:rPr>
        <w:t>бр. 1/2003 - Уставна повеља и Службени гласник РС</w:t>
      </w:r>
      <w:r w:rsidR="007151D8">
        <w:rPr>
          <w:rFonts w:ascii="Times New Roman" w:hAnsi="Times New Roman" w:cs="Times New Roman"/>
          <w:noProof/>
          <w:sz w:val="24"/>
          <w:szCs w:val="24"/>
          <w:lang w:val="sr-Cyrl-CS"/>
        </w:rPr>
        <w:t xml:space="preserve"> - </w:t>
      </w:r>
      <w:r w:rsidR="007151D8" w:rsidRPr="007151D8">
        <w:rPr>
          <w:rFonts w:ascii="Times New Roman" w:hAnsi="Times New Roman" w:cs="Times New Roman"/>
          <w:noProof/>
          <w:sz w:val="24"/>
          <w:szCs w:val="24"/>
          <w:lang w:val="sr-Cyrl-CS"/>
        </w:rPr>
        <w:t>бр. 72/2009 - др. закон, 97/2013 - одлука УС и 47/2018)</w:t>
      </w:r>
    </w:p>
    <w:p w:rsidR="007151D8" w:rsidRPr="007151D8"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7151D8">
        <w:rPr>
          <w:rFonts w:ascii="Times New Roman" w:hAnsi="Times New Roman" w:cs="Times New Roman"/>
          <w:sz w:val="24"/>
          <w:szCs w:val="24"/>
          <w:lang w:val="sr-Cyrl-CS"/>
        </w:rPr>
        <w:t xml:space="preserve">Закон о основама система образовања и васпитања </w:t>
      </w:r>
      <w:r w:rsidR="007151D8" w:rsidRPr="007151D8">
        <w:rPr>
          <w:rFonts w:ascii="Times New Roman" w:hAnsi="Times New Roman" w:cs="Times New Roman"/>
          <w:noProof/>
          <w:sz w:val="24"/>
          <w:szCs w:val="24"/>
          <w:lang w:val="sr-Cyrl-CS"/>
        </w:rPr>
        <w:t>(Службени гласник РС</w:t>
      </w:r>
      <w:r w:rsidR="007151D8">
        <w:rPr>
          <w:rFonts w:ascii="Times New Roman" w:hAnsi="Times New Roman" w:cs="Times New Roman"/>
          <w:noProof/>
          <w:sz w:val="24"/>
          <w:szCs w:val="24"/>
          <w:lang w:val="sr-Cyrl-CS"/>
        </w:rPr>
        <w:t xml:space="preserve"> - </w:t>
      </w:r>
      <w:r w:rsidR="007151D8" w:rsidRPr="007151D8">
        <w:rPr>
          <w:rFonts w:ascii="Times New Roman" w:hAnsi="Times New Roman" w:cs="Times New Roman"/>
          <w:noProof/>
          <w:sz w:val="24"/>
          <w:szCs w:val="24"/>
          <w:lang w:val="sr-Cyrl-CS"/>
        </w:rPr>
        <w:t>бр. 88/2017, 27/2018 - др. закон, 10/2019 и 27/2018 - др. закон)</w:t>
      </w:r>
    </w:p>
    <w:p w:rsidR="005A6543"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7151D8">
        <w:rPr>
          <w:rFonts w:ascii="Times New Roman" w:hAnsi="Times New Roman" w:cs="Times New Roman"/>
          <w:sz w:val="24"/>
          <w:szCs w:val="24"/>
          <w:lang w:val="sr-Cyrl-CS"/>
        </w:rPr>
        <w:t>Закон о забрани дискриминације (Службени гласник РС –22/2009)</w:t>
      </w:r>
    </w:p>
    <w:p w:rsidR="007151D8" w:rsidRDefault="00311EE0"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Закон</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удружењима(Службени гласникРС - бр</w:t>
      </w:r>
      <w:r w:rsidR="007151D8" w:rsidRPr="00311EE0">
        <w:rPr>
          <w:rFonts w:ascii="Times New Roman" w:hAnsi="Times New Roman" w:cs="Times New Roman"/>
          <w:noProof/>
          <w:sz w:val="24"/>
          <w:szCs w:val="24"/>
          <w:lang w:val="sr-Cyrl-CS"/>
        </w:rPr>
        <w:t xml:space="preserve">. 51/2009, 99/2011 - </w:t>
      </w:r>
      <w:r>
        <w:rPr>
          <w:rFonts w:ascii="Times New Roman" w:hAnsi="Times New Roman" w:cs="Times New Roman"/>
          <w:noProof/>
          <w:sz w:val="24"/>
          <w:szCs w:val="24"/>
          <w:lang w:val="sr-Cyrl-CS"/>
        </w:rPr>
        <w:t>др</w:t>
      </w:r>
      <w:r w:rsidR="007151D8" w:rsidRPr="00311EE0">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законии</w:t>
      </w:r>
      <w:r w:rsidR="007151D8" w:rsidRPr="00311EE0">
        <w:rPr>
          <w:rFonts w:ascii="Times New Roman" w:hAnsi="Times New Roman" w:cs="Times New Roman"/>
          <w:noProof/>
          <w:sz w:val="24"/>
          <w:szCs w:val="24"/>
          <w:lang w:val="sr-Cyrl-CS"/>
        </w:rPr>
        <w:t xml:space="preserve"> 44/2018 - </w:t>
      </w:r>
      <w:r>
        <w:rPr>
          <w:rFonts w:ascii="Times New Roman" w:hAnsi="Times New Roman" w:cs="Times New Roman"/>
          <w:noProof/>
          <w:sz w:val="24"/>
          <w:szCs w:val="24"/>
          <w:lang w:val="sr-Cyrl-CS"/>
        </w:rPr>
        <w:t>др</w:t>
      </w:r>
      <w:r w:rsidR="007151D8" w:rsidRPr="00311EE0">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закон</w:t>
      </w:r>
      <w:r w:rsidR="007151D8" w:rsidRPr="00311EE0">
        <w:rPr>
          <w:rFonts w:ascii="Times New Roman" w:hAnsi="Times New Roman" w:cs="Times New Roman"/>
          <w:noProof/>
          <w:sz w:val="24"/>
          <w:szCs w:val="24"/>
          <w:lang w:val="sr-Cyrl-CS"/>
        </w:rPr>
        <w:t>)</w:t>
      </w:r>
    </w:p>
    <w:p w:rsidR="00311EE0" w:rsidRDefault="00311EE0"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Закон</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младима(Службени гласникРС - бр</w:t>
      </w:r>
      <w:r w:rsidRPr="00311EE0">
        <w:rPr>
          <w:rFonts w:ascii="Times New Roman" w:hAnsi="Times New Roman" w:cs="Times New Roman"/>
          <w:noProof/>
          <w:sz w:val="24"/>
          <w:szCs w:val="24"/>
          <w:lang w:val="sr-Cyrl-CS"/>
        </w:rPr>
        <w:t>. 50/2011)</w:t>
      </w:r>
    </w:p>
    <w:p w:rsidR="005D5610" w:rsidRPr="00324A77" w:rsidRDefault="005D5610"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Закон</w:t>
      </w:r>
      <w:r w:rsidRPr="005D5610">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туризму</w:t>
      </w:r>
      <w:r w:rsidRPr="005D5610">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СлужбенiгласникРС - бр</w:t>
      </w:r>
      <w:r w:rsidRPr="005D5610">
        <w:rPr>
          <w:rFonts w:ascii="Times New Roman" w:hAnsi="Times New Roman" w:cs="Times New Roman"/>
          <w:noProof/>
          <w:sz w:val="24"/>
          <w:szCs w:val="24"/>
          <w:lang w:val="sr-Cyrl-CS"/>
        </w:rPr>
        <w:t>. 17/2019</w:t>
      </w:r>
      <w:r>
        <w:rPr>
          <w:rFonts w:ascii="Times New Roman" w:hAnsi="Times New Roman" w:cs="Times New Roman"/>
          <w:noProof/>
          <w:sz w:val="24"/>
          <w:szCs w:val="24"/>
        </w:rPr>
        <w:t>)</w:t>
      </w:r>
    </w:p>
    <w:p w:rsidR="00324A77" w:rsidRPr="005D5610" w:rsidRDefault="00324A77"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noProof/>
          <w:sz w:val="24"/>
          <w:szCs w:val="24"/>
        </w:rPr>
        <w:t>Закон о волонтирању (Службени гласник РС – бр. 36/10)</w:t>
      </w:r>
    </w:p>
    <w:p w:rsidR="007151D8" w:rsidRDefault="005A6543"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5A6543">
        <w:rPr>
          <w:rFonts w:ascii="Times New Roman" w:hAnsi="Times New Roman" w:cs="Times New Roman"/>
          <w:sz w:val="24"/>
          <w:szCs w:val="24"/>
          <w:lang w:val="sr-Cyrl-CS"/>
        </w:rPr>
        <w:t xml:space="preserve">Стратегија развоја образовања у Србији до </w:t>
      </w:r>
      <w:r w:rsidR="00C931CA">
        <w:rPr>
          <w:rFonts w:ascii="Times New Roman" w:hAnsi="Times New Roman" w:cs="Times New Roman"/>
          <w:sz w:val="24"/>
          <w:szCs w:val="24"/>
          <w:lang w:val="sr-Cyrl-CS"/>
        </w:rPr>
        <w:t>2021</w:t>
      </w:r>
      <w:r w:rsidRPr="005A6543">
        <w:rPr>
          <w:rFonts w:ascii="Times New Roman" w:hAnsi="Times New Roman" w:cs="Times New Roman"/>
          <w:sz w:val="24"/>
          <w:szCs w:val="24"/>
          <w:lang w:val="sr-Cyrl-CS"/>
        </w:rPr>
        <w:t>. године (</w:t>
      </w:r>
      <w:r>
        <w:rPr>
          <w:rFonts w:ascii="Times New Roman" w:hAnsi="Times New Roman" w:cs="Times New Roman"/>
          <w:sz w:val="24"/>
          <w:szCs w:val="24"/>
          <w:lang w:val="sr-Cyrl-CS"/>
        </w:rPr>
        <w:t>Службени гласник РС –17/2012)</w:t>
      </w:r>
    </w:p>
    <w:p w:rsidR="007151D8" w:rsidRDefault="007151D8"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noProof/>
          <w:sz w:val="24"/>
          <w:szCs w:val="24"/>
          <w:lang w:val="sr-Cyrl-CS"/>
        </w:rPr>
        <w:t>Стратегија</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развоја</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туризма</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Републике</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Србије</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за</w:t>
      </w:r>
      <w:r w:rsidR="00427E29">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период</w:t>
      </w:r>
      <w:r w:rsidR="00870809">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од</w:t>
      </w:r>
      <w:r w:rsidRPr="007151D8">
        <w:rPr>
          <w:rFonts w:ascii="Times New Roman" w:hAnsi="Times New Roman" w:cs="Times New Roman"/>
          <w:noProof/>
          <w:sz w:val="24"/>
          <w:szCs w:val="24"/>
          <w:lang w:val="sr-Cyrl-CS"/>
        </w:rPr>
        <w:t xml:space="preserve"> 2016. </w:t>
      </w:r>
      <w:r>
        <w:rPr>
          <w:rFonts w:ascii="Times New Roman" w:hAnsi="Times New Roman" w:cs="Times New Roman"/>
          <w:noProof/>
          <w:sz w:val="24"/>
          <w:szCs w:val="24"/>
          <w:lang w:val="sr-Cyrl-CS"/>
        </w:rPr>
        <w:t>до</w:t>
      </w:r>
      <w:r w:rsidRPr="007151D8">
        <w:rPr>
          <w:rFonts w:ascii="Times New Roman" w:hAnsi="Times New Roman" w:cs="Times New Roman"/>
          <w:noProof/>
          <w:sz w:val="24"/>
          <w:szCs w:val="24"/>
          <w:lang w:val="sr-Cyrl-CS"/>
        </w:rPr>
        <w:t xml:space="preserve"> 2025. </w:t>
      </w:r>
      <w:r>
        <w:rPr>
          <w:rFonts w:ascii="Times New Roman" w:hAnsi="Times New Roman" w:cs="Times New Roman"/>
          <w:noProof/>
          <w:sz w:val="24"/>
          <w:szCs w:val="24"/>
          <w:lang w:val="sr-Cyrl-CS"/>
        </w:rPr>
        <w:t>године</w:t>
      </w:r>
      <w:r w:rsidR="00870809">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(Службени гласникРС - бр</w:t>
      </w:r>
      <w:r w:rsidRPr="007151D8">
        <w:rPr>
          <w:rFonts w:ascii="Times New Roman" w:hAnsi="Times New Roman" w:cs="Times New Roman"/>
          <w:noProof/>
          <w:sz w:val="24"/>
          <w:szCs w:val="24"/>
          <w:lang w:val="sr-Cyrl-CS"/>
        </w:rPr>
        <w:t>. 98/2016)</w:t>
      </w:r>
    </w:p>
    <w:p w:rsidR="00311EE0" w:rsidRDefault="00311EE0" w:rsidP="00B03CD2">
      <w:pPr>
        <w:pStyle w:val="ListParagraph"/>
        <w:numPr>
          <w:ilvl w:val="0"/>
          <w:numId w:val="6"/>
        </w:numPr>
        <w:spacing w:line="276" w:lineRule="auto"/>
        <w:ind w:left="709"/>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Национална стратегија </w:t>
      </w:r>
      <w:r w:rsidRPr="00311EE0">
        <w:rPr>
          <w:rFonts w:ascii="Times New Roman" w:hAnsi="Times New Roman" w:cs="Times New Roman"/>
          <w:sz w:val="24"/>
          <w:szCs w:val="24"/>
          <w:lang w:val="sr-Cyrl-CS"/>
        </w:rPr>
        <w:t>за младе за период од 2015. до 2025. године</w:t>
      </w:r>
      <w:r>
        <w:rPr>
          <w:rFonts w:ascii="Times New Roman" w:hAnsi="Times New Roman" w:cs="Times New Roman"/>
          <w:sz w:val="24"/>
          <w:szCs w:val="24"/>
          <w:lang w:val="sr-Cyrl-CS"/>
        </w:rPr>
        <w:t xml:space="preserve"> (Службени гласник РС – бр. 22/2015)</w:t>
      </w:r>
    </w:p>
    <w:p w:rsidR="00E27C16" w:rsidRPr="00E27C16" w:rsidRDefault="00E27C16" w:rsidP="00B03CD2">
      <w:pPr>
        <w:pStyle w:val="ListParagraph"/>
        <w:numPr>
          <w:ilvl w:val="0"/>
          <w:numId w:val="6"/>
        </w:numPr>
        <w:spacing w:line="276" w:lineRule="auto"/>
        <w:ind w:left="709"/>
        <w:jc w:val="both"/>
        <w:rPr>
          <w:rFonts w:ascii="Times New Roman" w:hAnsi="Times New Roman" w:cs="Times New Roman"/>
          <w:sz w:val="24"/>
          <w:szCs w:val="24"/>
          <w:lang w:val="sr-Cyrl-CS"/>
        </w:rPr>
      </w:pPr>
      <w:r w:rsidRPr="00E27C16">
        <w:rPr>
          <w:rFonts w:ascii="Times New Roman" w:hAnsi="Times New Roman" w:cs="Times New Roman"/>
          <w:sz w:val="24"/>
          <w:szCs w:val="24"/>
          <w:lang w:val="sr-Cyrl-CS"/>
        </w:rPr>
        <w:t>Уредба о критеријумима, мерилима и начину избора пројеката у култури који се финансирају и суфинансирају из буџета</w:t>
      </w:r>
      <w:r w:rsidR="00427E29">
        <w:rPr>
          <w:rFonts w:ascii="Times New Roman" w:hAnsi="Times New Roman" w:cs="Times New Roman"/>
          <w:sz w:val="24"/>
          <w:szCs w:val="24"/>
        </w:rPr>
        <w:t xml:space="preserve"> </w:t>
      </w:r>
      <w:r w:rsidRPr="00E27C16">
        <w:rPr>
          <w:rFonts w:ascii="Times New Roman" w:hAnsi="Times New Roman" w:cs="Times New Roman"/>
          <w:sz w:val="24"/>
          <w:szCs w:val="24"/>
          <w:lang w:val="sr-Cyrl-CS"/>
        </w:rPr>
        <w:t>Републике Србије, Аутономне покрајине, однос</w:t>
      </w:r>
      <w:r>
        <w:rPr>
          <w:rFonts w:ascii="Times New Roman" w:hAnsi="Times New Roman" w:cs="Times New Roman"/>
          <w:sz w:val="24"/>
          <w:szCs w:val="24"/>
          <w:lang w:val="sr-Cyrl-CS"/>
        </w:rPr>
        <w:t>но јединица локалне самоуправе (</w:t>
      </w:r>
      <w:r w:rsidRPr="00E27C16">
        <w:rPr>
          <w:rFonts w:ascii="Times New Roman" w:hAnsi="Times New Roman" w:cs="Times New Roman"/>
          <w:sz w:val="24"/>
          <w:szCs w:val="24"/>
          <w:lang w:val="sr-Cyrl-CS"/>
        </w:rPr>
        <w:t>С</w:t>
      </w:r>
      <w:r>
        <w:rPr>
          <w:rFonts w:ascii="Times New Roman" w:hAnsi="Times New Roman" w:cs="Times New Roman"/>
          <w:sz w:val="24"/>
          <w:szCs w:val="24"/>
          <w:lang w:val="sr-Cyrl-CS"/>
        </w:rPr>
        <w:t>лужбени гласник РС -</w:t>
      </w:r>
      <w:r w:rsidRPr="00E27C16">
        <w:rPr>
          <w:rFonts w:ascii="Times New Roman" w:hAnsi="Times New Roman" w:cs="Times New Roman"/>
          <w:sz w:val="24"/>
          <w:szCs w:val="24"/>
          <w:lang w:val="sr-Cyrl-CS"/>
        </w:rPr>
        <w:t xml:space="preserve"> бр.</w:t>
      </w:r>
    </w:p>
    <w:p w:rsidR="00E27C16" w:rsidRPr="00311EE0" w:rsidRDefault="00E27C16" w:rsidP="00594010">
      <w:pPr>
        <w:pStyle w:val="ListParagraph"/>
        <w:spacing w:line="276" w:lineRule="auto"/>
        <w:ind w:left="709"/>
        <w:jc w:val="both"/>
        <w:rPr>
          <w:rFonts w:ascii="Times New Roman" w:hAnsi="Times New Roman" w:cs="Times New Roman"/>
          <w:sz w:val="24"/>
          <w:szCs w:val="24"/>
          <w:lang w:val="sr-Cyrl-CS"/>
        </w:rPr>
      </w:pPr>
      <w:r>
        <w:rPr>
          <w:rFonts w:ascii="Times New Roman" w:hAnsi="Times New Roman" w:cs="Times New Roman"/>
          <w:sz w:val="24"/>
          <w:szCs w:val="24"/>
          <w:lang w:val="sr-Cyrl-CS"/>
        </w:rPr>
        <w:t>106/2016 и 112/2017)</w:t>
      </w:r>
    </w:p>
    <w:p w:rsidR="005A6543" w:rsidRPr="007151D8" w:rsidRDefault="005A6543" w:rsidP="000764E2">
      <w:pPr>
        <w:spacing w:line="276" w:lineRule="auto"/>
        <w:ind w:left="720"/>
        <w:jc w:val="both"/>
        <w:rPr>
          <w:rFonts w:ascii="Times New Roman" w:hAnsi="Times New Roman" w:cs="Times New Roman"/>
          <w:sz w:val="24"/>
          <w:szCs w:val="24"/>
          <w:lang w:val="sr-Cyrl-CS"/>
        </w:rPr>
      </w:pPr>
      <w:r w:rsidRPr="007151D8">
        <w:rPr>
          <w:rFonts w:ascii="Times New Roman" w:hAnsi="Times New Roman" w:cs="Times New Roman"/>
          <w:sz w:val="24"/>
          <w:szCs w:val="24"/>
          <w:u w:val="single"/>
          <w:lang w:val="sr-Cyrl-CS"/>
        </w:rPr>
        <w:t>Регионални и градски документи:</w:t>
      </w:r>
    </w:p>
    <w:p w:rsidR="007D0A4B" w:rsidRDefault="007D0A4B" w:rsidP="00B03CD2">
      <w:pPr>
        <w:pStyle w:val="ListParagraph"/>
        <w:numPr>
          <w:ilvl w:val="0"/>
          <w:numId w:val="7"/>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Програм</w:t>
      </w:r>
      <w:r w:rsidRPr="007D0A4B">
        <w:rPr>
          <w:rFonts w:ascii="Times New Roman" w:hAnsi="Times New Roman" w:cs="Times New Roman"/>
          <w:sz w:val="24"/>
          <w:szCs w:val="24"/>
          <w:lang w:val="sr-Cyrl-CS"/>
        </w:rPr>
        <w:t xml:space="preserve"> развоја АП Војводине 2014.-</w:t>
      </w:r>
      <w:r w:rsidR="00C931CA">
        <w:rPr>
          <w:rFonts w:ascii="Times New Roman" w:hAnsi="Times New Roman" w:cs="Times New Roman"/>
          <w:sz w:val="24"/>
          <w:szCs w:val="24"/>
          <w:lang w:val="sr-Cyrl-CS"/>
        </w:rPr>
        <w:t>2021</w:t>
      </w:r>
      <w:r w:rsidRPr="007D0A4B">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године (Службени лист АПВ - бр.</w:t>
      </w:r>
      <w:r w:rsidRPr="007D0A4B">
        <w:rPr>
          <w:rFonts w:ascii="Times New Roman" w:hAnsi="Times New Roman" w:cs="Times New Roman"/>
          <w:sz w:val="24"/>
          <w:szCs w:val="24"/>
          <w:lang w:val="sr-Cyrl-CS"/>
        </w:rPr>
        <w:t xml:space="preserve"> 13/2014)</w:t>
      </w:r>
    </w:p>
    <w:p w:rsidR="007D0A4B" w:rsidRDefault="007D0A4B" w:rsidP="00B03CD2">
      <w:pPr>
        <w:pStyle w:val="ListParagraph"/>
        <w:numPr>
          <w:ilvl w:val="0"/>
          <w:numId w:val="7"/>
        </w:numPr>
        <w:spacing w:line="276" w:lineRule="auto"/>
        <w:jc w:val="both"/>
        <w:rPr>
          <w:rFonts w:ascii="Times New Roman" w:hAnsi="Times New Roman" w:cs="Times New Roman"/>
          <w:sz w:val="24"/>
          <w:szCs w:val="24"/>
          <w:lang w:val="sr-Cyrl-CS"/>
        </w:rPr>
      </w:pPr>
      <w:r w:rsidRPr="007D0A4B">
        <w:rPr>
          <w:rFonts w:ascii="Times New Roman" w:hAnsi="Times New Roman" w:cs="Times New Roman"/>
          <w:sz w:val="24"/>
          <w:szCs w:val="24"/>
          <w:lang w:val="sr-Cyrl-CS"/>
        </w:rPr>
        <w:t>Акциони план политике за младе у АП Војводини за период 2015-</w:t>
      </w:r>
      <w:r w:rsidR="00C931CA">
        <w:rPr>
          <w:rFonts w:ascii="Times New Roman" w:hAnsi="Times New Roman" w:cs="Times New Roman"/>
          <w:sz w:val="24"/>
          <w:szCs w:val="24"/>
          <w:lang w:val="sr-Cyrl-CS"/>
        </w:rPr>
        <w:t>2021</w:t>
      </w:r>
    </w:p>
    <w:p w:rsidR="005D5610" w:rsidRDefault="005D5610" w:rsidP="00B03CD2">
      <w:pPr>
        <w:pStyle w:val="ListParagraph"/>
        <w:numPr>
          <w:ilvl w:val="0"/>
          <w:numId w:val="7"/>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rPr>
        <w:t>П</w:t>
      </w:r>
      <w:r>
        <w:rPr>
          <w:rFonts w:ascii="Times New Roman" w:hAnsi="Times New Roman" w:cs="Times New Roman"/>
          <w:sz w:val="24"/>
          <w:szCs w:val="24"/>
          <w:lang w:val="sr-Cyrl-CS"/>
        </w:rPr>
        <w:t>рограм развоја туризма у Аутономној Покрајини В</w:t>
      </w:r>
      <w:r w:rsidRPr="005D5610">
        <w:rPr>
          <w:rFonts w:ascii="Times New Roman" w:hAnsi="Times New Roman" w:cs="Times New Roman"/>
          <w:sz w:val="24"/>
          <w:szCs w:val="24"/>
          <w:lang w:val="sr-Cyrl-CS"/>
        </w:rPr>
        <w:t>ојводини</w:t>
      </w:r>
      <w:r w:rsidR="006C6FB5">
        <w:rPr>
          <w:rFonts w:ascii="Times New Roman" w:hAnsi="Times New Roman" w:cs="Times New Roman"/>
          <w:sz w:val="24"/>
          <w:szCs w:val="24"/>
          <w:lang w:val="sr-Cyrl-CS"/>
        </w:rPr>
        <w:t xml:space="preserve"> </w:t>
      </w:r>
      <w:r w:rsidRPr="005D5610">
        <w:rPr>
          <w:rFonts w:ascii="Times New Roman" w:hAnsi="Times New Roman" w:cs="Times New Roman"/>
          <w:sz w:val="24"/>
          <w:szCs w:val="24"/>
          <w:lang w:val="sr-Cyrl-CS"/>
        </w:rPr>
        <w:t>за период 2018-2022. године</w:t>
      </w:r>
      <w:r>
        <w:rPr>
          <w:rFonts w:ascii="Times New Roman" w:hAnsi="Times New Roman" w:cs="Times New Roman"/>
          <w:sz w:val="24"/>
          <w:szCs w:val="24"/>
          <w:lang w:val="sr-Cyrl-CS"/>
        </w:rPr>
        <w:t xml:space="preserve"> (</w:t>
      </w:r>
      <w:r>
        <w:rPr>
          <w:rFonts w:ascii="Times New Roman" w:hAnsi="Times New Roman" w:cs="Times New Roman"/>
          <w:noProof/>
          <w:sz w:val="24"/>
          <w:szCs w:val="24"/>
          <w:lang w:val="sr-Cyrl-CS"/>
        </w:rPr>
        <w:t>Сл</w:t>
      </w:r>
      <w:r w:rsidR="00007409">
        <w:rPr>
          <w:rFonts w:ascii="Times New Roman" w:hAnsi="Times New Roman" w:cs="Times New Roman"/>
          <w:noProof/>
          <w:sz w:val="24"/>
          <w:szCs w:val="24"/>
          <w:lang w:val="sr-Cyrl-CS"/>
        </w:rPr>
        <w:t xml:space="preserve">ужбени </w:t>
      </w:r>
      <w:r>
        <w:rPr>
          <w:rFonts w:ascii="Times New Roman" w:hAnsi="Times New Roman" w:cs="Times New Roman"/>
          <w:noProof/>
          <w:sz w:val="24"/>
          <w:szCs w:val="24"/>
          <w:lang w:val="sr-Cyrl-CS"/>
        </w:rPr>
        <w:t>листАП</w:t>
      </w:r>
      <w:r w:rsidR="00007409">
        <w:rPr>
          <w:rFonts w:ascii="Times New Roman" w:hAnsi="Times New Roman" w:cs="Times New Roman"/>
          <w:noProof/>
          <w:sz w:val="24"/>
          <w:szCs w:val="24"/>
          <w:lang w:val="sr-Cyrl-CS"/>
        </w:rPr>
        <w:t>В - бр</w:t>
      </w:r>
      <w:r w:rsidRPr="00007409">
        <w:rPr>
          <w:rFonts w:ascii="Times New Roman" w:hAnsi="Times New Roman" w:cs="Times New Roman"/>
          <w:sz w:val="24"/>
          <w:szCs w:val="24"/>
          <w:lang w:val="sr-Cyrl-CS"/>
        </w:rPr>
        <w:t>.</w:t>
      </w:r>
      <w:r w:rsidRPr="005D5610">
        <w:rPr>
          <w:rFonts w:ascii="Times New Roman" w:hAnsi="Times New Roman" w:cs="Times New Roman"/>
          <w:sz w:val="24"/>
          <w:szCs w:val="24"/>
          <w:lang w:val="sr-Cyrl-CS"/>
        </w:rPr>
        <w:t xml:space="preserve"> 54/2018)</w:t>
      </w:r>
    </w:p>
    <w:p w:rsidR="006F33F9" w:rsidRPr="006F33F9" w:rsidRDefault="006F33F9" w:rsidP="00B03CD2">
      <w:pPr>
        <w:pStyle w:val="ListParagraph"/>
        <w:numPr>
          <w:ilvl w:val="0"/>
          <w:numId w:val="7"/>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Статут града Сомбора (Службени лист града Сомбора</w:t>
      </w:r>
      <w:r w:rsidRPr="006F33F9">
        <w:rPr>
          <w:rFonts w:ascii="Times New Roman" w:hAnsi="Times New Roman" w:cs="Times New Roman"/>
          <w:sz w:val="24"/>
          <w:szCs w:val="24"/>
          <w:lang w:val="sr-Cyrl-CS"/>
        </w:rPr>
        <w:t>, бр. 2/19)</w:t>
      </w:r>
    </w:p>
    <w:p w:rsidR="00C15B0A" w:rsidRDefault="00427E29" w:rsidP="00B03CD2">
      <w:pPr>
        <w:pStyle w:val="ListParagraph"/>
        <w:numPr>
          <w:ilvl w:val="0"/>
          <w:numId w:val="7"/>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Стратегијa</w:t>
      </w:r>
      <w:r w:rsidR="005A6543" w:rsidRPr="005A6543">
        <w:rPr>
          <w:rFonts w:ascii="Times New Roman" w:hAnsi="Times New Roman" w:cs="Times New Roman"/>
          <w:sz w:val="24"/>
          <w:szCs w:val="24"/>
          <w:lang w:val="sr-Cyrl-CS"/>
        </w:rPr>
        <w:t xml:space="preserve"> одрж</w:t>
      </w:r>
      <w:r w:rsidR="00516AEB">
        <w:rPr>
          <w:rFonts w:ascii="Times New Roman" w:hAnsi="Times New Roman" w:cs="Times New Roman"/>
          <w:sz w:val="24"/>
          <w:szCs w:val="24"/>
          <w:lang w:val="sr-Cyrl-CS"/>
        </w:rPr>
        <w:t xml:space="preserve">ивог развоја града Сомбора (Службени </w:t>
      </w:r>
      <w:r w:rsidR="005A6543" w:rsidRPr="005A6543">
        <w:rPr>
          <w:rFonts w:ascii="Times New Roman" w:hAnsi="Times New Roman" w:cs="Times New Roman"/>
          <w:sz w:val="24"/>
          <w:szCs w:val="24"/>
          <w:lang w:val="sr-Cyrl-CS"/>
        </w:rPr>
        <w:t>лист града Сомбора, бр. 11/2018</w:t>
      </w:r>
      <w:r w:rsidR="008C1B92">
        <w:rPr>
          <w:rFonts w:ascii="Times New Roman" w:hAnsi="Times New Roman" w:cs="Times New Roman"/>
          <w:sz w:val="24"/>
          <w:szCs w:val="24"/>
          <w:lang w:val="sr-Cyrl-CS"/>
        </w:rPr>
        <w:t>)</w:t>
      </w:r>
    </w:p>
    <w:p w:rsidR="00516AEB" w:rsidRDefault="00516AEB" w:rsidP="00B03CD2">
      <w:pPr>
        <w:pStyle w:val="ListParagraph"/>
        <w:numPr>
          <w:ilvl w:val="0"/>
          <w:numId w:val="7"/>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516AEB">
        <w:rPr>
          <w:rFonts w:ascii="Times New Roman" w:hAnsi="Times New Roman" w:cs="Times New Roman"/>
          <w:sz w:val="24"/>
          <w:szCs w:val="24"/>
          <w:lang w:val="sr-Cyrl-CS"/>
        </w:rPr>
        <w:t>росторни план</w:t>
      </w:r>
      <w:r>
        <w:rPr>
          <w:rFonts w:ascii="Times New Roman" w:hAnsi="Times New Roman" w:cs="Times New Roman"/>
          <w:sz w:val="24"/>
          <w:szCs w:val="24"/>
          <w:lang w:val="sr-Cyrl-CS"/>
        </w:rPr>
        <w:t xml:space="preserve"> Града С</w:t>
      </w:r>
      <w:r w:rsidRPr="00516AEB">
        <w:rPr>
          <w:rFonts w:ascii="Times New Roman" w:hAnsi="Times New Roman" w:cs="Times New Roman"/>
          <w:sz w:val="24"/>
          <w:szCs w:val="24"/>
          <w:lang w:val="sr-Cyrl-CS"/>
        </w:rPr>
        <w:t>омбора</w:t>
      </w:r>
      <w:r>
        <w:rPr>
          <w:rFonts w:ascii="Times New Roman" w:hAnsi="Times New Roman" w:cs="Times New Roman"/>
          <w:sz w:val="24"/>
          <w:szCs w:val="24"/>
          <w:lang w:val="sr-Cyrl-CS"/>
        </w:rPr>
        <w:t xml:space="preserve">. 2014. </w:t>
      </w:r>
      <w:r w:rsidRPr="00516AEB">
        <w:rPr>
          <w:rFonts w:ascii="Times New Roman" w:hAnsi="Times New Roman" w:cs="Times New Roman"/>
          <w:sz w:val="24"/>
          <w:szCs w:val="24"/>
          <w:lang w:val="sr-Cyrl-CS"/>
        </w:rPr>
        <w:t xml:space="preserve">Ј.П. </w:t>
      </w:r>
      <w:r>
        <w:rPr>
          <w:rFonts w:ascii="Times New Roman" w:hAnsi="Times New Roman" w:cs="Times New Roman"/>
          <w:sz w:val="24"/>
          <w:szCs w:val="24"/>
          <w:lang w:val="sr-Cyrl-CS"/>
        </w:rPr>
        <w:t>''Урбанизам''. С</w:t>
      </w:r>
      <w:r w:rsidRPr="00516AEB">
        <w:rPr>
          <w:rFonts w:ascii="Times New Roman" w:hAnsi="Times New Roman" w:cs="Times New Roman"/>
          <w:sz w:val="24"/>
          <w:szCs w:val="24"/>
          <w:lang w:val="sr-Cyrl-CS"/>
        </w:rPr>
        <w:t>омбор</w:t>
      </w:r>
    </w:p>
    <w:p w:rsidR="00516AEB" w:rsidRDefault="00516AEB" w:rsidP="00B03CD2">
      <w:pPr>
        <w:pStyle w:val="ListParagraph"/>
        <w:numPr>
          <w:ilvl w:val="0"/>
          <w:numId w:val="7"/>
        </w:numPr>
        <w:spacing w:after="0"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Програм развоја туризма града Сомбора 2017 – 2025 </w:t>
      </w:r>
      <w:r w:rsidR="007D0A4B">
        <w:rPr>
          <w:rFonts w:ascii="Times New Roman" w:hAnsi="Times New Roman" w:cs="Times New Roman"/>
          <w:sz w:val="24"/>
          <w:szCs w:val="24"/>
          <w:lang w:val="sr-Cyrl-CS"/>
        </w:rPr>
        <w:t>(Службени лист града С</w:t>
      </w:r>
      <w:r>
        <w:rPr>
          <w:rFonts w:ascii="Times New Roman" w:hAnsi="Times New Roman" w:cs="Times New Roman"/>
          <w:sz w:val="24"/>
          <w:szCs w:val="24"/>
          <w:lang w:val="sr-Cyrl-CS"/>
        </w:rPr>
        <w:t xml:space="preserve">омбора, бр. </w:t>
      </w:r>
      <w:r w:rsidR="007D0A4B">
        <w:rPr>
          <w:rFonts w:ascii="Times New Roman" w:hAnsi="Times New Roman" w:cs="Times New Roman"/>
          <w:sz w:val="24"/>
          <w:szCs w:val="24"/>
          <w:lang w:val="sr-Cyrl-CS"/>
        </w:rPr>
        <w:t>)</w:t>
      </w:r>
    </w:p>
    <w:p w:rsidR="00234574" w:rsidRDefault="00234574" w:rsidP="00234574">
      <w:pPr>
        <w:pStyle w:val="ListParagraph"/>
        <w:spacing w:after="0" w:line="276" w:lineRule="auto"/>
        <w:jc w:val="both"/>
        <w:rPr>
          <w:rFonts w:ascii="Times New Roman" w:hAnsi="Times New Roman" w:cs="Times New Roman"/>
          <w:sz w:val="24"/>
          <w:szCs w:val="24"/>
          <w:lang w:val="sr-Cyrl-CS"/>
        </w:rPr>
      </w:pPr>
    </w:p>
    <w:p w:rsidR="00D60D4F" w:rsidRPr="00594010" w:rsidRDefault="00D60D4F" w:rsidP="00B03CD2">
      <w:pPr>
        <w:pStyle w:val="Heading1"/>
        <w:numPr>
          <w:ilvl w:val="0"/>
          <w:numId w:val="13"/>
        </w:numPr>
        <w:spacing w:before="0"/>
        <w:rPr>
          <w:b/>
        </w:rPr>
      </w:pPr>
      <w:bookmarkStart w:id="4" w:name="_Toc36072280"/>
      <w:r w:rsidRPr="00594010">
        <w:rPr>
          <w:b/>
        </w:rPr>
        <w:t>Опис постојећег стања</w:t>
      </w:r>
      <w:bookmarkEnd w:id="4"/>
    </w:p>
    <w:p w:rsidR="00BA2198" w:rsidRDefault="00BA2198" w:rsidP="00594010">
      <w:pPr>
        <w:pStyle w:val="ListParagraph"/>
        <w:spacing w:after="0" w:line="276" w:lineRule="auto"/>
        <w:jc w:val="both"/>
        <w:rPr>
          <w:rFonts w:ascii="Times New Roman" w:hAnsi="Times New Roman" w:cs="Times New Roman"/>
          <w:b/>
          <w:sz w:val="28"/>
          <w:szCs w:val="28"/>
        </w:rPr>
      </w:pPr>
    </w:p>
    <w:p w:rsidR="00BA2198" w:rsidRPr="00594010" w:rsidRDefault="00BA2198" w:rsidP="00B03CD2">
      <w:pPr>
        <w:pStyle w:val="Heading2"/>
        <w:numPr>
          <w:ilvl w:val="1"/>
          <w:numId w:val="13"/>
        </w:numPr>
        <w:spacing w:before="0"/>
        <w:rPr>
          <w:b/>
        </w:rPr>
      </w:pPr>
      <w:bookmarkStart w:id="5" w:name="_Toc36072281"/>
      <w:r w:rsidRPr="00594010">
        <w:rPr>
          <w:b/>
        </w:rPr>
        <w:t>О Сомбору</w:t>
      </w:r>
      <w:bookmarkEnd w:id="5"/>
      <w:r w:rsidRPr="00594010">
        <w:rPr>
          <w:b/>
        </w:rPr>
        <w:t xml:space="preserve"> </w:t>
      </w:r>
    </w:p>
    <w:p w:rsidR="00D60D4F" w:rsidRPr="00D60D4F" w:rsidRDefault="00D60D4F" w:rsidP="00594010">
      <w:pPr>
        <w:spacing w:after="0" w:line="276" w:lineRule="auto"/>
        <w:jc w:val="both"/>
        <w:rPr>
          <w:rFonts w:ascii="Times New Roman" w:hAnsi="Times New Roman" w:cs="Times New Roman"/>
          <w:b/>
          <w:sz w:val="24"/>
          <w:szCs w:val="24"/>
        </w:rPr>
      </w:pPr>
    </w:p>
    <w:p w:rsidR="00D60D4F" w:rsidRDefault="00D60D4F" w:rsidP="00594010">
      <w:pPr>
        <w:spacing w:line="276" w:lineRule="auto"/>
        <w:ind w:firstLine="720"/>
        <w:jc w:val="both"/>
        <w:rPr>
          <w:rFonts w:ascii="Times New Roman" w:hAnsi="Times New Roman" w:cs="Times New Roman"/>
          <w:sz w:val="24"/>
          <w:szCs w:val="24"/>
        </w:rPr>
      </w:pPr>
      <w:r w:rsidRPr="00D60D4F">
        <w:rPr>
          <w:rFonts w:ascii="Times New Roman" w:hAnsi="Times New Roman" w:cs="Times New Roman"/>
          <w:sz w:val="24"/>
          <w:szCs w:val="24"/>
        </w:rPr>
        <w:lastRenderedPageBreak/>
        <w:t>Град Сомбор је административни центар Западнобачког округа. Налази се на крајњем северозападу Републике Србије, 1</w:t>
      </w:r>
      <w:r>
        <w:rPr>
          <w:rFonts w:ascii="Times New Roman" w:hAnsi="Times New Roman" w:cs="Times New Roman"/>
          <w:sz w:val="24"/>
          <w:szCs w:val="24"/>
        </w:rPr>
        <w:t xml:space="preserve">75 км северозападно од Београда. </w:t>
      </w:r>
      <w:r w:rsidRPr="00D60D4F">
        <w:rPr>
          <w:rFonts w:ascii="Times New Roman" w:hAnsi="Times New Roman" w:cs="Times New Roman"/>
          <w:sz w:val="24"/>
          <w:szCs w:val="24"/>
        </w:rPr>
        <w:t>Територија општине Сомбор се простире на површини</w:t>
      </w:r>
      <w:r w:rsidR="00BA2198">
        <w:rPr>
          <w:rFonts w:ascii="Times New Roman" w:hAnsi="Times New Roman" w:cs="Times New Roman"/>
          <w:sz w:val="24"/>
          <w:szCs w:val="24"/>
        </w:rPr>
        <w:t xml:space="preserve"> од 1.177,22 км². Према последње</w:t>
      </w:r>
      <w:r w:rsidRPr="00D60D4F">
        <w:rPr>
          <w:rFonts w:ascii="Times New Roman" w:hAnsi="Times New Roman" w:cs="Times New Roman"/>
          <w:sz w:val="24"/>
          <w:szCs w:val="24"/>
        </w:rPr>
        <w:t>м попису из 2011. године у Сомбору живи укупно 85.903 становника, од тога у самом граду 47.623 становника (55,4%), а у 15 насељених места 38.280 становника  (46,6%). Територију града Сомбора данас чини 16 насеља, од којих је једно урбано. Према попису становништва из 2011. године житеље града чине припадници 21 етничке заједнице. Већинско становништво је српске националности које чини 63,3% популације, док су најбројније етничке заједнице Мађари са 11,5% и Хрвати са 8,2% удела.</w:t>
      </w:r>
      <w:r w:rsidR="00C23A57">
        <w:rPr>
          <w:rFonts w:ascii="Times New Roman" w:hAnsi="Times New Roman" w:cs="Times New Roman"/>
          <w:sz w:val="24"/>
          <w:szCs w:val="24"/>
        </w:rPr>
        <w:t xml:space="preserve">У Сомбору је седиште Националног савета немачке националне мањине. </w:t>
      </w:r>
      <w:r w:rsidRPr="00D60D4F">
        <w:rPr>
          <w:rFonts w:ascii="Times New Roman" w:hAnsi="Times New Roman" w:cs="Times New Roman"/>
          <w:sz w:val="24"/>
          <w:szCs w:val="24"/>
        </w:rPr>
        <w:t>Поред српског језика, на територији Сомбора у службеној употреби је мађарски, као и хрватски језик у два рурална подручја. Када је реч о старосној структури, највећи проценат становништва припада средњим генерацијама. Тако је учешће у општој популацији грађана који имају до 30 година 30,4%, док је грађана од 60 и више година 26,7%. Економски активно становништво чини 39% становништва, од којих је 76,8% и запослено. У погледу образовања, највећи број грађана Сомбора има завршену средњу школу – 51%</w:t>
      </w:r>
      <w:r w:rsidR="00BB4860">
        <w:rPr>
          <w:rStyle w:val="FootnoteReference"/>
          <w:rFonts w:ascii="Times New Roman" w:hAnsi="Times New Roman" w:cs="Times New Roman"/>
          <w:sz w:val="24"/>
          <w:szCs w:val="24"/>
        </w:rPr>
        <w:footnoteReference w:id="6"/>
      </w:r>
      <w:r w:rsidR="00BB4860">
        <w:rPr>
          <w:rFonts w:ascii="Times New Roman" w:hAnsi="Times New Roman" w:cs="Times New Roman"/>
          <w:sz w:val="24"/>
          <w:szCs w:val="24"/>
        </w:rPr>
        <w:t xml:space="preserve"> (Графикон 1)</w:t>
      </w:r>
      <w:r w:rsidRPr="00D60D4F">
        <w:rPr>
          <w:rFonts w:ascii="Times New Roman" w:hAnsi="Times New Roman" w:cs="Times New Roman"/>
          <w:sz w:val="24"/>
          <w:szCs w:val="24"/>
        </w:rPr>
        <w:t>.</w:t>
      </w:r>
    </w:p>
    <w:p w:rsidR="00BB4860" w:rsidRPr="00296F54" w:rsidRDefault="00BB4860" w:rsidP="000E6F2B">
      <w:pPr>
        <w:spacing w:after="0"/>
        <w:jc w:val="both"/>
        <w:rPr>
          <w:rFonts w:ascii="Times New Roman" w:hAnsi="Times New Roman" w:cs="Times New Roman"/>
          <w:sz w:val="24"/>
          <w:szCs w:val="24"/>
        </w:rPr>
      </w:pPr>
      <w:r w:rsidRPr="00296F54">
        <w:rPr>
          <w:rFonts w:ascii="Times New Roman" w:hAnsi="Times New Roman" w:cs="Times New Roman"/>
          <w:sz w:val="24"/>
          <w:szCs w:val="24"/>
        </w:rPr>
        <w:t>Графикон 1: Структура становништва Града Сомбора</w:t>
      </w:r>
    </w:p>
    <w:p w:rsidR="00D60D4F" w:rsidRDefault="00D60D4F" w:rsidP="00D60D4F">
      <w:pPr>
        <w:spacing w:after="0"/>
        <w:jc w:val="both"/>
        <w:rPr>
          <w:rFonts w:ascii="Times New Roman" w:hAnsi="Times New Roman" w:cs="Times New Roman"/>
          <w:sz w:val="24"/>
          <w:szCs w:val="24"/>
        </w:rPr>
      </w:pPr>
      <w:r>
        <w:rPr>
          <w:noProof/>
        </w:rPr>
        <w:drawing>
          <wp:inline distT="0" distB="0" distL="0" distR="0">
            <wp:extent cx="5867400" cy="86106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60D4F" w:rsidRDefault="00D60D4F" w:rsidP="00D60D4F">
      <w:pPr>
        <w:spacing w:after="0"/>
        <w:jc w:val="both"/>
        <w:rPr>
          <w:rFonts w:ascii="Times New Roman" w:hAnsi="Times New Roman" w:cs="Times New Roman"/>
          <w:sz w:val="24"/>
          <w:szCs w:val="24"/>
        </w:rPr>
      </w:pPr>
      <w:r>
        <w:rPr>
          <w:noProof/>
        </w:rPr>
        <w:drawing>
          <wp:inline distT="0" distB="0" distL="0" distR="0">
            <wp:extent cx="5876925" cy="861060"/>
            <wp:effectExtent l="0" t="0" r="952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0D4F" w:rsidRDefault="00D60D4F" w:rsidP="00D60D4F">
      <w:pPr>
        <w:jc w:val="both"/>
        <w:rPr>
          <w:rFonts w:ascii="Times New Roman" w:hAnsi="Times New Roman" w:cs="Times New Roman"/>
          <w:sz w:val="24"/>
          <w:szCs w:val="24"/>
        </w:rPr>
      </w:pPr>
      <w:r>
        <w:rPr>
          <w:noProof/>
        </w:rPr>
        <w:drawing>
          <wp:inline distT="0" distB="0" distL="0" distR="0">
            <wp:extent cx="5876925" cy="861060"/>
            <wp:effectExtent l="0" t="0" r="9525" b="1524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60D4F" w:rsidRDefault="00D60D4F" w:rsidP="00594010">
      <w:pPr>
        <w:spacing w:line="276" w:lineRule="auto"/>
        <w:ind w:firstLine="720"/>
        <w:jc w:val="both"/>
        <w:rPr>
          <w:rFonts w:ascii="Times New Roman" w:hAnsi="Times New Roman" w:cs="Times New Roman"/>
          <w:sz w:val="24"/>
          <w:szCs w:val="24"/>
        </w:rPr>
      </w:pPr>
      <w:r w:rsidRPr="00D60D4F">
        <w:rPr>
          <w:rFonts w:ascii="Times New Roman" w:hAnsi="Times New Roman" w:cs="Times New Roman"/>
          <w:sz w:val="24"/>
          <w:szCs w:val="24"/>
        </w:rPr>
        <w:t>Сомбор се први пут спомиње 1360. године као насеобина на поседу властелина под именом Цобор, одакле потиче и данашњи назив града. Од 1687. године град је био под Хабзбуршком влашћу, а 1749. године за време владавине царице Марије Терезије добија статус независног, слободног краљевског града</w:t>
      </w:r>
      <w:r w:rsidR="00BA2198">
        <w:rPr>
          <w:rStyle w:val="FootnoteReference"/>
          <w:rFonts w:ascii="Times New Roman" w:hAnsi="Times New Roman" w:cs="Times New Roman"/>
          <w:sz w:val="24"/>
          <w:szCs w:val="24"/>
        </w:rPr>
        <w:footnoteReference w:id="7"/>
      </w:r>
      <w:r w:rsidRPr="00D60D4F">
        <w:rPr>
          <w:rFonts w:ascii="Times New Roman" w:hAnsi="Times New Roman" w:cs="Times New Roman"/>
          <w:sz w:val="24"/>
          <w:szCs w:val="24"/>
        </w:rPr>
        <w:t xml:space="preserve">. Захваљујући убрзаном развоју, 1786. године Сомбор постаје седиште Бачко-бодрошке жупаније у чијем саставу су били Суботица и Нови Сад. </w:t>
      </w:r>
    </w:p>
    <w:p w:rsidR="00BA2198" w:rsidRDefault="00BA2198" w:rsidP="00594010">
      <w:pPr>
        <w:spacing w:line="276" w:lineRule="auto"/>
        <w:ind w:firstLine="720"/>
        <w:jc w:val="both"/>
        <w:rPr>
          <w:rFonts w:ascii="Times New Roman" w:hAnsi="Times New Roman" w:cs="Times New Roman"/>
          <w:sz w:val="24"/>
          <w:szCs w:val="24"/>
        </w:rPr>
      </w:pPr>
      <w:r w:rsidRPr="00BA2198">
        <w:rPr>
          <w:rFonts w:ascii="Times New Roman" w:hAnsi="Times New Roman" w:cs="Times New Roman"/>
          <w:sz w:val="24"/>
          <w:szCs w:val="24"/>
        </w:rPr>
        <w:lastRenderedPageBreak/>
        <w:t>На територији града Сомбора налази се 28 културних добара, од којих је један споменик културе категорисан као непокретно култ</w:t>
      </w:r>
      <w:r w:rsidR="0088481A">
        <w:rPr>
          <w:rFonts w:ascii="Times New Roman" w:hAnsi="Times New Roman" w:cs="Times New Roman"/>
          <w:sz w:val="24"/>
          <w:szCs w:val="24"/>
        </w:rPr>
        <w:t xml:space="preserve">урно добро од изузетног значаја, </w:t>
      </w:r>
      <w:r w:rsidR="001358D6">
        <w:rPr>
          <w:rFonts w:ascii="Times New Roman" w:hAnsi="Times New Roman" w:cs="Times New Roman"/>
          <w:sz w:val="24"/>
          <w:szCs w:val="24"/>
        </w:rPr>
        <w:t>Ц</w:t>
      </w:r>
      <w:r w:rsidR="001358D6">
        <w:rPr>
          <w:rFonts w:ascii="Times New Roman" w:hAnsi="Times New Roman" w:cs="Times New Roman"/>
          <w:noProof/>
          <w:sz w:val="24"/>
          <w:szCs w:val="24"/>
          <w:lang w:val="sr-Cyrl-CS"/>
        </w:rPr>
        <w:t>рква</w:t>
      </w:r>
      <w:r w:rsidR="006C6FB5">
        <w:rPr>
          <w:rFonts w:ascii="Times New Roman" w:hAnsi="Times New Roman" w:cs="Times New Roman"/>
          <w:noProof/>
          <w:sz w:val="24"/>
          <w:szCs w:val="24"/>
          <w:lang w:val="sr-Cyrl-CS"/>
        </w:rPr>
        <w:t xml:space="preserve"> </w:t>
      </w:r>
      <w:r w:rsidR="001358D6">
        <w:rPr>
          <w:rFonts w:ascii="Times New Roman" w:hAnsi="Times New Roman" w:cs="Times New Roman"/>
          <w:noProof/>
          <w:sz w:val="24"/>
          <w:szCs w:val="24"/>
          <w:lang w:val="sr-Cyrl-CS"/>
        </w:rPr>
        <w:t>Св</w:t>
      </w:r>
      <w:r w:rsidR="001358D6" w:rsidRPr="001358D6">
        <w:rPr>
          <w:rFonts w:ascii="Times New Roman" w:hAnsi="Times New Roman" w:cs="Times New Roman"/>
          <w:noProof/>
          <w:sz w:val="24"/>
          <w:szCs w:val="24"/>
          <w:lang w:val="sr-Cyrl-CS"/>
        </w:rPr>
        <w:t xml:space="preserve">. </w:t>
      </w:r>
      <w:r w:rsidR="001358D6">
        <w:rPr>
          <w:rFonts w:ascii="Times New Roman" w:hAnsi="Times New Roman" w:cs="Times New Roman"/>
          <w:noProof/>
          <w:sz w:val="24"/>
          <w:szCs w:val="24"/>
          <w:lang w:val="sr-Cyrl-CS"/>
        </w:rPr>
        <w:t>Јована</w:t>
      </w:r>
      <w:r w:rsidR="006C6FB5">
        <w:rPr>
          <w:rFonts w:ascii="Times New Roman" w:hAnsi="Times New Roman" w:cs="Times New Roman"/>
          <w:noProof/>
          <w:sz w:val="24"/>
          <w:szCs w:val="24"/>
          <w:lang w:val="sr-Cyrl-CS"/>
        </w:rPr>
        <w:t xml:space="preserve"> </w:t>
      </w:r>
      <w:r w:rsidR="001358D6">
        <w:rPr>
          <w:rFonts w:ascii="Times New Roman" w:hAnsi="Times New Roman" w:cs="Times New Roman"/>
          <w:noProof/>
          <w:sz w:val="24"/>
          <w:szCs w:val="24"/>
          <w:lang w:val="sr-Cyrl-CS"/>
        </w:rPr>
        <w:t>Претече (Светопретечева</w:t>
      </w:r>
      <w:r w:rsidR="006C6FB5">
        <w:rPr>
          <w:rFonts w:ascii="Times New Roman" w:hAnsi="Times New Roman" w:cs="Times New Roman"/>
          <w:noProof/>
          <w:sz w:val="24"/>
          <w:szCs w:val="24"/>
          <w:lang w:val="sr-Cyrl-CS"/>
        </w:rPr>
        <w:t xml:space="preserve"> </w:t>
      </w:r>
      <w:r w:rsidR="001358D6">
        <w:rPr>
          <w:rFonts w:ascii="Times New Roman" w:hAnsi="Times New Roman" w:cs="Times New Roman"/>
          <w:noProof/>
          <w:sz w:val="24"/>
          <w:szCs w:val="24"/>
          <w:lang w:val="sr-Cyrl-CS"/>
        </w:rPr>
        <w:t>или</w:t>
      </w:r>
      <w:r w:rsidR="006C6FB5">
        <w:rPr>
          <w:rFonts w:ascii="Times New Roman" w:hAnsi="Times New Roman" w:cs="Times New Roman"/>
          <w:noProof/>
          <w:sz w:val="24"/>
          <w:szCs w:val="24"/>
          <w:lang w:val="sr-Cyrl-CS"/>
        </w:rPr>
        <w:t xml:space="preserve"> </w:t>
      </w:r>
      <w:r w:rsidR="001358D6">
        <w:rPr>
          <w:rFonts w:ascii="Times New Roman" w:hAnsi="Times New Roman" w:cs="Times New Roman"/>
          <w:noProof/>
          <w:sz w:val="24"/>
          <w:szCs w:val="24"/>
          <w:lang w:val="sr-Cyrl-CS"/>
        </w:rPr>
        <w:t>Мала</w:t>
      </w:r>
      <w:r w:rsidR="006C6FB5">
        <w:rPr>
          <w:rFonts w:ascii="Times New Roman" w:hAnsi="Times New Roman" w:cs="Times New Roman"/>
          <w:noProof/>
          <w:sz w:val="24"/>
          <w:szCs w:val="24"/>
          <w:lang w:val="sr-Cyrl-CS"/>
        </w:rPr>
        <w:t xml:space="preserve"> </w:t>
      </w:r>
      <w:r w:rsidR="001358D6">
        <w:rPr>
          <w:rFonts w:ascii="Times New Roman" w:hAnsi="Times New Roman" w:cs="Times New Roman"/>
          <w:noProof/>
          <w:sz w:val="24"/>
          <w:szCs w:val="24"/>
          <w:lang w:val="sr-Cyrl-CS"/>
        </w:rPr>
        <w:t>православна</w:t>
      </w:r>
      <w:r w:rsidR="006C6FB5">
        <w:rPr>
          <w:rFonts w:ascii="Times New Roman" w:hAnsi="Times New Roman" w:cs="Times New Roman"/>
          <w:noProof/>
          <w:sz w:val="24"/>
          <w:szCs w:val="24"/>
          <w:lang w:val="sr-Cyrl-CS"/>
        </w:rPr>
        <w:t xml:space="preserve"> </w:t>
      </w:r>
      <w:r w:rsidR="001358D6">
        <w:rPr>
          <w:rFonts w:ascii="Times New Roman" w:hAnsi="Times New Roman" w:cs="Times New Roman"/>
          <w:noProof/>
          <w:sz w:val="24"/>
          <w:szCs w:val="24"/>
          <w:lang w:val="sr-Cyrl-CS"/>
        </w:rPr>
        <w:t>цркв</w:t>
      </w:r>
      <w:r w:rsidR="001358D6">
        <w:rPr>
          <w:rFonts w:ascii="Times New Roman" w:hAnsi="Times New Roman" w:cs="Times New Roman"/>
          <w:sz w:val="24"/>
          <w:szCs w:val="24"/>
          <w:lang w:val="sr-Cyrl-CS"/>
        </w:rPr>
        <w:t xml:space="preserve">а) из 18.века. </w:t>
      </w:r>
      <w:r w:rsidR="001358D6">
        <w:rPr>
          <w:rFonts w:ascii="Times New Roman" w:hAnsi="Times New Roman" w:cs="Times New Roman"/>
          <w:sz w:val="24"/>
          <w:szCs w:val="24"/>
        </w:rPr>
        <w:t>Поред споменика који има</w:t>
      </w:r>
      <w:r w:rsidR="002B4132">
        <w:rPr>
          <w:rFonts w:ascii="Times New Roman" w:hAnsi="Times New Roman" w:cs="Times New Roman"/>
          <w:sz w:val="24"/>
          <w:szCs w:val="24"/>
        </w:rPr>
        <w:t>категорију изузетног значаја, 25</w:t>
      </w:r>
      <w:r w:rsidRPr="00BA2198">
        <w:rPr>
          <w:rFonts w:ascii="Times New Roman" w:hAnsi="Times New Roman" w:cs="Times New Roman"/>
          <w:sz w:val="24"/>
          <w:szCs w:val="24"/>
        </w:rPr>
        <w:t xml:space="preserve"> културних добара је категорисано као непокретно ку</w:t>
      </w:r>
      <w:r w:rsidR="002B4132">
        <w:rPr>
          <w:rFonts w:ascii="Times New Roman" w:hAnsi="Times New Roman" w:cs="Times New Roman"/>
          <w:sz w:val="24"/>
          <w:szCs w:val="24"/>
        </w:rPr>
        <w:t>лтурно добро од великог значаја које су већином цркве и зграде саграђене у 18. и 19. веку.</w:t>
      </w:r>
      <w:r w:rsidRPr="00BA2198">
        <w:rPr>
          <w:rFonts w:ascii="Times New Roman" w:hAnsi="Times New Roman" w:cs="Times New Roman"/>
          <w:sz w:val="24"/>
          <w:szCs w:val="24"/>
        </w:rPr>
        <w:t xml:space="preserve"> На</w:t>
      </w:r>
      <w:r w:rsidR="002B4132">
        <w:rPr>
          <w:rFonts w:ascii="Times New Roman" w:hAnsi="Times New Roman" w:cs="Times New Roman"/>
          <w:sz w:val="24"/>
          <w:szCs w:val="24"/>
        </w:rPr>
        <w:t xml:space="preserve"> територији града налази се једна </w:t>
      </w:r>
      <w:r w:rsidRPr="00BA2198">
        <w:rPr>
          <w:rFonts w:ascii="Times New Roman" w:hAnsi="Times New Roman" w:cs="Times New Roman"/>
          <w:sz w:val="24"/>
          <w:szCs w:val="24"/>
        </w:rPr>
        <w:t>про</w:t>
      </w:r>
      <w:r w:rsidR="002B4132">
        <w:rPr>
          <w:rFonts w:ascii="Times New Roman" w:hAnsi="Times New Roman" w:cs="Times New Roman"/>
          <w:sz w:val="24"/>
          <w:szCs w:val="24"/>
        </w:rPr>
        <w:t>сторно културно – историјска целина, Историјско језгро Сомбора „Венац“,</w:t>
      </w:r>
      <w:r w:rsidRPr="00BA2198">
        <w:rPr>
          <w:rFonts w:ascii="Times New Roman" w:hAnsi="Times New Roman" w:cs="Times New Roman"/>
          <w:sz w:val="24"/>
          <w:szCs w:val="24"/>
        </w:rPr>
        <w:t xml:space="preserve"> и једно знаменито место</w:t>
      </w:r>
      <w:r w:rsidR="002B4132">
        <w:rPr>
          <w:rFonts w:ascii="Times New Roman" w:hAnsi="Times New Roman" w:cs="Times New Roman"/>
          <w:sz w:val="24"/>
          <w:szCs w:val="24"/>
        </w:rPr>
        <w:t xml:space="preserve"> - </w:t>
      </w:r>
      <w:r w:rsidR="002B4132" w:rsidRPr="002B4132">
        <w:rPr>
          <w:rFonts w:ascii="Times New Roman" w:hAnsi="Times New Roman" w:cs="Times New Roman"/>
          <w:sz w:val="24"/>
          <w:szCs w:val="24"/>
        </w:rPr>
        <w:t>Место Батинске битке на Дунаву код Бездана</w:t>
      </w:r>
      <w:r w:rsidR="002B4132">
        <w:rPr>
          <w:rFonts w:ascii="Times New Roman" w:hAnsi="Times New Roman" w:cs="Times New Roman"/>
          <w:sz w:val="24"/>
          <w:szCs w:val="24"/>
        </w:rPr>
        <w:t>, оба категорисана као културна добра од великог значаја</w:t>
      </w:r>
      <w:r w:rsidR="002B4132">
        <w:rPr>
          <w:rStyle w:val="FootnoteReference"/>
          <w:rFonts w:ascii="Times New Roman" w:hAnsi="Times New Roman" w:cs="Times New Roman"/>
          <w:sz w:val="24"/>
          <w:szCs w:val="24"/>
        </w:rPr>
        <w:footnoteReference w:id="8"/>
      </w:r>
      <w:r w:rsidR="009754D3">
        <w:rPr>
          <w:rFonts w:ascii="Times New Roman" w:hAnsi="Times New Roman" w:cs="Times New Roman"/>
          <w:sz w:val="24"/>
          <w:szCs w:val="24"/>
        </w:rPr>
        <w:t xml:space="preserve">. Бригу о непокретним културним добрима на територији Сомбора води Покрајински завод за заштиту споменика културе Нови Сад. </w:t>
      </w:r>
    </w:p>
    <w:p w:rsidR="00D5725B" w:rsidRDefault="00D5725B" w:rsidP="00594010">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На територији Сомбора налазе се дворци Каштел Редл у Растини, Баба пуста у Алекси Шантићу, дворац у Риђици, Семзе у Кљајићеву, Вамошер у Бачком Моноштору од којих је већина у веома лошем стању</w:t>
      </w:r>
      <w:r w:rsidR="00F81B0D">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w:t>
      </w:r>
    </w:p>
    <w:p w:rsidR="002F0E33" w:rsidRPr="004506DC" w:rsidRDefault="002F0E33" w:rsidP="00594010">
      <w:pPr>
        <w:spacing w:line="276" w:lineRule="auto"/>
        <w:ind w:firstLine="720"/>
        <w:jc w:val="both"/>
        <w:rPr>
          <w:rFonts w:ascii="Times New Roman" w:hAnsi="Times New Roman" w:cs="Times New Roman"/>
          <w:noProof/>
          <w:sz w:val="24"/>
          <w:szCs w:val="24"/>
          <w:lang w:val="sr-Cyrl-CS"/>
        </w:rPr>
      </w:pPr>
      <w:r>
        <w:rPr>
          <w:rFonts w:ascii="Times New Roman" w:hAnsi="Times New Roman" w:cs="Times New Roman"/>
          <w:sz w:val="24"/>
          <w:szCs w:val="24"/>
        </w:rPr>
        <w:t>Са територије града Сомбора у Национални регистар нематеријалног културног наслеђа уписана су два елемента, стапарски ћилим и бездански дамаст</w:t>
      </w:r>
      <w:r w:rsidR="004506DC">
        <w:rPr>
          <w:rFonts w:ascii="Times New Roman" w:hAnsi="Times New Roman" w:cs="Times New Roman"/>
          <w:sz w:val="24"/>
          <w:szCs w:val="24"/>
        </w:rPr>
        <w:t xml:space="preserve"> - у</w:t>
      </w:r>
      <w:r w:rsidR="004506DC" w:rsidRPr="004506DC">
        <w:rPr>
          <w:rFonts w:ascii="Times New Roman" w:hAnsi="Times New Roman" w:cs="Times New Roman"/>
          <w:sz w:val="24"/>
          <w:szCs w:val="24"/>
        </w:rPr>
        <w:t>меће ручног ткања орнаментисаног дамаста жакар техником</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r w:rsidR="004506DC">
        <w:rPr>
          <w:rFonts w:ascii="Times New Roman" w:hAnsi="Times New Roman" w:cs="Times New Roman"/>
          <w:noProof/>
          <w:sz w:val="24"/>
          <w:szCs w:val="24"/>
          <w:lang w:val="sr-Cyrl-CS"/>
        </w:rPr>
        <w:t>Стапарски</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ћилим</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с</w:t>
      </w:r>
      <w:r w:rsidR="007502C9">
        <w:rPr>
          <w:rFonts w:ascii="Times New Roman" w:hAnsi="Times New Roman" w:cs="Times New Roman"/>
          <w:noProof/>
          <w:sz w:val="24"/>
          <w:szCs w:val="24"/>
          <w:lang w:val="sr-Cyrl-CS"/>
        </w:rPr>
        <w:t xml:space="preserve">е </w:t>
      </w:r>
      <w:r w:rsidR="004506DC">
        <w:rPr>
          <w:rFonts w:ascii="Times New Roman" w:hAnsi="Times New Roman" w:cs="Times New Roman"/>
          <w:noProof/>
          <w:sz w:val="24"/>
          <w:szCs w:val="24"/>
          <w:lang w:val="sr-Cyrl-CS"/>
        </w:rPr>
        <w:t>производи</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на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хоризонталним</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разбојима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Тка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се</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искључиво</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са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два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лица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и</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то</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је</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једна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од</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одлика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која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га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чини</w:t>
      </w:r>
      <w:r w:rsidR="007502C9">
        <w:rPr>
          <w:rFonts w:ascii="Times New Roman" w:hAnsi="Times New Roman" w:cs="Times New Roman"/>
          <w:noProof/>
          <w:sz w:val="24"/>
          <w:szCs w:val="24"/>
          <w:lang w:val="sr-Cyrl-CS"/>
        </w:rPr>
        <w:t xml:space="preserve"> </w:t>
      </w:r>
      <w:r w:rsidR="00C31239">
        <w:rPr>
          <w:rFonts w:ascii="Times New Roman" w:hAnsi="Times New Roman" w:cs="Times New Roman"/>
          <w:noProof/>
          <w:sz w:val="24"/>
          <w:szCs w:val="24"/>
          <w:lang w:val="sr-Cyrl-CS"/>
        </w:rPr>
        <w:t xml:space="preserve">још </w:t>
      </w:r>
      <w:r w:rsidR="004506DC">
        <w:rPr>
          <w:rFonts w:ascii="Times New Roman" w:hAnsi="Times New Roman" w:cs="Times New Roman"/>
          <w:noProof/>
          <w:sz w:val="24"/>
          <w:szCs w:val="24"/>
          <w:lang w:val="sr-Cyrl-CS"/>
        </w:rPr>
        <w:t>вреднијим</w:t>
      </w:r>
      <w:r w:rsidR="004506DC" w:rsidRPr="004506DC">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Орнаментални</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мотиви</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код</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стапарског</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ћилима</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су</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нај</w:t>
      </w:r>
      <w:r w:rsidR="004506DC">
        <w:rPr>
          <w:rFonts w:ascii="Times New Roman" w:hAnsi="Times New Roman" w:cs="Times New Roman"/>
          <w:noProof/>
          <w:sz w:val="24"/>
          <w:szCs w:val="24"/>
        </w:rPr>
        <w:t>ч</w:t>
      </w:r>
      <w:r w:rsidR="004506DC">
        <w:rPr>
          <w:rFonts w:ascii="Times New Roman" w:hAnsi="Times New Roman" w:cs="Times New Roman"/>
          <w:noProof/>
          <w:sz w:val="24"/>
          <w:szCs w:val="24"/>
          <w:lang w:val="sr-Cyrl-CS"/>
        </w:rPr>
        <w:t>ешће</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руже</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које</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су</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јако</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сликовито</w:t>
      </w:r>
      <w:r w:rsidR="007502C9">
        <w:rPr>
          <w:rFonts w:ascii="Times New Roman" w:hAnsi="Times New Roman" w:cs="Times New Roman"/>
          <w:noProof/>
          <w:sz w:val="24"/>
          <w:szCs w:val="24"/>
          <w:lang w:val="sr-Cyrl-CS"/>
        </w:rPr>
        <w:t xml:space="preserve"> </w:t>
      </w:r>
      <w:r w:rsidR="004506DC">
        <w:rPr>
          <w:rFonts w:ascii="Times New Roman" w:hAnsi="Times New Roman" w:cs="Times New Roman"/>
          <w:noProof/>
          <w:sz w:val="24"/>
          <w:szCs w:val="24"/>
          <w:lang w:val="sr-Cyrl-CS"/>
        </w:rPr>
        <w:t>приказане</w:t>
      </w:r>
      <w:r w:rsidR="00F81B0D">
        <w:rPr>
          <w:rStyle w:val="FootnoteReference"/>
          <w:rFonts w:ascii="Times New Roman" w:hAnsi="Times New Roman" w:cs="Times New Roman"/>
          <w:noProof/>
          <w:sz w:val="24"/>
          <w:szCs w:val="24"/>
          <w:lang w:val="sr-Cyrl-CS"/>
        </w:rPr>
        <w:footnoteReference w:id="11"/>
      </w:r>
      <w:r w:rsidR="004506DC" w:rsidRPr="004506DC">
        <w:rPr>
          <w:rFonts w:ascii="Times New Roman" w:hAnsi="Times New Roman" w:cs="Times New Roman"/>
          <w:noProof/>
          <w:sz w:val="24"/>
          <w:szCs w:val="24"/>
          <w:lang w:val="sr-Cyrl-CS"/>
        </w:rPr>
        <w:t>.</w:t>
      </w:r>
      <w:r w:rsidR="00F81B0D" w:rsidRPr="00F81B0D">
        <w:rPr>
          <w:rFonts w:ascii="Times New Roman" w:hAnsi="Times New Roman" w:cs="Times New Roman"/>
          <w:noProof/>
          <w:sz w:val="24"/>
          <w:szCs w:val="24"/>
          <w:lang w:val="sr-Cyrl-CS"/>
        </w:rPr>
        <w:t>Бездански дамаст се тка ручно од свиле и памука, ша</w:t>
      </w:r>
      <w:r w:rsidR="00F81B0D">
        <w:rPr>
          <w:rFonts w:ascii="Times New Roman" w:hAnsi="Times New Roman" w:cs="Times New Roman"/>
          <w:noProof/>
          <w:sz w:val="24"/>
          <w:szCs w:val="24"/>
          <w:lang w:val="sr-Cyrl-CS"/>
        </w:rPr>
        <w:t>блонима са бушеним картицама који потичу</w:t>
      </w:r>
      <w:r w:rsidR="00F81B0D" w:rsidRPr="00F81B0D">
        <w:rPr>
          <w:rFonts w:ascii="Times New Roman" w:hAnsi="Times New Roman" w:cs="Times New Roman"/>
          <w:noProof/>
          <w:sz w:val="24"/>
          <w:szCs w:val="24"/>
          <w:lang w:val="sr-Cyrl-CS"/>
        </w:rPr>
        <w:t xml:space="preserve"> из 1870-их, на разбојима из истог периода</w:t>
      </w:r>
      <w:r w:rsidR="001229D3">
        <w:rPr>
          <w:rFonts w:ascii="Times New Roman" w:hAnsi="Times New Roman" w:cs="Times New Roman"/>
          <w:noProof/>
          <w:sz w:val="24"/>
          <w:szCs w:val="24"/>
          <w:lang w:val="sr-Cyrl-CS"/>
        </w:rPr>
        <w:t>, које</w:t>
      </w:r>
      <w:r w:rsidR="00C31239">
        <w:rPr>
          <w:rFonts w:ascii="Times New Roman" w:hAnsi="Times New Roman" w:cs="Times New Roman"/>
          <w:noProof/>
          <w:sz w:val="24"/>
          <w:szCs w:val="24"/>
          <w:lang w:val="sr-Cyrl-CS"/>
        </w:rPr>
        <w:t xml:space="preserve"> је Музеј науке и технике категорисао као културно добро</w:t>
      </w:r>
      <w:r w:rsidR="00F81B0D" w:rsidRPr="00F81B0D">
        <w:rPr>
          <w:rFonts w:ascii="Times New Roman" w:hAnsi="Times New Roman" w:cs="Times New Roman"/>
          <w:noProof/>
          <w:sz w:val="24"/>
          <w:szCs w:val="24"/>
          <w:lang w:val="sr-Cyrl-CS"/>
        </w:rPr>
        <w:t>. Израда је вишефазна и започиње креирањем шаре на бушеним картицама, које се повезују у низове, од 250 до 300, обезбеђујући на тај начин велики броја комбинација и различитост дезена</w:t>
      </w:r>
      <w:r w:rsidR="00F81B0D">
        <w:rPr>
          <w:rStyle w:val="FootnoteReference"/>
          <w:rFonts w:ascii="Times New Roman" w:hAnsi="Times New Roman" w:cs="Times New Roman"/>
          <w:noProof/>
          <w:sz w:val="24"/>
          <w:szCs w:val="24"/>
          <w:lang w:val="sr-Cyrl-CS"/>
        </w:rPr>
        <w:footnoteReference w:id="12"/>
      </w:r>
      <w:r w:rsidR="00F81B0D" w:rsidRPr="00F81B0D">
        <w:rPr>
          <w:rFonts w:ascii="Times New Roman" w:hAnsi="Times New Roman" w:cs="Times New Roman"/>
          <w:noProof/>
          <w:sz w:val="24"/>
          <w:szCs w:val="24"/>
          <w:lang w:val="sr-Cyrl-CS"/>
        </w:rPr>
        <w:t xml:space="preserve">.   </w:t>
      </w:r>
    </w:p>
    <w:p w:rsidR="00FB63D3" w:rsidRPr="000606DF" w:rsidRDefault="000E6F2B" w:rsidP="00B03CD2">
      <w:pPr>
        <w:pStyle w:val="Heading2"/>
        <w:numPr>
          <w:ilvl w:val="1"/>
          <w:numId w:val="13"/>
        </w:numPr>
        <w:rPr>
          <w:b/>
        </w:rPr>
      </w:pPr>
      <w:bookmarkStart w:id="6" w:name="_Toc36072282"/>
      <w:r w:rsidRPr="000606DF">
        <w:rPr>
          <w:b/>
        </w:rPr>
        <w:t xml:space="preserve">Организација и функционисање културе у </w:t>
      </w:r>
      <w:r w:rsidR="00F50687" w:rsidRPr="000606DF">
        <w:rPr>
          <w:b/>
        </w:rPr>
        <w:t>Сомбору</w:t>
      </w:r>
      <w:bookmarkEnd w:id="6"/>
    </w:p>
    <w:p w:rsidR="00594010" w:rsidRPr="00594010" w:rsidRDefault="00594010" w:rsidP="00594010">
      <w:pPr>
        <w:spacing w:after="0"/>
      </w:pPr>
    </w:p>
    <w:p w:rsidR="006F33F9" w:rsidRDefault="000E6F2B" w:rsidP="00594010">
      <w:pPr>
        <w:spacing w:line="276"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У Градској управи Сомбор </w:t>
      </w:r>
      <w:r w:rsidRPr="000E6F2B">
        <w:rPr>
          <w:rFonts w:ascii="Times New Roman" w:hAnsi="Times New Roman" w:cs="Times New Roman"/>
          <w:sz w:val="24"/>
          <w:szCs w:val="24"/>
          <w:lang w:val="sr-Cyrl-CS"/>
        </w:rPr>
        <w:t xml:space="preserve">за област културе </w:t>
      </w:r>
      <w:r w:rsidR="001229D3" w:rsidRPr="000E6F2B">
        <w:rPr>
          <w:rFonts w:ascii="Times New Roman" w:hAnsi="Times New Roman" w:cs="Times New Roman"/>
          <w:sz w:val="24"/>
          <w:szCs w:val="24"/>
          <w:lang w:val="sr-Cyrl-CS"/>
        </w:rPr>
        <w:t>задужено</w:t>
      </w:r>
      <w:r w:rsidRPr="000E6F2B">
        <w:rPr>
          <w:rFonts w:ascii="Times New Roman" w:hAnsi="Times New Roman" w:cs="Times New Roman"/>
          <w:sz w:val="24"/>
          <w:szCs w:val="24"/>
          <w:lang w:val="sr-Cyrl-CS"/>
        </w:rPr>
        <w:t xml:space="preserve"> је Одељење за друштвене делатности. У оквиру Градског већа у области одлучивања у култури активан је члан надлежан за културу и образовање. Поред</w:t>
      </w:r>
      <w:r>
        <w:rPr>
          <w:rFonts w:ascii="Times New Roman" w:hAnsi="Times New Roman" w:cs="Times New Roman"/>
          <w:sz w:val="24"/>
          <w:szCs w:val="24"/>
          <w:lang w:val="sr-Cyrl-CS"/>
        </w:rPr>
        <w:t xml:space="preserve"> члана Градског већа</w:t>
      </w:r>
      <w:r w:rsidRPr="000E6F2B">
        <w:rPr>
          <w:rFonts w:ascii="Times New Roman" w:hAnsi="Times New Roman" w:cs="Times New Roman"/>
          <w:sz w:val="24"/>
          <w:szCs w:val="24"/>
          <w:lang w:val="sr-Cyrl-CS"/>
        </w:rPr>
        <w:t xml:space="preserve"> у Градској управи Сомбор </w:t>
      </w:r>
      <w:r w:rsidR="00653DDE">
        <w:rPr>
          <w:rFonts w:ascii="Times New Roman" w:hAnsi="Times New Roman" w:cs="Times New Roman"/>
          <w:sz w:val="24"/>
          <w:szCs w:val="24"/>
          <w:lang w:val="sr-Cyrl-CS"/>
        </w:rPr>
        <w:t>за културу је задужен</w:t>
      </w:r>
      <w:r w:rsidR="00166685">
        <w:rPr>
          <w:rFonts w:ascii="Times New Roman" w:hAnsi="Times New Roman" w:cs="Times New Roman"/>
          <w:sz w:val="24"/>
          <w:szCs w:val="24"/>
          <w:lang w:val="sr-Cyrl-CS"/>
        </w:rPr>
        <w:t xml:space="preserve"> и Помоћник</w:t>
      </w:r>
      <w:r w:rsidRPr="000E6F2B">
        <w:rPr>
          <w:rFonts w:ascii="Times New Roman" w:hAnsi="Times New Roman" w:cs="Times New Roman"/>
          <w:sz w:val="24"/>
          <w:szCs w:val="24"/>
          <w:lang w:val="sr-Cyrl-CS"/>
        </w:rPr>
        <w:t xml:space="preserve"> градоначелника за културу и информисање</w:t>
      </w:r>
      <w:r w:rsidR="00166685">
        <w:rPr>
          <w:rStyle w:val="FootnoteReference"/>
          <w:rFonts w:ascii="Times New Roman" w:hAnsi="Times New Roman" w:cs="Times New Roman"/>
          <w:sz w:val="24"/>
          <w:szCs w:val="24"/>
          <w:lang w:val="sr-Cyrl-CS"/>
        </w:rPr>
        <w:footnoteReference w:id="13"/>
      </w:r>
      <w:r w:rsidRPr="000E6F2B">
        <w:rPr>
          <w:rFonts w:ascii="Times New Roman" w:hAnsi="Times New Roman" w:cs="Times New Roman"/>
          <w:sz w:val="24"/>
          <w:szCs w:val="24"/>
          <w:lang w:val="sr-Cyrl-CS"/>
        </w:rPr>
        <w:t xml:space="preserve">. </w:t>
      </w:r>
      <w:r w:rsidR="00A14E3D" w:rsidRPr="00A14E3D">
        <w:rPr>
          <w:rFonts w:ascii="Times New Roman" w:hAnsi="Times New Roman" w:cs="Times New Roman"/>
          <w:sz w:val="24"/>
          <w:szCs w:val="24"/>
          <w:lang w:val="sr-Cyrl-CS"/>
        </w:rPr>
        <w:t>На нивоу Града не постоји саветодавно тело у области културе.</w:t>
      </w:r>
      <w:r w:rsidR="00A14E3D" w:rsidRPr="000E6F2B">
        <w:rPr>
          <w:rFonts w:ascii="Times New Roman" w:hAnsi="Times New Roman" w:cs="Times New Roman"/>
          <w:sz w:val="24"/>
          <w:szCs w:val="24"/>
          <w:lang w:val="sr-Cyrl-CS"/>
        </w:rPr>
        <w:t xml:space="preserve"> </w:t>
      </w:r>
      <w:r w:rsidRPr="000E6F2B">
        <w:rPr>
          <w:rFonts w:ascii="Times New Roman" w:hAnsi="Times New Roman" w:cs="Times New Roman"/>
          <w:sz w:val="24"/>
          <w:szCs w:val="24"/>
          <w:lang w:val="sr-Cyrl-CS"/>
        </w:rPr>
        <w:t>У граду функци</w:t>
      </w:r>
      <w:r w:rsidR="006F33F9">
        <w:rPr>
          <w:rFonts w:ascii="Times New Roman" w:hAnsi="Times New Roman" w:cs="Times New Roman"/>
          <w:sz w:val="24"/>
          <w:szCs w:val="24"/>
          <w:lang w:val="sr-Cyrl-CS"/>
        </w:rPr>
        <w:t xml:space="preserve">онише </w:t>
      </w:r>
      <w:r w:rsidR="001229D3">
        <w:rPr>
          <w:rFonts w:ascii="Times New Roman" w:hAnsi="Times New Roman" w:cs="Times New Roman"/>
          <w:sz w:val="24"/>
          <w:szCs w:val="24"/>
          <w:lang w:val="sr-Cyrl-CS"/>
        </w:rPr>
        <w:t>шест</w:t>
      </w:r>
      <w:r w:rsidR="006F33F9">
        <w:rPr>
          <w:rFonts w:ascii="Times New Roman" w:hAnsi="Times New Roman" w:cs="Times New Roman"/>
          <w:sz w:val="24"/>
          <w:szCs w:val="24"/>
          <w:lang w:val="sr-Cyrl-CS"/>
        </w:rPr>
        <w:t xml:space="preserve"> јавних установа културе</w:t>
      </w:r>
      <w:r w:rsidR="00F50687">
        <w:rPr>
          <w:rFonts w:ascii="Times New Roman" w:hAnsi="Times New Roman" w:cs="Times New Roman"/>
          <w:sz w:val="24"/>
          <w:szCs w:val="24"/>
          <w:lang w:val="sr-Cyrl-CS"/>
        </w:rPr>
        <w:t xml:space="preserve"> чији је оснивач</w:t>
      </w:r>
      <w:r w:rsidR="00A14E3D">
        <w:rPr>
          <w:rFonts w:ascii="Times New Roman" w:hAnsi="Times New Roman" w:cs="Times New Roman"/>
          <w:sz w:val="24"/>
          <w:szCs w:val="24"/>
          <w:lang w:val="sr-Cyrl-CS"/>
        </w:rPr>
        <w:t xml:space="preserve"> </w:t>
      </w:r>
      <w:r w:rsidR="00A14E3D" w:rsidRPr="00A14E3D">
        <w:rPr>
          <w:rFonts w:ascii="Times New Roman" w:hAnsi="Times New Roman" w:cs="Times New Roman"/>
          <w:sz w:val="24"/>
          <w:szCs w:val="24"/>
          <w:lang w:val="sr-Cyrl-CS"/>
        </w:rPr>
        <w:t>Град</w:t>
      </w:r>
      <w:r w:rsidR="00F50687">
        <w:rPr>
          <w:rFonts w:ascii="Times New Roman" w:hAnsi="Times New Roman" w:cs="Times New Roman"/>
          <w:sz w:val="24"/>
          <w:szCs w:val="24"/>
          <w:lang w:val="sr-Cyrl-CS"/>
        </w:rPr>
        <w:t xml:space="preserve"> Сомбор</w:t>
      </w:r>
      <w:r w:rsidR="006F33F9">
        <w:rPr>
          <w:rFonts w:ascii="Times New Roman" w:hAnsi="Times New Roman" w:cs="Times New Roman"/>
          <w:sz w:val="24"/>
          <w:szCs w:val="24"/>
          <w:lang w:val="sr-Cyrl-CS"/>
        </w:rPr>
        <w:t>:</w:t>
      </w:r>
    </w:p>
    <w:p w:rsidR="006F33F9" w:rsidRDefault="006F33F9" w:rsidP="00B03CD2">
      <w:pPr>
        <w:pStyle w:val="ListParagraph"/>
        <w:numPr>
          <w:ilvl w:val="0"/>
          <w:numId w:val="8"/>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Народно позориште Сомбор</w:t>
      </w:r>
    </w:p>
    <w:p w:rsidR="006F33F9" w:rsidRDefault="006F33F9" w:rsidP="00B03CD2">
      <w:pPr>
        <w:pStyle w:val="ListParagraph"/>
        <w:numPr>
          <w:ilvl w:val="0"/>
          <w:numId w:val="8"/>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Културни центар „Лаза Костић“</w:t>
      </w:r>
    </w:p>
    <w:p w:rsidR="006F33F9" w:rsidRDefault="006F33F9" w:rsidP="00B03CD2">
      <w:pPr>
        <w:pStyle w:val="ListParagraph"/>
        <w:numPr>
          <w:ilvl w:val="0"/>
          <w:numId w:val="8"/>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Градски музеј Сомбор</w:t>
      </w:r>
    </w:p>
    <w:p w:rsidR="006F33F9" w:rsidRDefault="006F33F9" w:rsidP="00B03CD2">
      <w:pPr>
        <w:pStyle w:val="ListParagraph"/>
        <w:numPr>
          <w:ilvl w:val="0"/>
          <w:numId w:val="8"/>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Историјски архив Сомбор</w:t>
      </w:r>
    </w:p>
    <w:p w:rsidR="006F33F9" w:rsidRDefault="006F33F9" w:rsidP="00B03CD2">
      <w:pPr>
        <w:pStyle w:val="ListParagraph"/>
        <w:numPr>
          <w:ilvl w:val="0"/>
          <w:numId w:val="8"/>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Галерија „Милан Коњовић“</w:t>
      </w:r>
    </w:p>
    <w:p w:rsidR="006F33F9" w:rsidRDefault="006F33F9" w:rsidP="00B03CD2">
      <w:pPr>
        <w:pStyle w:val="ListParagraph"/>
        <w:numPr>
          <w:ilvl w:val="0"/>
          <w:numId w:val="8"/>
        </w:numPr>
        <w:spacing w:line="276"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Градска библиотека „Карло Бијелицки“</w:t>
      </w:r>
    </w:p>
    <w:p w:rsidR="00F70477" w:rsidRPr="000606DF" w:rsidRDefault="00F70477" w:rsidP="00594010">
      <w:pPr>
        <w:pStyle w:val="Heading3"/>
        <w:rPr>
          <w:i/>
          <w:lang w:val="sr-Cyrl-CS"/>
        </w:rPr>
      </w:pPr>
      <w:bookmarkStart w:id="7" w:name="_Toc36072283"/>
      <w:r w:rsidRPr="000606DF">
        <w:rPr>
          <w:i/>
          <w:lang w:val="sr-Cyrl-CS"/>
        </w:rPr>
        <w:t>Народно позориште Сомбор</w:t>
      </w:r>
      <w:bookmarkEnd w:id="7"/>
    </w:p>
    <w:p w:rsidR="00594010" w:rsidRPr="00594010" w:rsidRDefault="00594010" w:rsidP="00594010">
      <w:pPr>
        <w:spacing w:after="0"/>
        <w:rPr>
          <w:lang w:val="sr-Cyrl-CS"/>
        </w:rPr>
      </w:pPr>
    </w:p>
    <w:p w:rsidR="00F70477" w:rsidRDefault="007065E6" w:rsidP="00594010">
      <w:pPr>
        <w:spacing w:line="276" w:lineRule="auto"/>
        <w:ind w:firstLine="720"/>
        <w:jc w:val="both"/>
        <w:rPr>
          <w:rFonts w:ascii="Times New Roman" w:hAnsi="Times New Roman" w:cs="Times New Roman"/>
          <w:sz w:val="24"/>
          <w:szCs w:val="24"/>
          <w:lang w:val="sr-Cyrl-CS"/>
        </w:rPr>
      </w:pPr>
      <w:r w:rsidRPr="007065E6">
        <w:rPr>
          <w:rFonts w:ascii="Times New Roman" w:hAnsi="Times New Roman" w:cs="Times New Roman"/>
          <w:sz w:val="24"/>
          <w:szCs w:val="24"/>
          <w:lang w:val="sr-Cyrl-CS"/>
        </w:rPr>
        <w:t xml:space="preserve">Народно позориште Сомбор је професионална установа културе која се бави музичко-сценском делатношћу. </w:t>
      </w:r>
      <w:r>
        <w:rPr>
          <w:rFonts w:ascii="Times New Roman" w:hAnsi="Times New Roman" w:cs="Times New Roman"/>
          <w:sz w:val="24"/>
          <w:szCs w:val="24"/>
          <w:lang w:val="sr-Cyrl-CS"/>
        </w:rPr>
        <w:t>З</w:t>
      </w:r>
      <w:r w:rsidRPr="007065E6">
        <w:rPr>
          <w:rFonts w:ascii="Times New Roman" w:hAnsi="Times New Roman" w:cs="Times New Roman"/>
          <w:sz w:val="24"/>
          <w:szCs w:val="24"/>
          <w:lang w:val="sr-Cyrl-CS"/>
        </w:rPr>
        <w:t>града Народног позоришта Сомбор саграђена 1882. године као последица потребе грађана Сомбора за</w:t>
      </w:r>
      <w:r>
        <w:rPr>
          <w:rFonts w:ascii="Times New Roman" w:hAnsi="Times New Roman" w:cs="Times New Roman"/>
          <w:sz w:val="24"/>
          <w:szCs w:val="24"/>
          <w:lang w:val="sr-Cyrl-CS"/>
        </w:rPr>
        <w:t xml:space="preserve"> једним таквим здањем, и </w:t>
      </w:r>
      <w:r w:rsidRPr="007065E6">
        <w:rPr>
          <w:rFonts w:ascii="Times New Roman" w:hAnsi="Times New Roman" w:cs="Times New Roman"/>
          <w:sz w:val="24"/>
          <w:szCs w:val="24"/>
          <w:lang w:val="sr-Cyrl-CS"/>
        </w:rPr>
        <w:t>од те године позориште ради континуирано.</w:t>
      </w:r>
      <w:r>
        <w:rPr>
          <w:rFonts w:ascii="Times New Roman" w:hAnsi="Times New Roman" w:cs="Times New Roman"/>
          <w:sz w:val="24"/>
          <w:szCs w:val="24"/>
          <w:lang w:val="sr-Cyrl-CS"/>
        </w:rPr>
        <w:t xml:space="preserve"> </w:t>
      </w:r>
      <w:r w:rsidR="00F70477" w:rsidRPr="00F70477">
        <w:rPr>
          <w:rFonts w:ascii="Times New Roman" w:hAnsi="Times New Roman" w:cs="Times New Roman"/>
          <w:sz w:val="24"/>
          <w:szCs w:val="24"/>
          <w:lang w:val="sr-Cyrl-CS"/>
        </w:rPr>
        <w:t xml:space="preserve">Као професионална установа постоји од 1946. године мада је традиција позоришног живота и неговања позоришне културе у Сомбору много старија и датира од друге половине 19. века.Позориште има две сцене: Велику сцену и Малу сцену – Студио 99. Организатор је фестивала Позоришни маратон који ће се </w:t>
      </w:r>
      <w:r w:rsidR="00C931CA">
        <w:rPr>
          <w:rFonts w:ascii="Times New Roman" w:hAnsi="Times New Roman" w:cs="Times New Roman"/>
          <w:sz w:val="24"/>
          <w:szCs w:val="24"/>
          <w:lang w:val="sr-Cyrl-CS"/>
        </w:rPr>
        <w:t>2021</w:t>
      </w:r>
      <w:r w:rsidR="00F70477" w:rsidRPr="00F70477">
        <w:rPr>
          <w:rFonts w:ascii="Times New Roman" w:hAnsi="Times New Roman" w:cs="Times New Roman"/>
          <w:sz w:val="24"/>
          <w:szCs w:val="24"/>
          <w:lang w:val="sr-Cyrl-CS"/>
        </w:rPr>
        <w:t>. године одржати 28. пут.</w:t>
      </w:r>
    </w:p>
    <w:p w:rsidR="00F70477" w:rsidRPr="000606DF" w:rsidRDefault="00F70477" w:rsidP="00594010">
      <w:pPr>
        <w:pStyle w:val="Heading3"/>
        <w:rPr>
          <w:i/>
          <w:lang w:val="sr-Cyrl-CS"/>
        </w:rPr>
      </w:pPr>
      <w:bookmarkStart w:id="8" w:name="_Toc36072284"/>
      <w:r w:rsidRPr="000606DF">
        <w:rPr>
          <w:i/>
          <w:lang w:val="sr-Cyrl-CS"/>
        </w:rPr>
        <w:t>Културни центар „Лаза Костић“</w:t>
      </w:r>
      <w:bookmarkEnd w:id="8"/>
    </w:p>
    <w:p w:rsidR="00594010" w:rsidRPr="00594010" w:rsidRDefault="00594010" w:rsidP="00594010">
      <w:pPr>
        <w:spacing w:after="0"/>
        <w:rPr>
          <w:lang w:val="sr-Cyrl-CS"/>
        </w:rPr>
      </w:pPr>
    </w:p>
    <w:p w:rsidR="00F70477" w:rsidRDefault="00A810DB" w:rsidP="00594010">
      <w:pPr>
        <w:spacing w:line="276" w:lineRule="auto"/>
        <w:ind w:firstLine="720"/>
        <w:jc w:val="both"/>
        <w:rPr>
          <w:rFonts w:ascii="Times New Roman" w:hAnsi="Times New Roman" w:cs="Times New Roman"/>
          <w:noProof/>
          <w:sz w:val="24"/>
          <w:szCs w:val="24"/>
          <w:lang w:val="sr-Cyrl-CS"/>
        </w:rPr>
      </w:pPr>
      <w:r>
        <w:rPr>
          <w:rFonts w:ascii="Times New Roman" w:hAnsi="Times New Roman" w:cs="Times New Roman"/>
          <w:sz w:val="24"/>
          <w:szCs w:val="24"/>
          <w:lang w:val="sr-Cyrl-CS"/>
        </w:rPr>
        <w:t>Културни центар „Лаза Костић“ је о</w:t>
      </w:r>
      <w:r w:rsidR="00F70477" w:rsidRPr="00F70477">
        <w:rPr>
          <w:rFonts w:ascii="Times New Roman" w:hAnsi="Times New Roman" w:cs="Times New Roman"/>
          <w:sz w:val="24"/>
          <w:szCs w:val="24"/>
          <w:lang w:val="sr-Cyrl-CS"/>
        </w:rPr>
        <w:t xml:space="preserve">снован 1996. године с циљем да обезбеђује услове за свестрани развој културе и уметничког стваралаштва кроз организовање ликовних програма, књижевних и музичко-сценских програма, програма аматера у култури и издавачке делатности. </w:t>
      </w:r>
      <w:r>
        <w:rPr>
          <w:rFonts w:ascii="Times New Roman" w:hAnsi="Times New Roman" w:cs="Times New Roman"/>
          <w:sz w:val="24"/>
          <w:szCs w:val="24"/>
          <w:lang w:val="sr-Cyrl-CS"/>
        </w:rPr>
        <w:t>У оквиру Културног центр</w:t>
      </w:r>
      <w:r w:rsidR="00AA2F04">
        <w:rPr>
          <w:rFonts w:ascii="Times New Roman" w:hAnsi="Times New Roman" w:cs="Times New Roman"/>
          <w:sz w:val="24"/>
          <w:szCs w:val="24"/>
          <w:lang w:val="sr-Cyrl-CS"/>
        </w:rPr>
        <w:t xml:space="preserve">а функционише Галерија Културног центра.  Културни центар </w:t>
      </w:r>
      <w:r>
        <w:rPr>
          <w:rFonts w:ascii="Times New Roman" w:hAnsi="Times New Roman" w:cs="Times New Roman"/>
          <w:sz w:val="24"/>
          <w:szCs w:val="24"/>
          <w:lang w:val="sr-Cyrl-CS"/>
        </w:rPr>
        <w:t>тренутно функционише у два простор</w:t>
      </w:r>
      <w:r w:rsidR="00AA2F04">
        <w:rPr>
          <w:rFonts w:ascii="Times New Roman" w:hAnsi="Times New Roman" w:cs="Times New Roman"/>
          <w:sz w:val="24"/>
          <w:szCs w:val="24"/>
          <w:lang w:val="sr-Cyrl-CS"/>
        </w:rPr>
        <w:t xml:space="preserve">а. Организатор је великог броја манифестација међу којима се издвајају </w:t>
      </w:r>
      <w:r w:rsidR="00666189">
        <w:rPr>
          <w:rFonts w:ascii="Times New Roman" w:hAnsi="Times New Roman" w:cs="Times New Roman"/>
          <w:noProof/>
          <w:sz w:val="24"/>
          <w:szCs w:val="24"/>
          <w:lang w:val="sr-Cyrl-CS"/>
        </w:rPr>
        <w:t>СОМУС</w:t>
      </w:r>
      <w:r w:rsidR="00AA2F04" w:rsidRPr="00666189">
        <w:rPr>
          <w:rFonts w:ascii="Times New Roman" w:hAnsi="Times New Roman" w:cs="Times New Roman"/>
          <w:noProof/>
          <w:sz w:val="24"/>
          <w:szCs w:val="24"/>
          <w:lang w:val="sr-Cyrl-CS"/>
        </w:rPr>
        <w:t xml:space="preserve"> </w:t>
      </w:r>
      <w:r w:rsidR="00427E29">
        <w:rPr>
          <w:rFonts w:ascii="Times New Roman" w:hAnsi="Times New Roman" w:cs="Times New Roman"/>
          <w:noProof/>
          <w:sz w:val="24"/>
          <w:szCs w:val="24"/>
          <w:lang w:val="sr-Cyrl-CS"/>
        </w:rPr>
        <w:t>–</w:t>
      </w:r>
      <w:r w:rsidR="00AA2F04" w:rsidRPr="00666189">
        <w:rPr>
          <w:rFonts w:ascii="Times New Roman" w:hAnsi="Times New Roman" w:cs="Times New Roman"/>
          <w:noProof/>
          <w:sz w:val="24"/>
          <w:szCs w:val="24"/>
          <w:lang w:val="sr-Cyrl-CS"/>
        </w:rPr>
        <w:t xml:space="preserve"> </w:t>
      </w:r>
      <w:r w:rsidR="00666189">
        <w:rPr>
          <w:rFonts w:ascii="Times New Roman" w:hAnsi="Times New Roman" w:cs="Times New Roman"/>
          <w:noProof/>
          <w:sz w:val="24"/>
          <w:szCs w:val="24"/>
          <w:lang w:val="sr-Cyrl-CS"/>
        </w:rPr>
        <w:t>Сомборске</w:t>
      </w:r>
      <w:r w:rsidR="00427E29">
        <w:rPr>
          <w:rFonts w:ascii="Times New Roman" w:hAnsi="Times New Roman" w:cs="Times New Roman"/>
          <w:noProof/>
          <w:sz w:val="24"/>
          <w:szCs w:val="24"/>
        </w:rPr>
        <w:t xml:space="preserve"> </w:t>
      </w:r>
      <w:r w:rsidR="00666189">
        <w:rPr>
          <w:rFonts w:ascii="Times New Roman" w:hAnsi="Times New Roman" w:cs="Times New Roman"/>
          <w:noProof/>
          <w:sz w:val="24"/>
          <w:szCs w:val="24"/>
          <w:lang w:val="sr-Cyrl-CS"/>
        </w:rPr>
        <w:t>музичк</w:t>
      </w:r>
      <w:r w:rsidR="00427E29">
        <w:rPr>
          <w:rFonts w:ascii="Times New Roman" w:hAnsi="Times New Roman" w:cs="Times New Roman"/>
          <w:noProof/>
          <w:sz w:val="24"/>
          <w:szCs w:val="24"/>
        </w:rPr>
        <w:t xml:space="preserve">e </w:t>
      </w:r>
      <w:r w:rsidR="00666189">
        <w:rPr>
          <w:rFonts w:ascii="Times New Roman" w:hAnsi="Times New Roman" w:cs="Times New Roman"/>
          <w:noProof/>
          <w:sz w:val="24"/>
          <w:szCs w:val="24"/>
          <w:lang w:val="sr-Cyrl-CS"/>
        </w:rPr>
        <w:t>свечаност</w:t>
      </w:r>
      <w:r w:rsidR="00666189">
        <w:rPr>
          <w:rFonts w:ascii="Times New Roman" w:hAnsi="Times New Roman" w:cs="Times New Roman"/>
          <w:sz w:val="24"/>
          <w:szCs w:val="24"/>
          <w:lang w:val="sr-Cyrl-CS"/>
        </w:rPr>
        <w:t>и</w:t>
      </w:r>
      <w:r w:rsidR="00AA2F04">
        <w:rPr>
          <w:rFonts w:ascii="Times New Roman" w:hAnsi="Times New Roman" w:cs="Times New Roman"/>
          <w:sz w:val="24"/>
          <w:szCs w:val="24"/>
          <w:lang w:val="sr-Cyrl-CS"/>
        </w:rPr>
        <w:t xml:space="preserve">, </w:t>
      </w:r>
      <w:r w:rsidR="00A14E3D">
        <w:rPr>
          <w:rFonts w:ascii="Times New Roman" w:hAnsi="Times New Roman" w:cs="Times New Roman"/>
          <w:sz w:val="24"/>
          <w:szCs w:val="24"/>
          <w:lang w:val="sr-Cyrl-CS"/>
        </w:rPr>
        <w:t>Фестивал мултикултуралности</w:t>
      </w:r>
      <w:r w:rsidR="00666189">
        <w:rPr>
          <w:rFonts w:ascii="Times New Roman" w:hAnsi="Times New Roman" w:cs="Times New Roman"/>
          <w:sz w:val="24"/>
          <w:szCs w:val="24"/>
          <w:lang w:val="sr-Cyrl-CS"/>
        </w:rPr>
        <w:t xml:space="preserve">, </w:t>
      </w:r>
      <w:r w:rsidR="00666189">
        <w:rPr>
          <w:rFonts w:ascii="Times New Roman" w:hAnsi="Times New Roman" w:cs="Times New Roman"/>
          <w:noProof/>
          <w:sz w:val="24"/>
          <w:szCs w:val="24"/>
          <w:lang w:val="sr-Cyrl-CS"/>
        </w:rPr>
        <w:t>Ликовна</w:t>
      </w:r>
      <w:r w:rsidR="00A14E3D">
        <w:rPr>
          <w:rFonts w:ascii="Times New Roman" w:hAnsi="Times New Roman" w:cs="Times New Roman"/>
          <w:noProof/>
          <w:sz w:val="24"/>
          <w:szCs w:val="24"/>
          <w:lang w:val="sr-Cyrl-CS"/>
        </w:rPr>
        <w:t xml:space="preserve"> </w:t>
      </w:r>
      <w:r w:rsidR="00666189">
        <w:rPr>
          <w:rFonts w:ascii="Times New Roman" w:hAnsi="Times New Roman" w:cs="Times New Roman"/>
          <w:noProof/>
          <w:sz w:val="24"/>
          <w:szCs w:val="24"/>
          <w:lang w:val="sr-Cyrl-CS"/>
        </w:rPr>
        <w:t>јесен–бијенал</w:t>
      </w:r>
      <w:r w:rsidR="00666189">
        <w:rPr>
          <w:rFonts w:ascii="Times New Roman" w:hAnsi="Times New Roman" w:cs="Times New Roman"/>
          <w:sz w:val="24"/>
          <w:szCs w:val="24"/>
          <w:lang w:val="sr-Cyrl-CS"/>
        </w:rPr>
        <w:t xml:space="preserve">е, </w:t>
      </w:r>
      <w:r w:rsidR="009E643F" w:rsidRPr="009E643F">
        <w:rPr>
          <w:rFonts w:ascii="Times New Roman" w:hAnsi="Times New Roman" w:cs="Times New Roman"/>
          <w:sz w:val="24"/>
          <w:szCs w:val="24"/>
          <w:lang w:val="sr-Cyrl-CS"/>
        </w:rPr>
        <w:t>Сомборски салон, Дечији фестивали “Шарени свет” и “Шарени град</w:t>
      </w:r>
      <w:r w:rsidR="009E643F">
        <w:rPr>
          <w:rFonts w:ascii="Times New Roman" w:hAnsi="Times New Roman" w:cs="Times New Roman"/>
          <w:sz w:val="24"/>
          <w:szCs w:val="24"/>
          <w:lang/>
        </w:rPr>
        <w:t xml:space="preserve">“ </w:t>
      </w:r>
      <w:r w:rsidR="00666189">
        <w:rPr>
          <w:rFonts w:ascii="Times New Roman" w:hAnsi="Times New Roman" w:cs="Times New Roman"/>
          <w:noProof/>
          <w:sz w:val="24"/>
          <w:szCs w:val="24"/>
          <w:lang w:val="sr-Cyrl-CS"/>
        </w:rPr>
        <w:t xml:space="preserve">и </w:t>
      </w:r>
      <w:r w:rsidR="00427E29" w:rsidRPr="00500B84">
        <w:rPr>
          <w:rFonts w:ascii="Times New Roman" w:hAnsi="Times New Roman" w:cs="Times New Roman"/>
          <w:noProof/>
          <w:sz w:val="24"/>
          <w:szCs w:val="24"/>
          <w:lang w:val="sr-Cyrl-CS"/>
        </w:rPr>
        <w:t>Сомбор филм фест.</w:t>
      </w:r>
    </w:p>
    <w:p w:rsidR="00F70477" w:rsidRPr="000606DF" w:rsidRDefault="00666189" w:rsidP="00594010">
      <w:pPr>
        <w:pStyle w:val="Heading3"/>
        <w:rPr>
          <w:i/>
          <w:lang w:val="sr-Cyrl-CS"/>
        </w:rPr>
      </w:pPr>
      <w:bookmarkStart w:id="9" w:name="_Toc36072285"/>
      <w:r w:rsidRPr="000606DF">
        <w:rPr>
          <w:i/>
          <w:lang w:val="sr-Cyrl-CS"/>
        </w:rPr>
        <w:t>Градски музеј Сомбор</w:t>
      </w:r>
      <w:bookmarkEnd w:id="9"/>
    </w:p>
    <w:p w:rsidR="00594010" w:rsidRPr="00594010" w:rsidRDefault="00594010" w:rsidP="00594010">
      <w:pPr>
        <w:spacing w:after="0"/>
        <w:rPr>
          <w:lang w:val="sr-Cyrl-CS"/>
        </w:rPr>
      </w:pPr>
    </w:p>
    <w:p w:rsidR="00267019" w:rsidRDefault="00267019" w:rsidP="00594010">
      <w:pPr>
        <w:spacing w:line="276"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Градски музеј Сомбор основала је </w:t>
      </w:r>
      <w:r w:rsidR="00666189" w:rsidRPr="00666189">
        <w:rPr>
          <w:rFonts w:ascii="Times New Roman" w:hAnsi="Times New Roman" w:cs="Times New Roman"/>
          <w:noProof/>
          <w:sz w:val="24"/>
          <w:szCs w:val="24"/>
          <w:lang w:val="sr-Cyrl-CS"/>
        </w:rPr>
        <w:t>скупштина Историјског друштва Бач-борошке жупаније 1883. године. Музеј 1945. године постаје институција културе града Сомбора, да би потом био проглашен за регионални, за подручја Сомбора, Апатина, Оџака и Куле. Има седам одељења. У његовом саставу се налази и депаданс Спомен обележја Батинске битке на Дунаву код Бездана</w:t>
      </w:r>
      <w:r>
        <w:rPr>
          <w:rFonts w:ascii="Times New Roman" w:hAnsi="Times New Roman" w:cs="Times New Roman"/>
          <w:noProof/>
          <w:sz w:val="24"/>
          <w:szCs w:val="24"/>
          <w:lang w:val="sr-Cyrl-CS"/>
        </w:rPr>
        <w:t>, а у плану је отварање депаданса - Музеј Подунавских Шваба у Грашалковићевој палати</w:t>
      </w:r>
      <w:r w:rsidR="00666189" w:rsidRPr="00666189">
        <w:rPr>
          <w:rFonts w:ascii="Times New Roman" w:hAnsi="Times New Roman" w:cs="Times New Roman"/>
          <w:noProof/>
          <w:sz w:val="24"/>
          <w:szCs w:val="24"/>
          <w:lang w:val="sr-Cyrl-CS"/>
        </w:rPr>
        <w:t>. Галерија савремене југословенске уметности Градског музеја у Сомбору поседује збирку уметничких дела откупљиваних на год</w:t>
      </w:r>
      <w:r>
        <w:rPr>
          <w:rFonts w:ascii="Times New Roman" w:hAnsi="Times New Roman" w:cs="Times New Roman"/>
          <w:noProof/>
          <w:sz w:val="24"/>
          <w:szCs w:val="24"/>
          <w:lang w:val="sr-Cyrl-CS"/>
        </w:rPr>
        <w:t xml:space="preserve">ишњим изложбама Ликовне јесени. </w:t>
      </w:r>
      <w:r w:rsidR="002F0E33">
        <w:rPr>
          <w:rFonts w:ascii="Times New Roman" w:hAnsi="Times New Roman" w:cs="Times New Roman"/>
          <w:noProof/>
          <w:sz w:val="24"/>
          <w:szCs w:val="24"/>
          <w:lang w:val="sr-Cyrl-CS"/>
        </w:rPr>
        <w:t>Музеј је током 70- тих и 80 – тих година 20. века активно</w:t>
      </w:r>
      <w:r w:rsidR="00C54955">
        <w:rPr>
          <w:rFonts w:ascii="Times New Roman" w:hAnsi="Times New Roman" w:cs="Times New Roman"/>
          <w:noProof/>
          <w:sz w:val="24"/>
          <w:szCs w:val="24"/>
          <w:lang w:val="sr-Cyrl-CS"/>
        </w:rPr>
        <w:t xml:space="preserve"> ради</w:t>
      </w:r>
      <w:r w:rsidR="00FA30B1">
        <w:rPr>
          <w:rFonts w:ascii="Times New Roman" w:hAnsi="Times New Roman" w:cs="Times New Roman"/>
          <w:noProof/>
          <w:sz w:val="24"/>
          <w:szCs w:val="24"/>
          <w:lang w:val="sr-Cyrl-CS"/>
        </w:rPr>
        <w:t>о</w:t>
      </w:r>
      <w:r w:rsidR="00C54955">
        <w:rPr>
          <w:rFonts w:ascii="Times New Roman" w:hAnsi="Times New Roman" w:cs="Times New Roman"/>
          <w:noProof/>
          <w:sz w:val="24"/>
          <w:szCs w:val="24"/>
          <w:lang w:val="sr-Cyrl-CS"/>
        </w:rPr>
        <w:t xml:space="preserve"> на заштити непокретног културног наслеђа и </w:t>
      </w:r>
      <w:r w:rsidR="00096500">
        <w:rPr>
          <w:rFonts w:ascii="Times New Roman" w:hAnsi="Times New Roman" w:cs="Times New Roman"/>
          <w:noProof/>
          <w:sz w:val="24"/>
          <w:szCs w:val="24"/>
          <w:lang w:val="sr-Cyrl-CS"/>
        </w:rPr>
        <w:t>спроводио археолошка ископавања, док су након 2000.године на територији Сомбора спровођена заштитна археолошка ископавања под руководством Покрајинског завода за заштиту споменика културе</w:t>
      </w:r>
      <w:r w:rsidR="001229D3">
        <w:rPr>
          <w:rFonts w:ascii="Times New Roman" w:hAnsi="Times New Roman" w:cs="Times New Roman"/>
          <w:noProof/>
          <w:sz w:val="24"/>
          <w:szCs w:val="24"/>
          <w:lang w:val="sr-Cyrl-CS"/>
        </w:rPr>
        <w:t xml:space="preserve"> Нови Сад</w:t>
      </w:r>
      <w:r w:rsidR="00096500">
        <w:rPr>
          <w:rFonts w:ascii="Times New Roman" w:hAnsi="Times New Roman" w:cs="Times New Roman"/>
          <w:noProof/>
          <w:sz w:val="24"/>
          <w:szCs w:val="24"/>
          <w:lang w:val="sr-Cyrl-CS"/>
        </w:rPr>
        <w:t>. Н</w:t>
      </w:r>
      <w:r w:rsidR="00C54955">
        <w:rPr>
          <w:rFonts w:ascii="Times New Roman" w:hAnsi="Times New Roman" w:cs="Times New Roman"/>
          <w:noProof/>
          <w:sz w:val="24"/>
          <w:szCs w:val="24"/>
          <w:lang w:val="sr-Cyrl-CS"/>
        </w:rPr>
        <w:t>а</w:t>
      </w:r>
      <w:r w:rsidR="00096500">
        <w:rPr>
          <w:rFonts w:ascii="Times New Roman" w:hAnsi="Times New Roman" w:cs="Times New Roman"/>
          <w:noProof/>
          <w:sz w:val="24"/>
          <w:szCs w:val="24"/>
          <w:lang w:val="sr-Cyrl-CS"/>
        </w:rPr>
        <w:t xml:space="preserve"> </w:t>
      </w:r>
      <w:r w:rsidR="00096500">
        <w:rPr>
          <w:rFonts w:ascii="Times New Roman" w:hAnsi="Times New Roman" w:cs="Times New Roman"/>
          <w:noProof/>
          <w:sz w:val="24"/>
          <w:szCs w:val="24"/>
          <w:lang w:val="sr-Cyrl-CS"/>
        </w:rPr>
        <w:lastRenderedPageBreak/>
        <w:t>вишеслојном</w:t>
      </w:r>
      <w:r w:rsidR="00C54955">
        <w:rPr>
          <w:rFonts w:ascii="Times New Roman" w:hAnsi="Times New Roman" w:cs="Times New Roman"/>
          <w:noProof/>
          <w:sz w:val="24"/>
          <w:szCs w:val="24"/>
          <w:lang w:val="sr-Cyrl-CS"/>
        </w:rPr>
        <w:t xml:space="preserve"> локалитету Магарећи млин</w:t>
      </w:r>
      <w:r w:rsidR="00096500">
        <w:rPr>
          <w:rFonts w:ascii="Times New Roman" w:hAnsi="Times New Roman" w:cs="Times New Roman"/>
          <w:noProof/>
          <w:sz w:val="24"/>
          <w:szCs w:val="24"/>
          <w:lang w:val="sr-Cyrl-CS"/>
        </w:rPr>
        <w:t xml:space="preserve"> 1987. године је</w:t>
      </w:r>
      <w:r w:rsidR="00C54955">
        <w:rPr>
          <w:rFonts w:ascii="Times New Roman" w:hAnsi="Times New Roman" w:cs="Times New Roman"/>
          <w:noProof/>
          <w:sz w:val="24"/>
          <w:szCs w:val="24"/>
          <w:lang w:val="sr-Cyrl-CS"/>
        </w:rPr>
        <w:t xml:space="preserve"> пронађен фрагмент људске лобање који је 2018. године </w:t>
      </w:r>
      <w:r w:rsidR="00096500">
        <w:rPr>
          <w:rFonts w:ascii="Times New Roman" w:hAnsi="Times New Roman" w:cs="Times New Roman"/>
          <w:noProof/>
          <w:sz w:val="24"/>
          <w:szCs w:val="24"/>
          <w:lang w:val="sr-Cyrl-CS"/>
        </w:rPr>
        <w:t>радио – карбон методом (С14)</w:t>
      </w:r>
      <w:r w:rsidR="00C54955">
        <w:rPr>
          <w:rFonts w:ascii="Times New Roman" w:hAnsi="Times New Roman" w:cs="Times New Roman"/>
          <w:noProof/>
          <w:sz w:val="24"/>
          <w:szCs w:val="24"/>
          <w:lang w:val="sr-Cyrl-CS"/>
        </w:rPr>
        <w:t xml:space="preserve"> датован у средње камено доба</w:t>
      </w:r>
      <w:r w:rsidR="00096500">
        <w:rPr>
          <w:rFonts w:ascii="Times New Roman" w:hAnsi="Times New Roman" w:cs="Times New Roman"/>
          <w:noProof/>
          <w:sz w:val="24"/>
          <w:szCs w:val="24"/>
          <w:lang w:val="sr-Cyrl-CS"/>
        </w:rPr>
        <w:t xml:space="preserve"> (мезолит). Ово датовање потврдило је да је територија Војводине била насељена и у средњем каменом добу, што је заинтересовало научну јавност </w:t>
      </w:r>
      <w:r w:rsidR="00C54955">
        <w:rPr>
          <w:rStyle w:val="FootnoteReference"/>
          <w:rFonts w:ascii="Times New Roman" w:hAnsi="Times New Roman" w:cs="Times New Roman"/>
          <w:noProof/>
          <w:sz w:val="24"/>
          <w:szCs w:val="24"/>
          <w:lang w:val="sr-Cyrl-CS"/>
        </w:rPr>
        <w:footnoteReference w:id="14"/>
      </w:r>
      <w:r w:rsidR="00C54955">
        <w:rPr>
          <w:rFonts w:ascii="Times New Roman" w:hAnsi="Times New Roman" w:cs="Times New Roman"/>
          <w:noProof/>
          <w:sz w:val="24"/>
          <w:szCs w:val="24"/>
          <w:lang w:val="sr-Cyrl-CS"/>
        </w:rPr>
        <w:t xml:space="preserve">. </w:t>
      </w:r>
    </w:p>
    <w:p w:rsidR="005D3D06" w:rsidRPr="000606DF" w:rsidRDefault="005D3D06" w:rsidP="00594010">
      <w:pPr>
        <w:pStyle w:val="Heading3"/>
        <w:rPr>
          <w:i/>
          <w:noProof/>
          <w:lang w:val="sr-Cyrl-CS"/>
        </w:rPr>
      </w:pPr>
      <w:bookmarkStart w:id="10" w:name="_Toc36072286"/>
      <w:r w:rsidRPr="000606DF">
        <w:rPr>
          <w:i/>
          <w:noProof/>
          <w:lang w:val="sr-Cyrl-CS"/>
        </w:rPr>
        <w:t>Историјски архив Сомбор</w:t>
      </w:r>
      <w:bookmarkEnd w:id="10"/>
    </w:p>
    <w:p w:rsidR="00594010" w:rsidRPr="00594010" w:rsidRDefault="00594010" w:rsidP="00594010">
      <w:pPr>
        <w:spacing w:after="0"/>
        <w:rPr>
          <w:lang w:val="sr-Cyrl-CS"/>
        </w:rPr>
      </w:pPr>
    </w:p>
    <w:p w:rsidR="005D3D06" w:rsidRPr="0015465A" w:rsidRDefault="005D3D06" w:rsidP="00594010">
      <w:pPr>
        <w:spacing w:line="276" w:lineRule="auto"/>
        <w:ind w:firstLine="720"/>
        <w:jc w:val="both"/>
        <w:rPr>
          <w:rFonts w:ascii="Times New Roman" w:hAnsi="Times New Roman" w:cs="Times New Roman"/>
          <w:noProof/>
          <w:sz w:val="24"/>
          <w:szCs w:val="24"/>
        </w:rPr>
      </w:pPr>
      <w:r w:rsidRPr="005D3D06">
        <w:rPr>
          <w:rFonts w:ascii="Times New Roman" w:hAnsi="Times New Roman" w:cs="Times New Roman"/>
          <w:noProof/>
          <w:sz w:val="24"/>
          <w:szCs w:val="24"/>
        </w:rPr>
        <w:t>Архивска служба у Сомбору бележи своје постојање од 1749. године. Градска државна архива Сомбор основана је 1952. године, а 1964. године мења назив у Историјски архив Сомбор. Архив делатност обавља на територији Града Сомбора и општина  Апатин, Бач, Кула и Оџаци (укупно 42 насељена места). Архив има четири одељења. Архивска грађа писана је на српском, латинском</w:t>
      </w:r>
      <w:r>
        <w:rPr>
          <w:rFonts w:ascii="Times New Roman" w:hAnsi="Times New Roman" w:cs="Times New Roman"/>
          <w:noProof/>
          <w:sz w:val="24"/>
          <w:szCs w:val="24"/>
        </w:rPr>
        <w:t xml:space="preserve">, </w:t>
      </w:r>
      <w:r>
        <w:rPr>
          <w:rFonts w:ascii="Times New Roman" w:hAnsi="Times New Roman" w:cs="Times New Roman"/>
          <w:noProof/>
          <w:sz w:val="24"/>
          <w:szCs w:val="24"/>
          <w:lang w:val="sr-Cyrl-CS"/>
        </w:rPr>
        <w:t>мађарскоминемачкомјезику</w:t>
      </w:r>
      <w:r w:rsidRPr="005D3D06">
        <w:rPr>
          <w:rFonts w:ascii="Times New Roman" w:hAnsi="Times New Roman" w:cs="Times New Roman"/>
          <w:noProof/>
          <w:sz w:val="24"/>
          <w:szCs w:val="24"/>
          <w:lang w:val="sr-Cyrl-CS"/>
        </w:rPr>
        <w:t xml:space="preserve">. </w:t>
      </w:r>
      <w:r w:rsidR="006A2B60">
        <w:rPr>
          <w:rFonts w:ascii="Times New Roman" w:hAnsi="Times New Roman" w:cs="Times New Roman"/>
          <w:noProof/>
          <w:sz w:val="24"/>
          <w:szCs w:val="24"/>
        </w:rPr>
        <w:t>Историјски архив послује у Крушперовој палати и у Пашиној кули, културним добрима од великог значаја.</w:t>
      </w:r>
    </w:p>
    <w:p w:rsidR="006A2B60" w:rsidRPr="000606DF" w:rsidRDefault="006A2B60" w:rsidP="00594010">
      <w:pPr>
        <w:pStyle w:val="Heading3"/>
        <w:rPr>
          <w:i/>
          <w:noProof/>
          <w:lang w:val="sr-Cyrl-CS"/>
        </w:rPr>
      </w:pPr>
      <w:bookmarkStart w:id="11" w:name="_Toc36072287"/>
      <w:r w:rsidRPr="000606DF">
        <w:rPr>
          <w:i/>
          <w:noProof/>
          <w:lang w:val="sr-Cyrl-CS"/>
        </w:rPr>
        <w:t>Галерија „Милан Коњовић“</w:t>
      </w:r>
      <w:bookmarkEnd w:id="11"/>
    </w:p>
    <w:p w:rsidR="00594010" w:rsidRPr="00594010" w:rsidRDefault="00594010" w:rsidP="00594010">
      <w:pPr>
        <w:spacing w:after="0"/>
        <w:rPr>
          <w:lang w:val="sr-Cyrl-CS"/>
        </w:rPr>
      </w:pPr>
    </w:p>
    <w:p w:rsidR="006A2B60" w:rsidRDefault="006A2B60"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Галерија „Милан Коњовић“ о</w:t>
      </w:r>
      <w:r w:rsidRPr="006A2B60">
        <w:rPr>
          <w:rFonts w:ascii="Times New Roman" w:hAnsi="Times New Roman" w:cs="Times New Roman"/>
          <w:noProof/>
          <w:sz w:val="24"/>
          <w:szCs w:val="24"/>
        </w:rPr>
        <w:t>творена је 1966. године као легат сликара Милана Коњовића</w:t>
      </w:r>
      <w:r>
        <w:rPr>
          <w:rFonts w:ascii="Times New Roman" w:hAnsi="Times New Roman" w:cs="Times New Roman"/>
          <w:noProof/>
          <w:sz w:val="24"/>
          <w:szCs w:val="24"/>
        </w:rPr>
        <w:t xml:space="preserve"> који је Граду поклонио збирку од 500 својих дела. </w:t>
      </w:r>
      <w:r w:rsidRPr="006A2B60">
        <w:rPr>
          <w:rFonts w:ascii="Times New Roman" w:hAnsi="Times New Roman" w:cs="Times New Roman"/>
          <w:noProof/>
          <w:sz w:val="24"/>
          <w:szCs w:val="24"/>
        </w:rPr>
        <w:t xml:space="preserve"> Легат данас броји 1.084 радова.  </w:t>
      </w:r>
      <w:r w:rsidR="00092974" w:rsidRPr="00092974">
        <w:rPr>
          <w:rFonts w:ascii="Times New Roman" w:hAnsi="Times New Roman" w:cs="Times New Roman"/>
          <w:noProof/>
          <w:sz w:val="24"/>
          <w:szCs w:val="24"/>
        </w:rPr>
        <w:t>У списку</w:t>
      </w:r>
      <w:r w:rsidR="00092974">
        <w:rPr>
          <w:rFonts w:ascii="Times New Roman" w:hAnsi="Times New Roman" w:cs="Times New Roman"/>
          <w:noProof/>
          <w:sz w:val="24"/>
          <w:szCs w:val="24"/>
        </w:rPr>
        <w:t xml:space="preserve"> фонда  Галерије</w:t>
      </w:r>
      <w:r w:rsidR="00092974" w:rsidRPr="00092974">
        <w:rPr>
          <w:rFonts w:ascii="Times New Roman" w:hAnsi="Times New Roman" w:cs="Times New Roman"/>
          <w:noProof/>
          <w:sz w:val="24"/>
          <w:szCs w:val="24"/>
        </w:rPr>
        <w:t xml:space="preserve"> тренутно се налази 450 уља, 520 цртежа, 54 пастела, 46 акварела,13 темпера и једна таписерија, која прати одговарајућа музејска документација</w:t>
      </w:r>
      <w:r w:rsidR="00131F6C">
        <w:rPr>
          <w:rFonts w:ascii="Times New Roman" w:hAnsi="Times New Roman" w:cs="Times New Roman"/>
          <w:noProof/>
          <w:sz w:val="24"/>
          <w:szCs w:val="24"/>
        </w:rPr>
        <w:t xml:space="preserve">. </w:t>
      </w:r>
      <w:r w:rsidRPr="006A2B60">
        <w:rPr>
          <w:rFonts w:ascii="Times New Roman" w:hAnsi="Times New Roman" w:cs="Times New Roman"/>
          <w:noProof/>
          <w:sz w:val="24"/>
          <w:szCs w:val="24"/>
        </w:rPr>
        <w:t xml:space="preserve">Галерија уз ретроспективне приређује и повремене тематске изложбе. </w:t>
      </w:r>
    </w:p>
    <w:p w:rsidR="00092974" w:rsidRPr="000606DF" w:rsidRDefault="00092974" w:rsidP="00594010">
      <w:pPr>
        <w:pStyle w:val="Heading3"/>
        <w:rPr>
          <w:i/>
          <w:noProof/>
        </w:rPr>
      </w:pPr>
      <w:bookmarkStart w:id="12" w:name="_Toc36072288"/>
      <w:r w:rsidRPr="000606DF">
        <w:rPr>
          <w:i/>
          <w:noProof/>
        </w:rPr>
        <w:t>Градска библиотека „Карло Бијелицки“</w:t>
      </w:r>
      <w:bookmarkEnd w:id="12"/>
    </w:p>
    <w:p w:rsidR="00594010" w:rsidRPr="00594010" w:rsidRDefault="00594010" w:rsidP="00594010">
      <w:pPr>
        <w:spacing w:after="0"/>
      </w:pPr>
    </w:p>
    <w:p w:rsidR="00092974" w:rsidRDefault="00092974"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Градска библиотека „Карло Бијелицки“ основана је на Генералној</w:t>
      </w:r>
      <w:r w:rsidRPr="00092974">
        <w:rPr>
          <w:rFonts w:ascii="Times New Roman" w:hAnsi="Times New Roman" w:cs="Times New Roman"/>
          <w:noProof/>
          <w:sz w:val="24"/>
          <w:szCs w:val="24"/>
        </w:rPr>
        <w:t xml:space="preserve"> ску</w:t>
      </w:r>
      <w:r>
        <w:rPr>
          <w:rFonts w:ascii="Times New Roman" w:hAnsi="Times New Roman" w:cs="Times New Roman"/>
          <w:noProof/>
          <w:sz w:val="24"/>
          <w:szCs w:val="24"/>
        </w:rPr>
        <w:t xml:space="preserve">пштини Удружења </w:t>
      </w:r>
      <w:r w:rsidRPr="00092974">
        <w:rPr>
          <w:rFonts w:ascii="Times New Roman" w:hAnsi="Times New Roman" w:cs="Times New Roman"/>
          <w:noProof/>
          <w:sz w:val="24"/>
          <w:szCs w:val="24"/>
        </w:rPr>
        <w:t>1859. године. Она је Матична библиотека Западнобачког округа, што укључује укупно 65 библиотека и библиотечких јединица у Сомбору, Апатину, Кули и Оџацима. И</w:t>
      </w:r>
      <w:r>
        <w:rPr>
          <w:rFonts w:ascii="Times New Roman" w:hAnsi="Times New Roman" w:cs="Times New Roman"/>
          <w:noProof/>
          <w:sz w:val="24"/>
          <w:szCs w:val="24"/>
        </w:rPr>
        <w:t xml:space="preserve">ма девет одељења, 14 огранака, </w:t>
      </w:r>
      <w:r w:rsidR="001229D3">
        <w:rPr>
          <w:rFonts w:ascii="Times New Roman" w:hAnsi="Times New Roman" w:cs="Times New Roman"/>
          <w:noProof/>
          <w:sz w:val="24"/>
          <w:szCs w:val="24"/>
        </w:rPr>
        <w:t>к</w:t>
      </w:r>
      <w:r w:rsidRPr="00092974">
        <w:rPr>
          <w:rFonts w:ascii="Times New Roman" w:hAnsi="Times New Roman" w:cs="Times New Roman"/>
          <w:noProof/>
          <w:sz w:val="24"/>
          <w:szCs w:val="24"/>
        </w:rPr>
        <w:t>њиговезницу</w:t>
      </w:r>
      <w:r>
        <w:rPr>
          <w:rFonts w:ascii="Times New Roman" w:hAnsi="Times New Roman" w:cs="Times New Roman"/>
          <w:noProof/>
          <w:sz w:val="24"/>
          <w:szCs w:val="24"/>
        </w:rPr>
        <w:t xml:space="preserve"> и књижару</w:t>
      </w:r>
      <w:r w:rsidRPr="00092974">
        <w:rPr>
          <w:rFonts w:ascii="Times New Roman" w:hAnsi="Times New Roman" w:cs="Times New Roman"/>
          <w:noProof/>
          <w:sz w:val="24"/>
          <w:szCs w:val="24"/>
        </w:rPr>
        <w:t xml:space="preserve">. </w:t>
      </w:r>
      <w:r w:rsidR="000029A6">
        <w:rPr>
          <w:rFonts w:ascii="Times New Roman" w:hAnsi="Times New Roman" w:cs="Times New Roman"/>
          <w:noProof/>
          <w:sz w:val="24"/>
          <w:szCs w:val="24"/>
        </w:rPr>
        <w:t xml:space="preserve">Дечије одељење Градске библиотека налази се у посебном простору. </w:t>
      </w:r>
      <w:r>
        <w:rPr>
          <w:rFonts w:ascii="Times New Roman" w:hAnsi="Times New Roman" w:cs="Times New Roman"/>
          <w:noProof/>
          <w:sz w:val="24"/>
          <w:szCs w:val="24"/>
        </w:rPr>
        <w:t>Библиотечки фонд</w:t>
      </w:r>
      <w:r w:rsidRPr="00092974">
        <w:rPr>
          <w:rFonts w:ascii="Times New Roman" w:hAnsi="Times New Roman" w:cs="Times New Roman"/>
          <w:noProof/>
          <w:sz w:val="24"/>
          <w:szCs w:val="24"/>
        </w:rPr>
        <w:t xml:space="preserve"> броји пре</w:t>
      </w:r>
      <w:r>
        <w:rPr>
          <w:rFonts w:ascii="Times New Roman" w:hAnsi="Times New Roman" w:cs="Times New Roman"/>
          <w:noProof/>
          <w:sz w:val="24"/>
          <w:szCs w:val="24"/>
        </w:rPr>
        <w:t>ко 351.602 примерака, укључујући и</w:t>
      </w:r>
      <w:r w:rsidRPr="00092974">
        <w:rPr>
          <w:rFonts w:ascii="Times New Roman" w:hAnsi="Times New Roman" w:cs="Times New Roman"/>
          <w:noProof/>
          <w:sz w:val="24"/>
          <w:szCs w:val="24"/>
        </w:rPr>
        <w:t xml:space="preserve"> Збирку раритета од 309 књига, међу којима је најстарија Зборник Божидара Вуковића, штампан у Венецији 1538. године. </w:t>
      </w:r>
      <w:r>
        <w:rPr>
          <w:rFonts w:ascii="Times New Roman" w:hAnsi="Times New Roman" w:cs="Times New Roman"/>
          <w:noProof/>
          <w:sz w:val="24"/>
          <w:szCs w:val="24"/>
        </w:rPr>
        <w:t xml:space="preserve">Библиотека </w:t>
      </w:r>
      <w:r w:rsidR="000029A6">
        <w:rPr>
          <w:rFonts w:ascii="Times New Roman" w:hAnsi="Times New Roman" w:cs="Times New Roman"/>
          <w:noProof/>
          <w:sz w:val="24"/>
          <w:szCs w:val="24"/>
        </w:rPr>
        <w:t>има и издавачку делатност, те тако издаје часопис „Домети“ као и многе друге књиге. О</w:t>
      </w:r>
      <w:r w:rsidRPr="00092974">
        <w:rPr>
          <w:rFonts w:ascii="Times New Roman" w:hAnsi="Times New Roman" w:cs="Times New Roman"/>
          <w:noProof/>
          <w:sz w:val="24"/>
          <w:szCs w:val="24"/>
        </w:rPr>
        <w:t>рг</w:t>
      </w:r>
      <w:r w:rsidR="000029A6">
        <w:rPr>
          <w:rFonts w:ascii="Times New Roman" w:hAnsi="Times New Roman" w:cs="Times New Roman"/>
          <w:noProof/>
          <w:sz w:val="24"/>
          <w:szCs w:val="24"/>
        </w:rPr>
        <w:t>анизатор је манифестација“Вељкови дани</w:t>
      </w:r>
      <w:r w:rsidRPr="00092974">
        <w:rPr>
          <w:rFonts w:ascii="Times New Roman" w:hAnsi="Times New Roman" w:cs="Times New Roman"/>
          <w:noProof/>
          <w:sz w:val="24"/>
          <w:szCs w:val="24"/>
        </w:rPr>
        <w:t>”, “Дан Лазе Костића”,</w:t>
      </w:r>
      <w:r w:rsidR="000029A6">
        <w:rPr>
          <w:rFonts w:ascii="Times New Roman" w:hAnsi="Times New Roman" w:cs="Times New Roman"/>
          <w:noProof/>
          <w:sz w:val="24"/>
          <w:szCs w:val="24"/>
        </w:rPr>
        <w:t xml:space="preserve"> “Сомборски књижевни фестивал”и </w:t>
      </w:r>
      <w:r w:rsidRPr="00092974">
        <w:rPr>
          <w:rFonts w:ascii="Times New Roman" w:hAnsi="Times New Roman" w:cs="Times New Roman"/>
          <w:noProof/>
          <w:sz w:val="24"/>
          <w:szCs w:val="24"/>
        </w:rPr>
        <w:t>“П</w:t>
      </w:r>
      <w:r w:rsidR="000029A6">
        <w:rPr>
          <w:rFonts w:ascii="Times New Roman" w:hAnsi="Times New Roman" w:cs="Times New Roman"/>
          <w:noProof/>
          <w:sz w:val="24"/>
          <w:szCs w:val="24"/>
        </w:rPr>
        <w:t xml:space="preserve">одунавски дани Јаноша Херцега”. </w:t>
      </w:r>
    </w:p>
    <w:p w:rsidR="006A692B" w:rsidRDefault="009413BB"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Према подацима Завода за проучавање културног развитка</w:t>
      </w:r>
      <w:r w:rsidR="001229D3">
        <w:rPr>
          <w:rFonts w:ascii="Times New Roman" w:hAnsi="Times New Roman" w:cs="Times New Roman"/>
          <w:noProof/>
          <w:sz w:val="24"/>
          <w:szCs w:val="24"/>
        </w:rPr>
        <w:t xml:space="preserve"> за текућу годину</w:t>
      </w:r>
      <w:r>
        <w:rPr>
          <w:rFonts w:ascii="Times New Roman" w:hAnsi="Times New Roman" w:cs="Times New Roman"/>
          <w:noProof/>
          <w:sz w:val="24"/>
          <w:szCs w:val="24"/>
        </w:rPr>
        <w:t xml:space="preserve"> у јавним установама ку</w:t>
      </w:r>
      <w:r w:rsidR="008F6A37">
        <w:rPr>
          <w:rFonts w:ascii="Times New Roman" w:hAnsi="Times New Roman" w:cs="Times New Roman"/>
          <w:noProof/>
          <w:sz w:val="24"/>
          <w:szCs w:val="24"/>
        </w:rPr>
        <w:t xml:space="preserve">лтуре у Сомбору је запослено </w:t>
      </w:r>
      <w:r w:rsidR="006C6FB5" w:rsidRPr="006C6FB5">
        <w:rPr>
          <w:rFonts w:ascii="Times New Roman" w:hAnsi="Times New Roman" w:cs="Times New Roman"/>
          <w:noProof/>
          <w:sz w:val="24"/>
          <w:szCs w:val="24"/>
        </w:rPr>
        <w:t>125</w:t>
      </w:r>
      <w:r>
        <w:rPr>
          <w:rFonts w:ascii="Times New Roman" w:hAnsi="Times New Roman" w:cs="Times New Roman"/>
          <w:noProof/>
          <w:sz w:val="24"/>
          <w:szCs w:val="24"/>
        </w:rPr>
        <w:t xml:space="preserve"> особа.</w:t>
      </w:r>
    </w:p>
    <w:p w:rsidR="001229D3" w:rsidRDefault="001229D3" w:rsidP="00594010">
      <w:pPr>
        <w:spacing w:line="276" w:lineRule="auto"/>
        <w:ind w:firstLine="720"/>
        <w:jc w:val="both"/>
        <w:rPr>
          <w:rFonts w:ascii="Times New Roman" w:hAnsi="Times New Roman" w:cs="Times New Roman"/>
          <w:noProof/>
          <w:sz w:val="24"/>
          <w:szCs w:val="24"/>
        </w:rPr>
      </w:pPr>
    </w:p>
    <w:p w:rsidR="000606DF" w:rsidRDefault="000606DF" w:rsidP="00594010">
      <w:pPr>
        <w:spacing w:line="276" w:lineRule="auto"/>
        <w:ind w:firstLine="720"/>
        <w:jc w:val="both"/>
        <w:rPr>
          <w:rFonts w:ascii="Times New Roman" w:hAnsi="Times New Roman" w:cs="Times New Roman"/>
          <w:noProof/>
          <w:sz w:val="24"/>
          <w:szCs w:val="24"/>
        </w:rPr>
      </w:pPr>
    </w:p>
    <w:p w:rsidR="000606DF" w:rsidRDefault="000606DF" w:rsidP="00594010">
      <w:pPr>
        <w:spacing w:line="276" w:lineRule="auto"/>
        <w:ind w:firstLine="720"/>
        <w:jc w:val="both"/>
        <w:rPr>
          <w:rFonts w:ascii="Times New Roman" w:hAnsi="Times New Roman" w:cs="Times New Roman"/>
          <w:noProof/>
          <w:sz w:val="24"/>
          <w:szCs w:val="24"/>
        </w:rPr>
      </w:pPr>
    </w:p>
    <w:p w:rsidR="003B6EBA" w:rsidRDefault="006A692B" w:rsidP="006A692B">
      <w:pPr>
        <w:spacing w:after="0" w:line="276" w:lineRule="auto"/>
        <w:jc w:val="both"/>
        <w:rPr>
          <w:rFonts w:ascii="Times New Roman" w:hAnsi="Times New Roman" w:cs="Times New Roman"/>
          <w:b/>
          <w:noProof/>
          <w:sz w:val="24"/>
          <w:szCs w:val="24"/>
        </w:rPr>
      </w:pPr>
      <w:r w:rsidRPr="006A692B">
        <w:rPr>
          <w:rFonts w:ascii="Times New Roman" w:hAnsi="Times New Roman" w:cs="Times New Roman"/>
          <w:b/>
          <w:noProof/>
          <w:sz w:val="24"/>
          <w:szCs w:val="24"/>
        </w:rPr>
        <w:t>Табела 1: Запослени у установама културе</w:t>
      </w:r>
    </w:p>
    <w:tbl>
      <w:tblPr>
        <w:tblStyle w:val="GridTable4Accent1"/>
        <w:tblW w:w="0" w:type="auto"/>
        <w:tblLook w:val="04A0"/>
      </w:tblPr>
      <w:tblGrid>
        <w:gridCol w:w="421"/>
        <w:gridCol w:w="3543"/>
        <w:gridCol w:w="5386"/>
      </w:tblGrid>
      <w:tr w:rsidR="000606DF" w:rsidRPr="000606DF" w:rsidTr="000606DF">
        <w:trPr>
          <w:cnfStyle w:val="100000000000"/>
        </w:trPr>
        <w:tc>
          <w:tcPr>
            <w:cnfStyle w:val="001000000000"/>
            <w:tcW w:w="421" w:type="dxa"/>
          </w:tcPr>
          <w:p w:rsidR="000606DF" w:rsidRPr="000606DF" w:rsidRDefault="000606DF" w:rsidP="000606DF">
            <w:pPr>
              <w:spacing w:line="276" w:lineRule="auto"/>
              <w:jc w:val="center"/>
              <w:rPr>
                <w:rFonts w:ascii="Times New Roman" w:hAnsi="Times New Roman" w:cs="Times New Roman"/>
                <w:b w:val="0"/>
                <w:noProof/>
                <w:sz w:val="24"/>
                <w:szCs w:val="24"/>
              </w:rPr>
            </w:pPr>
          </w:p>
        </w:tc>
        <w:tc>
          <w:tcPr>
            <w:tcW w:w="3543" w:type="dxa"/>
            <w:vAlign w:val="center"/>
          </w:tcPr>
          <w:p w:rsidR="000606DF" w:rsidRPr="000606DF" w:rsidRDefault="000606DF" w:rsidP="000606DF">
            <w:pPr>
              <w:spacing w:line="276" w:lineRule="auto"/>
              <w:jc w:val="center"/>
              <w:cnfStyle w:val="100000000000"/>
              <w:rPr>
                <w:rFonts w:ascii="Times New Roman" w:hAnsi="Times New Roman" w:cs="Times New Roman"/>
                <w:b w:val="0"/>
                <w:noProof/>
                <w:sz w:val="24"/>
                <w:szCs w:val="24"/>
              </w:rPr>
            </w:pPr>
            <w:r w:rsidRPr="000606DF">
              <w:rPr>
                <w:rFonts w:ascii="Times New Roman" w:eastAsia="Times New Roman" w:hAnsi="Times New Roman" w:cs="Times New Roman"/>
                <w:noProof/>
              </w:rPr>
              <w:t>Назив установе</w:t>
            </w:r>
          </w:p>
        </w:tc>
        <w:tc>
          <w:tcPr>
            <w:tcW w:w="5386" w:type="dxa"/>
            <w:vAlign w:val="center"/>
          </w:tcPr>
          <w:p w:rsidR="000606DF" w:rsidRPr="000606DF" w:rsidRDefault="000606DF" w:rsidP="000606DF">
            <w:pPr>
              <w:spacing w:line="276" w:lineRule="auto"/>
              <w:jc w:val="center"/>
              <w:cnfStyle w:val="100000000000"/>
              <w:rPr>
                <w:rFonts w:ascii="Times New Roman" w:hAnsi="Times New Roman" w:cs="Times New Roman"/>
                <w:b w:val="0"/>
                <w:noProof/>
                <w:sz w:val="24"/>
                <w:szCs w:val="24"/>
              </w:rPr>
            </w:pPr>
            <w:r w:rsidRPr="000606DF">
              <w:rPr>
                <w:rFonts w:ascii="Times New Roman" w:eastAsia="Times New Roman" w:hAnsi="Times New Roman" w:cs="Times New Roman"/>
                <w:noProof/>
              </w:rPr>
              <w:t>Број запослених (неодређено+ одређено)</w:t>
            </w:r>
          </w:p>
        </w:tc>
      </w:tr>
      <w:tr w:rsidR="000606DF" w:rsidRPr="000606DF" w:rsidTr="000606DF">
        <w:trPr>
          <w:cnfStyle w:val="000000100000"/>
        </w:trPr>
        <w:tc>
          <w:tcPr>
            <w:cnfStyle w:val="001000000000"/>
            <w:tcW w:w="421" w:type="dxa"/>
            <w:vAlign w:val="center"/>
          </w:tcPr>
          <w:p w:rsidR="000606DF" w:rsidRPr="000606DF" w:rsidRDefault="000606DF" w:rsidP="000606DF">
            <w:pPr>
              <w:spacing w:line="276" w:lineRule="auto"/>
              <w:jc w:val="center"/>
              <w:rPr>
                <w:rFonts w:ascii="Times New Roman" w:hAnsi="Times New Roman" w:cs="Times New Roman"/>
                <w:b w:val="0"/>
                <w:noProof/>
                <w:sz w:val="24"/>
                <w:szCs w:val="24"/>
              </w:rPr>
            </w:pPr>
            <w:r w:rsidRPr="000606DF">
              <w:rPr>
                <w:rFonts w:ascii="Times New Roman" w:eastAsia="Times New Roman" w:hAnsi="Times New Roman" w:cs="Times New Roman"/>
                <w:noProof/>
              </w:rPr>
              <w:t>1</w:t>
            </w:r>
          </w:p>
        </w:tc>
        <w:tc>
          <w:tcPr>
            <w:tcW w:w="3543" w:type="dxa"/>
            <w:vAlign w:val="center"/>
          </w:tcPr>
          <w:p w:rsidR="000606DF" w:rsidRPr="000606DF" w:rsidRDefault="000606DF" w:rsidP="000606DF">
            <w:pPr>
              <w:spacing w:line="276" w:lineRule="auto"/>
              <w:jc w:val="center"/>
              <w:cnfStyle w:val="000000100000"/>
              <w:rPr>
                <w:rFonts w:ascii="Times New Roman" w:hAnsi="Times New Roman" w:cs="Times New Roman"/>
                <w:b/>
                <w:noProof/>
                <w:sz w:val="24"/>
                <w:szCs w:val="24"/>
              </w:rPr>
            </w:pPr>
            <w:r w:rsidRPr="000606DF">
              <w:rPr>
                <w:rFonts w:ascii="Times New Roman" w:eastAsia="Times New Roman" w:hAnsi="Times New Roman" w:cs="Times New Roman"/>
              </w:rPr>
              <w:t>Народно позориште Сомбор</w:t>
            </w:r>
          </w:p>
        </w:tc>
        <w:tc>
          <w:tcPr>
            <w:tcW w:w="5386" w:type="dxa"/>
            <w:vAlign w:val="center"/>
          </w:tcPr>
          <w:p w:rsidR="000606DF" w:rsidRPr="000606DF" w:rsidRDefault="000606DF" w:rsidP="000606DF">
            <w:pPr>
              <w:spacing w:line="276" w:lineRule="auto"/>
              <w:jc w:val="center"/>
              <w:cnfStyle w:val="000000100000"/>
              <w:rPr>
                <w:rFonts w:ascii="Times New Roman" w:hAnsi="Times New Roman" w:cs="Times New Roman"/>
                <w:b/>
                <w:noProof/>
                <w:sz w:val="24"/>
                <w:szCs w:val="24"/>
              </w:rPr>
            </w:pPr>
            <w:r w:rsidRPr="000606DF">
              <w:rPr>
                <w:rFonts w:ascii="Times New Roman" w:eastAsia="Times New Roman" w:hAnsi="Times New Roman" w:cs="Times New Roman"/>
                <w:noProof/>
              </w:rPr>
              <w:t>37+11</w:t>
            </w:r>
          </w:p>
        </w:tc>
      </w:tr>
      <w:tr w:rsidR="000606DF" w:rsidRPr="000606DF" w:rsidTr="000606DF">
        <w:tc>
          <w:tcPr>
            <w:cnfStyle w:val="001000000000"/>
            <w:tcW w:w="421" w:type="dxa"/>
            <w:vAlign w:val="center"/>
          </w:tcPr>
          <w:p w:rsidR="000606DF" w:rsidRPr="000606DF" w:rsidRDefault="000606DF" w:rsidP="000606DF">
            <w:pPr>
              <w:spacing w:line="276" w:lineRule="auto"/>
              <w:jc w:val="center"/>
              <w:rPr>
                <w:rFonts w:ascii="Times New Roman" w:hAnsi="Times New Roman" w:cs="Times New Roman"/>
                <w:b w:val="0"/>
                <w:noProof/>
                <w:sz w:val="24"/>
                <w:szCs w:val="24"/>
              </w:rPr>
            </w:pPr>
            <w:r w:rsidRPr="000606DF">
              <w:rPr>
                <w:rFonts w:ascii="Times New Roman" w:eastAsia="Times New Roman" w:hAnsi="Times New Roman" w:cs="Times New Roman"/>
                <w:noProof/>
              </w:rPr>
              <w:t>2</w:t>
            </w:r>
          </w:p>
        </w:tc>
        <w:tc>
          <w:tcPr>
            <w:tcW w:w="3543" w:type="dxa"/>
            <w:vAlign w:val="center"/>
          </w:tcPr>
          <w:p w:rsidR="000606DF" w:rsidRPr="000606DF" w:rsidRDefault="000606DF" w:rsidP="000606DF">
            <w:pPr>
              <w:spacing w:line="276" w:lineRule="auto"/>
              <w:jc w:val="center"/>
              <w:cnfStyle w:val="000000000000"/>
              <w:rPr>
                <w:rFonts w:ascii="Times New Roman" w:hAnsi="Times New Roman" w:cs="Times New Roman"/>
                <w:b/>
                <w:noProof/>
                <w:sz w:val="24"/>
                <w:szCs w:val="24"/>
              </w:rPr>
            </w:pPr>
            <w:r w:rsidRPr="000606DF">
              <w:rPr>
                <w:rFonts w:ascii="Times New Roman" w:eastAsia="Times New Roman" w:hAnsi="Times New Roman" w:cs="Times New Roman"/>
              </w:rPr>
              <w:t>Градска библ. „К. Бијелицки“</w:t>
            </w:r>
          </w:p>
        </w:tc>
        <w:tc>
          <w:tcPr>
            <w:tcW w:w="5386" w:type="dxa"/>
            <w:vAlign w:val="center"/>
          </w:tcPr>
          <w:p w:rsidR="000606DF" w:rsidRPr="000606DF" w:rsidRDefault="000606DF" w:rsidP="000606DF">
            <w:pPr>
              <w:spacing w:line="276" w:lineRule="auto"/>
              <w:jc w:val="center"/>
              <w:cnfStyle w:val="000000000000"/>
              <w:rPr>
                <w:rFonts w:ascii="Times New Roman" w:hAnsi="Times New Roman" w:cs="Times New Roman"/>
                <w:b/>
                <w:noProof/>
                <w:sz w:val="24"/>
                <w:szCs w:val="24"/>
              </w:rPr>
            </w:pPr>
            <w:r w:rsidRPr="000606DF">
              <w:rPr>
                <w:rFonts w:ascii="Times New Roman" w:eastAsia="Times New Roman" w:hAnsi="Times New Roman" w:cs="Times New Roman"/>
                <w:noProof/>
              </w:rPr>
              <w:t>30+2</w:t>
            </w:r>
          </w:p>
        </w:tc>
      </w:tr>
      <w:tr w:rsidR="000606DF" w:rsidRPr="000606DF" w:rsidTr="000606DF">
        <w:trPr>
          <w:cnfStyle w:val="000000100000"/>
        </w:trPr>
        <w:tc>
          <w:tcPr>
            <w:cnfStyle w:val="001000000000"/>
            <w:tcW w:w="421" w:type="dxa"/>
            <w:vAlign w:val="center"/>
          </w:tcPr>
          <w:p w:rsidR="000606DF" w:rsidRPr="000606DF" w:rsidRDefault="000606DF" w:rsidP="000606DF">
            <w:pPr>
              <w:spacing w:line="276" w:lineRule="auto"/>
              <w:jc w:val="center"/>
              <w:rPr>
                <w:rFonts w:ascii="Times New Roman" w:hAnsi="Times New Roman" w:cs="Times New Roman"/>
                <w:b w:val="0"/>
                <w:noProof/>
                <w:sz w:val="24"/>
                <w:szCs w:val="24"/>
              </w:rPr>
            </w:pPr>
            <w:r w:rsidRPr="000606DF">
              <w:rPr>
                <w:rFonts w:ascii="Times New Roman" w:eastAsia="Times New Roman" w:hAnsi="Times New Roman" w:cs="Times New Roman"/>
                <w:noProof/>
              </w:rPr>
              <w:t>3</w:t>
            </w:r>
          </w:p>
        </w:tc>
        <w:tc>
          <w:tcPr>
            <w:tcW w:w="3543" w:type="dxa"/>
            <w:vAlign w:val="center"/>
          </w:tcPr>
          <w:p w:rsidR="000606DF" w:rsidRPr="000606DF" w:rsidRDefault="000606DF" w:rsidP="000606DF">
            <w:pPr>
              <w:spacing w:line="276" w:lineRule="auto"/>
              <w:jc w:val="center"/>
              <w:cnfStyle w:val="000000100000"/>
              <w:rPr>
                <w:rFonts w:ascii="Times New Roman" w:hAnsi="Times New Roman" w:cs="Times New Roman"/>
                <w:b/>
                <w:noProof/>
                <w:sz w:val="24"/>
                <w:szCs w:val="24"/>
              </w:rPr>
            </w:pPr>
            <w:r w:rsidRPr="000606DF">
              <w:rPr>
                <w:rFonts w:ascii="Times New Roman" w:eastAsia="Times New Roman" w:hAnsi="Times New Roman" w:cs="Times New Roman"/>
              </w:rPr>
              <w:t>Градски музеј Сомбор</w:t>
            </w:r>
          </w:p>
        </w:tc>
        <w:tc>
          <w:tcPr>
            <w:tcW w:w="5386" w:type="dxa"/>
            <w:vAlign w:val="center"/>
          </w:tcPr>
          <w:p w:rsidR="000606DF" w:rsidRPr="000606DF" w:rsidRDefault="000606DF" w:rsidP="000606DF">
            <w:pPr>
              <w:spacing w:line="276" w:lineRule="auto"/>
              <w:jc w:val="center"/>
              <w:cnfStyle w:val="000000100000"/>
              <w:rPr>
                <w:rFonts w:ascii="Times New Roman" w:hAnsi="Times New Roman" w:cs="Times New Roman"/>
                <w:b/>
                <w:noProof/>
                <w:sz w:val="24"/>
                <w:szCs w:val="24"/>
              </w:rPr>
            </w:pPr>
            <w:r w:rsidRPr="000606DF">
              <w:rPr>
                <w:rFonts w:ascii="Times New Roman" w:eastAsia="Times New Roman" w:hAnsi="Times New Roman" w:cs="Times New Roman"/>
                <w:noProof/>
              </w:rPr>
              <w:t>12+2</w:t>
            </w:r>
          </w:p>
        </w:tc>
      </w:tr>
      <w:tr w:rsidR="000606DF" w:rsidRPr="000606DF" w:rsidTr="000606DF">
        <w:tc>
          <w:tcPr>
            <w:cnfStyle w:val="001000000000"/>
            <w:tcW w:w="421" w:type="dxa"/>
            <w:vAlign w:val="center"/>
          </w:tcPr>
          <w:p w:rsidR="000606DF" w:rsidRPr="000606DF" w:rsidRDefault="000606DF" w:rsidP="000606DF">
            <w:pPr>
              <w:spacing w:line="276" w:lineRule="auto"/>
              <w:jc w:val="center"/>
              <w:rPr>
                <w:rFonts w:ascii="Times New Roman" w:hAnsi="Times New Roman" w:cs="Times New Roman"/>
                <w:b w:val="0"/>
                <w:noProof/>
                <w:sz w:val="24"/>
                <w:szCs w:val="24"/>
              </w:rPr>
            </w:pPr>
            <w:r w:rsidRPr="000606DF">
              <w:rPr>
                <w:rFonts w:ascii="Times New Roman" w:eastAsia="Times New Roman" w:hAnsi="Times New Roman" w:cs="Times New Roman"/>
                <w:noProof/>
              </w:rPr>
              <w:t>4</w:t>
            </w:r>
          </w:p>
        </w:tc>
        <w:tc>
          <w:tcPr>
            <w:tcW w:w="3543" w:type="dxa"/>
            <w:vAlign w:val="center"/>
          </w:tcPr>
          <w:p w:rsidR="000606DF" w:rsidRPr="000606DF" w:rsidRDefault="000606DF" w:rsidP="000606DF">
            <w:pPr>
              <w:spacing w:line="276" w:lineRule="auto"/>
              <w:jc w:val="center"/>
              <w:cnfStyle w:val="000000000000"/>
              <w:rPr>
                <w:rFonts w:ascii="Times New Roman" w:hAnsi="Times New Roman" w:cs="Times New Roman"/>
                <w:b/>
                <w:noProof/>
                <w:sz w:val="24"/>
                <w:szCs w:val="24"/>
              </w:rPr>
            </w:pPr>
            <w:r w:rsidRPr="000606DF">
              <w:rPr>
                <w:rFonts w:ascii="Times New Roman" w:eastAsia="Times New Roman" w:hAnsi="Times New Roman" w:cs="Times New Roman"/>
              </w:rPr>
              <w:t>Историјски архив Сомбор</w:t>
            </w:r>
          </w:p>
        </w:tc>
        <w:tc>
          <w:tcPr>
            <w:tcW w:w="5386" w:type="dxa"/>
            <w:vAlign w:val="center"/>
          </w:tcPr>
          <w:p w:rsidR="000606DF" w:rsidRPr="000606DF" w:rsidRDefault="000606DF" w:rsidP="000606DF">
            <w:pPr>
              <w:spacing w:line="276" w:lineRule="auto"/>
              <w:jc w:val="center"/>
              <w:cnfStyle w:val="000000000000"/>
              <w:rPr>
                <w:rFonts w:ascii="Times New Roman" w:hAnsi="Times New Roman" w:cs="Times New Roman"/>
                <w:b/>
                <w:noProof/>
                <w:sz w:val="24"/>
                <w:szCs w:val="24"/>
              </w:rPr>
            </w:pPr>
            <w:r w:rsidRPr="000606DF">
              <w:rPr>
                <w:rFonts w:ascii="Times New Roman" w:eastAsia="Times New Roman" w:hAnsi="Times New Roman" w:cs="Times New Roman"/>
                <w:noProof/>
              </w:rPr>
              <w:t>11+1</w:t>
            </w:r>
          </w:p>
        </w:tc>
      </w:tr>
      <w:tr w:rsidR="000606DF" w:rsidRPr="000606DF" w:rsidTr="000606DF">
        <w:trPr>
          <w:cnfStyle w:val="000000100000"/>
        </w:trPr>
        <w:tc>
          <w:tcPr>
            <w:cnfStyle w:val="001000000000"/>
            <w:tcW w:w="421" w:type="dxa"/>
            <w:vAlign w:val="center"/>
          </w:tcPr>
          <w:p w:rsidR="000606DF" w:rsidRPr="000606DF" w:rsidRDefault="000606DF" w:rsidP="000606DF">
            <w:pPr>
              <w:spacing w:line="276" w:lineRule="auto"/>
              <w:jc w:val="center"/>
              <w:rPr>
                <w:rFonts w:ascii="Times New Roman" w:hAnsi="Times New Roman" w:cs="Times New Roman"/>
                <w:b w:val="0"/>
                <w:noProof/>
                <w:sz w:val="24"/>
                <w:szCs w:val="24"/>
              </w:rPr>
            </w:pPr>
            <w:r w:rsidRPr="000606DF">
              <w:rPr>
                <w:rFonts w:ascii="Times New Roman" w:eastAsia="Times New Roman" w:hAnsi="Times New Roman" w:cs="Times New Roman"/>
                <w:noProof/>
              </w:rPr>
              <w:t>5</w:t>
            </w:r>
          </w:p>
        </w:tc>
        <w:tc>
          <w:tcPr>
            <w:tcW w:w="3543" w:type="dxa"/>
            <w:vAlign w:val="center"/>
          </w:tcPr>
          <w:p w:rsidR="000606DF" w:rsidRPr="000606DF" w:rsidRDefault="000606DF" w:rsidP="000606DF">
            <w:pPr>
              <w:spacing w:line="276" w:lineRule="auto"/>
              <w:jc w:val="center"/>
              <w:cnfStyle w:val="000000100000"/>
              <w:rPr>
                <w:rFonts w:ascii="Times New Roman" w:hAnsi="Times New Roman" w:cs="Times New Roman"/>
                <w:b/>
                <w:noProof/>
                <w:sz w:val="24"/>
                <w:szCs w:val="24"/>
              </w:rPr>
            </w:pPr>
            <w:r w:rsidRPr="000606DF">
              <w:rPr>
                <w:rFonts w:ascii="Times New Roman" w:eastAsia="Times New Roman" w:hAnsi="Times New Roman" w:cs="Times New Roman"/>
              </w:rPr>
              <w:t>Галерија „Милан Коњовић“</w:t>
            </w:r>
          </w:p>
        </w:tc>
        <w:tc>
          <w:tcPr>
            <w:tcW w:w="5386" w:type="dxa"/>
            <w:vAlign w:val="center"/>
          </w:tcPr>
          <w:p w:rsidR="000606DF" w:rsidRPr="000606DF" w:rsidRDefault="000606DF" w:rsidP="000606DF">
            <w:pPr>
              <w:spacing w:line="276" w:lineRule="auto"/>
              <w:jc w:val="center"/>
              <w:cnfStyle w:val="000000100000"/>
              <w:rPr>
                <w:rFonts w:ascii="Times New Roman" w:hAnsi="Times New Roman" w:cs="Times New Roman"/>
                <w:b/>
                <w:noProof/>
                <w:sz w:val="24"/>
                <w:szCs w:val="24"/>
              </w:rPr>
            </w:pPr>
            <w:r w:rsidRPr="000606DF">
              <w:rPr>
                <w:rFonts w:ascii="Times New Roman" w:eastAsia="Times New Roman" w:hAnsi="Times New Roman" w:cs="Times New Roman"/>
                <w:noProof/>
              </w:rPr>
              <w:t>6+0</w:t>
            </w:r>
          </w:p>
        </w:tc>
      </w:tr>
      <w:tr w:rsidR="000606DF" w:rsidRPr="000606DF" w:rsidTr="000606DF">
        <w:tc>
          <w:tcPr>
            <w:cnfStyle w:val="001000000000"/>
            <w:tcW w:w="421" w:type="dxa"/>
            <w:vAlign w:val="center"/>
          </w:tcPr>
          <w:p w:rsidR="000606DF" w:rsidRPr="000606DF" w:rsidRDefault="000606DF" w:rsidP="000606DF">
            <w:pPr>
              <w:spacing w:line="276" w:lineRule="auto"/>
              <w:jc w:val="center"/>
              <w:rPr>
                <w:rFonts w:ascii="Times New Roman" w:hAnsi="Times New Roman" w:cs="Times New Roman"/>
                <w:b w:val="0"/>
                <w:noProof/>
                <w:sz w:val="24"/>
                <w:szCs w:val="24"/>
              </w:rPr>
            </w:pPr>
            <w:r w:rsidRPr="000606DF">
              <w:rPr>
                <w:rFonts w:ascii="Times New Roman" w:eastAsia="Times New Roman" w:hAnsi="Times New Roman" w:cs="Times New Roman"/>
                <w:noProof/>
              </w:rPr>
              <w:t>6</w:t>
            </w:r>
          </w:p>
        </w:tc>
        <w:tc>
          <w:tcPr>
            <w:tcW w:w="3543" w:type="dxa"/>
            <w:vAlign w:val="center"/>
          </w:tcPr>
          <w:p w:rsidR="000606DF" w:rsidRPr="000606DF" w:rsidRDefault="000606DF" w:rsidP="000606DF">
            <w:pPr>
              <w:spacing w:line="276" w:lineRule="auto"/>
              <w:jc w:val="center"/>
              <w:cnfStyle w:val="000000000000"/>
              <w:rPr>
                <w:rFonts w:ascii="Times New Roman" w:hAnsi="Times New Roman" w:cs="Times New Roman"/>
                <w:noProof/>
                <w:sz w:val="24"/>
                <w:szCs w:val="24"/>
              </w:rPr>
            </w:pPr>
            <w:r w:rsidRPr="000606DF">
              <w:rPr>
                <w:rFonts w:ascii="Times New Roman" w:eastAsia="Times New Roman" w:hAnsi="Times New Roman" w:cs="Times New Roman"/>
                <w:bCs/>
              </w:rPr>
              <w:t>Културни центар „Лаза Костић“</w:t>
            </w:r>
          </w:p>
        </w:tc>
        <w:tc>
          <w:tcPr>
            <w:tcW w:w="5386" w:type="dxa"/>
            <w:vAlign w:val="center"/>
          </w:tcPr>
          <w:p w:rsidR="000606DF" w:rsidRPr="000606DF" w:rsidRDefault="000606DF" w:rsidP="000606DF">
            <w:pPr>
              <w:spacing w:line="276" w:lineRule="auto"/>
              <w:jc w:val="center"/>
              <w:cnfStyle w:val="000000000000"/>
              <w:rPr>
                <w:rFonts w:ascii="Times New Roman" w:hAnsi="Times New Roman" w:cs="Times New Roman"/>
                <w:b/>
                <w:noProof/>
                <w:sz w:val="24"/>
                <w:szCs w:val="24"/>
              </w:rPr>
            </w:pPr>
            <w:r w:rsidRPr="000606DF">
              <w:rPr>
                <w:rFonts w:ascii="Times New Roman" w:eastAsia="Times New Roman" w:hAnsi="Times New Roman" w:cs="Times New Roman"/>
                <w:noProof/>
                <w:lang/>
              </w:rPr>
              <w:t>6+1 (6 ангажовано преко агенције)</w:t>
            </w:r>
          </w:p>
        </w:tc>
      </w:tr>
    </w:tbl>
    <w:p w:rsidR="000606DF" w:rsidRDefault="000606DF" w:rsidP="006A692B">
      <w:pPr>
        <w:spacing w:after="0" w:line="276" w:lineRule="auto"/>
        <w:jc w:val="both"/>
        <w:rPr>
          <w:rFonts w:ascii="Times New Roman" w:hAnsi="Times New Roman" w:cs="Times New Roman"/>
          <w:b/>
          <w:noProof/>
          <w:sz w:val="24"/>
          <w:szCs w:val="24"/>
        </w:rPr>
      </w:pPr>
    </w:p>
    <w:p w:rsidR="00820877" w:rsidRPr="00820877" w:rsidRDefault="009413BB" w:rsidP="00594010">
      <w:pPr>
        <w:spacing w:line="276" w:lineRule="auto"/>
        <w:ind w:firstLine="720"/>
        <w:jc w:val="both"/>
        <w:rPr>
          <w:rFonts w:ascii="Times New Roman" w:hAnsi="Times New Roman" w:cs="Times New Roman"/>
          <w:noProof/>
          <w:sz w:val="24"/>
          <w:szCs w:val="24"/>
        </w:rPr>
      </w:pPr>
      <w:r w:rsidRPr="009413BB">
        <w:rPr>
          <w:rFonts w:ascii="Times New Roman" w:hAnsi="Times New Roman" w:cs="Times New Roman"/>
          <w:noProof/>
          <w:sz w:val="24"/>
          <w:szCs w:val="24"/>
        </w:rPr>
        <w:t>Од ступања на снагу Закона о начину одређивања максималног б</w:t>
      </w:r>
      <w:r>
        <w:rPr>
          <w:rFonts w:ascii="Times New Roman" w:hAnsi="Times New Roman" w:cs="Times New Roman"/>
          <w:noProof/>
          <w:sz w:val="24"/>
          <w:szCs w:val="24"/>
        </w:rPr>
        <w:t>роја запослених у јавном сектору</w:t>
      </w:r>
      <w:r>
        <w:rPr>
          <w:rStyle w:val="FootnoteReference"/>
          <w:rFonts w:ascii="Times New Roman" w:hAnsi="Times New Roman" w:cs="Times New Roman"/>
          <w:noProof/>
          <w:sz w:val="24"/>
          <w:szCs w:val="24"/>
        </w:rPr>
        <w:footnoteReference w:id="15"/>
      </w:r>
      <w:r w:rsidR="00F6475D">
        <w:rPr>
          <w:rFonts w:ascii="Times New Roman" w:hAnsi="Times New Roman" w:cs="Times New Roman"/>
          <w:noProof/>
          <w:sz w:val="24"/>
          <w:szCs w:val="24"/>
        </w:rPr>
        <w:t>, с</w:t>
      </w:r>
      <w:r w:rsidRPr="009413BB">
        <w:rPr>
          <w:rFonts w:ascii="Times New Roman" w:hAnsi="Times New Roman" w:cs="Times New Roman"/>
          <w:noProof/>
          <w:sz w:val="24"/>
          <w:szCs w:val="24"/>
        </w:rPr>
        <w:t>ходно Одлуци о максималном броју запослених на неодређено време</w:t>
      </w:r>
      <w:r w:rsidR="00F6475D">
        <w:rPr>
          <w:rStyle w:val="FootnoteReference"/>
          <w:rFonts w:ascii="Times New Roman" w:hAnsi="Times New Roman" w:cs="Times New Roman"/>
          <w:noProof/>
          <w:sz w:val="24"/>
          <w:szCs w:val="24"/>
        </w:rPr>
        <w:footnoteReference w:id="16"/>
      </w:r>
      <w:r w:rsidRPr="009413BB">
        <w:rPr>
          <w:rFonts w:ascii="Times New Roman" w:hAnsi="Times New Roman" w:cs="Times New Roman"/>
          <w:noProof/>
          <w:sz w:val="24"/>
          <w:szCs w:val="24"/>
        </w:rPr>
        <w:t>,</w:t>
      </w:r>
      <w:r w:rsidR="00F6475D">
        <w:rPr>
          <w:rFonts w:ascii="Times New Roman" w:hAnsi="Times New Roman" w:cs="Times New Roman"/>
          <w:noProof/>
          <w:sz w:val="24"/>
          <w:szCs w:val="24"/>
        </w:rPr>
        <w:t xml:space="preserve"> умањен је број</w:t>
      </w:r>
      <w:r w:rsidR="00A44878">
        <w:rPr>
          <w:rFonts w:ascii="Times New Roman" w:hAnsi="Times New Roman" w:cs="Times New Roman"/>
          <w:noProof/>
          <w:sz w:val="24"/>
          <w:szCs w:val="24"/>
        </w:rPr>
        <w:t xml:space="preserve"> запослених у</w:t>
      </w:r>
      <w:r w:rsidR="00A14E3D">
        <w:rPr>
          <w:rFonts w:ascii="Times New Roman" w:hAnsi="Times New Roman" w:cs="Times New Roman"/>
          <w:noProof/>
          <w:sz w:val="24"/>
          <w:szCs w:val="24"/>
        </w:rPr>
        <w:t xml:space="preserve"> култури у Сомбору</w:t>
      </w:r>
      <w:r w:rsidR="00A14E3D">
        <w:rPr>
          <w:rFonts w:ascii="Times New Roman" w:hAnsi="Times New Roman" w:cs="Times New Roman"/>
          <w:noProof/>
          <w:sz w:val="24"/>
          <w:szCs w:val="24"/>
          <w:lang/>
        </w:rPr>
        <w:t xml:space="preserve">. У </w:t>
      </w:r>
      <w:r w:rsidR="00E538B8">
        <w:rPr>
          <w:rFonts w:ascii="Times New Roman" w:hAnsi="Times New Roman" w:cs="Times New Roman"/>
          <w:noProof/>
          <w:sz w:val="24"/>
          <w:szCs w:val="24"/>
        </w:rPr>
        <w:t>упитнику за запослене као највећи проблем установама истакнут</w:t>
      </w:r>
      <w:r w:rsidR="00A14E3D">
        <w:rPr>
          <w:rFonts w:ascii="Times New Roman" w:hAnsi="Times New Roman" w:cs="Times New Roman"/>
          <w:noProof/>
          <w:sz w:val="24"/>
          <w:szCs w:val="24"/>
          <w:lang/>
        </w:rPr>
        <w:t xml:space="preserve"> је </w:t>
      </w:r>
      <w:r w:rsidR="00E538B8">
        <w:rPr>
          <w:rFonts w:ascii="Times New Roman" w:hAnsi="Times New Roman" w:cs="Times New Roman"/>
          <w:noProof/>
          <w:sz w:val="24"/>
          <w:szCs w:val="24"/>
        </w:rPr>
        <w:t>недовољан број</w:t>
      </w:r>
      <w:r w:rsidR="00820877">
        <w:rPr>
          <w:rFonts w:ascii="Times New Roman" w:hAnsi="Times New Roman" w:cs="Times New Roman"/>
          <w:noProof/>
          <w:sz w:val="24"/>
          <w:szCs w:val="24"/>
        </w:rPr>
        <w:t xml:space="preserve"> запослених иако је стручност кадрова оцењена највишом оценом</w:t>
      </w:r>
      <w:r w:rsidR="00820877">
        <w:rPr>
          <w:rStyle w:val="FootnoteReference"/>
          <w:rFonts w:ascii="Times New Roman" w:hAnsi="Times New Roman" w:cs="Times New Roman"/>
          <w:noProof/>
          <w:sz w:val="24"/>
          <w:szCs w:val="24"/>
        </w:rPr>
        <w:footnoteReference w:id="17"/>
      </w:r>
      <w:r w:rsidR="00A14E3D">
        <w:rPr>
          <w:rFonts w:ascii="Times New Roman" w:hAnsi="Times New Roman" w:cs="Times New Roman"/>
          <w:noProof/>
          <w:sz w:val="24"/>
          <w:szCs w:val="24"/>
          <w:lang/>
        </w:rPr>
        <w:t xml:space="preserve">. </w:t>
      </w:r>
      <w:r w:rsidR="00A44878">
        <w:rPr>
          <w:rFonts w:ascii="Times New Roman" w:hAnsi="Times New Roman" w:cs="Times New Roman"/>
          <w:noProof/>
          <w:sz w:val="24"/>
          <w:szCs w:val="24"/>
        </w:rPr>
        <w:t>Највећи број запослених је отпуштен у Градској библиотеци.</w:t>
      </w:r>
      <w:r w:rsidRPr="009413BB">
        <w:rPr>
          <w:rFonts w:ascii="Times New Roman" w:hAnsi="Times New Roman" w:cs="Times New Roman"/>
          <w:noProof/>
          <w:sz w:val="24"/>
          <w:szCs w:val="24"/>
        </w:rPr>
        <w:t xml:space="preserve"> Ограничења која важе за ангажовање лица на одређено време довела су до тога да је постојећи кадар оптерећен обављањем активности за више људи, па чак и оних које нису у њиховој надлежности, нити одговарају њиховој професији. </w:t>
      </w:r>
      <w:r w:rsidR="00D53B1A" w:rsidRPr="00D53B1A">
        <w:rPr>
          <w:rFonts w:ascii="Times New Roman" w:hAnsi="Times New Roman" w:cs="Times New Roman"/>
          <w:noProof/>
          <w:sz w:val="24"/>
          <w:szCs w:val="24"/>
        </w:rPr>
        <w:t xml:space="preserve">Поред запошљавања на одређено поједине установе културе ангажују повремено и волонтере који обављају део посла стручних служби у установама културе. Рационализација радних места довела је до тога да немају све установе културе општу службу, већ су за те послове ангажоване агенције или запослени у Градској управи. </w:t>
      </w:r>
      <w:r w:rsidR="00820877">
        <w:rPr>
          <w:rFonts w:ascii="Times New Roman" w:hAnsi="Times New Roman" w:cs="Times New Roman"/>
          <w:noProof/>
          <w:sz w:val="24"/>
          <w:szCs w:val="24"/>
        </w:rPr>
        <w:t>На фокус групама са запосленима у установама културе и у оквиру радионица са члановима Радне групе и</w:t>
      </w:r>
      <w:r w:rsidR="00820877" w:rsidRPr="00820877">
        <w:rPr>
          <w:rFonts w:ascii="Times New Roman" w:hAnsi="Times New Roman" w:cs="Times New Roman"/>
          <w:noProof/>
          <w:sz w:val="24"/>
          <w:szCs w:val="24"/>
        </w:rPr>
        <w:t>стакнута</w:t>
      </w:r>
      <w:r w:rsidR="00820877">
        <w:rPr>
          <w:rFonts w:ascii="Times New Roman" w:hAnsi="Times New Roman" w:cs="Times New Roman"/>
          <w:noProof/>
          <w:sz w:val="24"/>
          <w:szCs w:val="24"/>
        </w:rPr>
        <w:t xml:space="preserve"> је</w:t>
      </w:r>
      <w:r w:rsidR="00820877" w:rsidRPr="00820877">
        <w:rPr>
          <w:rFonts w:ascii="Times New Roman" w:hAnsi="Times New Roman" w:cs="Times New Roman"/>
          <w:noProof/>
          <w:sz w:val="24"/>
          <w:szCs w:val="24"/>
        </w:rPr>
        <w:t xml:space="preserve"> потреба за додатним зап</w:t>
      </w:r>
      <w:r w:rsidR="003B6EBA">
        <w:rPr>
          <w:rFonts w:ascii="Times New Roman" w:hAnsi="Times New Roman" w:cs="Times New Roman"/>
          <w:noProof/>
          <w:sz w:val="24"/>
          <w:szCs w:val="24"/>
        </w:rPr>
        <w:t xml:space="preserve">ошљавањем у установама културе. </w:t>
      </w:r>
      <w:r w:rsidR="00820877" w:rsidRPr="00820877">
        <w:rPr>
          <w:rFonts w:ascii="Times New Roman" w:hAnsi="Times New Roman" w:cs="Times New Roman"/>
          <w:noProof/>
          <w:sz w:val="24"/>
          <w:szCs w:val="24"/>
        </w:rPr>
        <w:t>Учесници разговора су се усагласили да у установама</w:t>
      </w:r>
      <w:r w:rsidR="003B6EBA">
        <w:rPr>
          <w:rFonts w:ascii="Times New Roman" w:hAnsi="Times New Roman" w:cs="Times New Roman"/>
          <w:noProof/>
          <w:sz w:val="24"/>
          <w:szCs w:val="24"/>
        </w:rPr>
        <w:t xml:space="preserve"> културе недостаје следећи кадар: </w:t>
      </w:r>
    </w:p>
    <w:p w:rsidR="003B6EBA" w:rsidRDefault="00820877" w:rsidP="00B03CD2">
      <w:pPr>
        <w:pStyle w:val="ListParagraph"/>
        <w:numPr>
          <w:ilvl w:val="0"/>
          <w:numId w:val="9"/>
        </w:numPr>
        <w:spacing w:line="276" w:lineRule="auto"/>
        <w:jc w:val="both"/>
        <w:rPr>
          <w:rFonts w:ascii="Times New Roman" w:hAnsi="Times New Roman" w:cs="Times New Roman"/>
          <w:noProof/>
          <w:sz w:val="24"/>
          <w:szCs w:val="24"/>
        </w:rPr>
      </w:pPr>
      <w:r w:rsidRPr="003B6EBA">
        <w:rPr>
          <w:rFonts w:ascii="Times New Roman" w:hAnsi="Times New Roman" w:cs="Times New Roman"/>
          <w:noProof/>
          <w:sz w:val="24"/>
          <w:szCs w:val="24"/>
        </w:rPr>
        <w:t>Градски музеј Сомбор – особа за дигитализацију-документалиста, правник, водичка служба, техничка служба, кустоси</w:t>
      </w:r>
    </w:p>
    <w:p w:rsidR="003B6EBA" w:rsidRDefault="00820877" w:rsidP="00B03CD2">
      <w:pPr>
        <w:pStyle w:val="ListParagraph"/>
        <w:numPr>
          <w:ilvl w:val="0"/>
          <w:numId w:val="9"/>
        </w:numPr>
        <w:spacing w:line="276" w:lineRule="auto"/>
        <w:jc w:val="both"/>
        <w:rPr>
          <w:rFonts w:ascii="Times New Roman" w:hAnsi="Times New Roman" w:cs="Times New Roman"/>
          <w:noProof/>
          <w:sz w:val="24"/>
          <w:szCs w:val="24"/>
        </w:rPr>
      </w:pPr>
      <w:r w:rsidRPr="003B6EBA">
        <w:rPr>
          <w:rFonts w:ascii="Times New Roman" w:hAnsi="Times New Roman" w:cs="Times New Roman"/>
          <w:noProof/>
          <w:sz w:val="24"/>
          <w:szCs w:val="24"/>
        </w:rPr>
        <w:t>Галерија „Милан Коњовић“ – документалиста, историчар уметности, во</w:t>
      </w:r>
      <w:r w:rsidR="003B6EBA">
        <w:rPr>
          <w:rFonts w:ascii="Times New Roman" w:hAnsi="Times New Roman" w:cs="Times New Roman"/>
          <w:noProof/>
          <w:sz w:val="24"/>
          <w:szCs w:val="24"/>
        </w:rPr>
        <w:t xml:space="preserve">дич са знањем страног језика, </w:t>
      </w:r>
      <w:r w:rsidRPr="003B6EBA">
        <w:rPr>
          <w:rFonts w:ascii="Times New Roman" w:hAnsi="Times New Roman" w:cs="Times New Roman"/>
          <w:noProof/>
          <w:sz w:val="24"/>
          <w:szCs w:val="24"/>
        </w:rPr>
        <w:t>педагог</w:t>
      </w:r>
    </w:p>
    <w:p w:rsidR="003B6EBA" w:rsidRDefault="00820877" w:rsidP="00B03CD2">
      <w:pPr>
        <w:pStyle w:val="ListParagraph"/>
        <w:numPr>
          <w:ilvl w:val="0"/>
          <w:numId w:val="9"/>
        </w:numPr>
        <w:spacing w:line="276" w:lineRule="auto"/>
        <w:jc w:val="both"/>
        <w:rPr>
          <w:rFonts w:ascii="Times New Roman" w:hAnsi="Times New Roman" w:cs="Times New Roman"/>
          <w:noProof/>
          <w:sz w:val="24"/>
          <w:szCs w:val="24"/>
        </w:rPr>
      </w:pPr>
      <w:r w:rsidRPr="003B6EBA">
        <w:rPr>
          <w:rFonts w:ascii="Times New Roman" w:hAnsi="Times New Roman" w:cs="Times New Roman"/>
          <w:noProof/>
          <w:sz w:val="24"/>
          <w:szCs w:val="24"/>
        </w:rPr>
        <w:t xml:space="preserve">Културни центар „Лаза Костић“ – </w:t>
      </w:r>
      <w:r w:rsidR="003B6EBA">
        <w:rPr>
          <w:rFonts w:ascii="Times New Roman" w:hAnsi="Times New Roman" w:cs="Times New Roman"/>
          <w:noProof/>
          <w:sz w:val="24"/>
          <w:szCs w:val="24"/>
        </w:rPr>
        <w:t>уредници програма, техничко особље, правник, службеник за јавне набавке</w:t>
      </w:r>
    </w:p>
    <w:p w:rsidR="003B6EBA" w:rsidRDefault="00820877" w:rsidP="00B03CD2">
      <w:pPr>
        <w:pStyle w:val="ListParagraph"/>
        <w:numPr>
          <w:ilvl w:val="0"/>
          <w:numId w:val="9"/>
        </w:numPr>
        <w:spacing w:line="276" w:lineRule="auto"/>
        <w:jc w:val="both"/>
        <w:rPr>
          <w:rFonts w:ascii="Times New Roman" w:hAnsi="Times New Roman" w:cs="Times New Roman"/>
          <w:noProof/>
          <w:sz w:val="24"/>
          <w:szCs w:val="24"/>
        </w:rPr>
      </w:pPr>
      <w:r w:rsidRPr="003B6EBA">
        <w:rPr>
          <w:rFonts w:ascii="Times New Roman" w:hAnsi="Times New Roman" w:cs="Times New Roman"/>
          <w:noProof/>
          <w:sz w:val="24"/>
          <w:szCs w:val="24"/>
        </w:rPr>
        <w:t>Историјски архив Сомбор – архивиста са знањем немачког, мађарског и латинског језика, правник, особе за дигитализацију, конзерватор</w:t>
      </w:r>
    </w:p>
    <w:p w:rsidR="003B6EBA" w:rsidRDefault="00820877" w:rsidP="00B03CD2">
      <w:pPr>
        <w:pStyle w:val="ListParagraph"/>
        <w:numPr>
          <w:ilvl w:val="0"/>
          <w:numId w:val="9"/>
        </w:numPr>
        <w:spacing w:line="276" w:lineRule="auto"/>
        <w:jc w:val="both"/>
        <w:rPr>
          <w:rFonts w:ascii="Times New Roman" w:hAnsi="Times New Roman" w:cs="Times New Roman"/>
          <w:noProof/>
          <w:sz w:val="24"/>
          <w:szCs w:val="24"/>
        </w:rPr>
      </w:pPr>
      <w:r w:rsidRPr="003B6EBA">
        <w:rPr>
          <w:rFonts w:ascii="Times New Roman" w:hAnsi="Times New Roman" w:cs="Times New Roman"/>
          <w:noProof/>
          <w:sz w:val="24"/>
          <w:szCs w:val="24"/>
        </w:rPr>
        <w:t xml:space="preserve">Народно позориште Сомбор  - </w:t>
      </w:r>
      <w:r w:rsidR="003B6EBA">
        <w:rPr>
          <w:rFonts w:ascii="Times New Roman" w:hAnsi="Times New Roman" w:cs="Times New Roman"/>
          <w:noProof/>
          <w:sz w:val="24"/>
          <w:szCs w:val="24"/>
        </w:rPr>
        <w:t>глумци</w:t>
      </w:r>
      <w:r w:rsidRPr="003B6EBA">
        <w:rPr>
          <w:rFonts w:ascii="Times New Roman" w:hAnsi="Times New Roman" w:cs="Times New Roman"/>
          <w:noProof/>
          <w:sz w:val="24"/>
          <w:szCs w:val="24"/>
        </w:rPr>
        <w:t>,</w:t>
      </w:r>
      <w:r w:rsidR="003B6EBA">
        <w:rPr>
          <w:rFonts w:ascii="Times New Roman" w:hAnsi="Times New Roman" w:cs="Times New Roman"/>
          <w:noProof/>
          <w:sz w:val="24"/>
          <w:szCs w:val="24"/>
        </w:rPr>
        <w:t xml:space="preserve"> шминкер,</w:t>
      </w:r>
      <w:r w:rsidRPr="003B6EBA">
        <w:rPr>
          <w:rFonts w:ascii="Times New Roman" w:hAnsi="Times New Roman" w:cs="Times New Roman"/>
          <w:noProof/>
          <w:sz w:val="24"/>
          <w:szCs w:val="24"/>
        </w:rPr>
        <w:t xml:space="preserve"> техничко особље, правно-административн</w:t>
      </w:r>
      <w:r w:rsidR="003B6EBA">
        <w:rPr>
          <w:rFonts w:ascii="Times New Roman" w:hAnsi="Times New Roman" w:cs="Times New Roman"/>
          <w:noProof/>
          <w:sz w:val="24"/>
          <w:szCs w:val="24"/>
        </w:rPr>
        <w:t>и сарадник</w:t>
      </w:r>
    </w:p>
    <w:p w:rsidR="00820877" w:rsidRPr="003B6EBA" w:rsidRDefault="00820877" w:rsidP="00B03CD2">
      <w:pPr>
        <w:pStyle w:val="ListParagraph"/>
        <w:numPr>
          <w:ilvl w:val="0"/>
          <w:numId w:val="9"/>
        </w:numPr>
        <w:spacing w:line="276" w:lineRule="auto"/>
        <w:jc w:val="both"/>
        <w:rPr>
          <w:rFonts w:ascii="Times New Roman" w:hAnsi="Times New Roman" w:cs="Times New Roman"/>
          <w:noProof/>
          <w:sz w:val="24"/>
          <w:szCs w:val="24"/>
        </w:rPr>
      </w:pPr>
      <w:r w:rsidRPr="003B6EBA">
        <w:rPr>
          <w:rFonts w:ascii="Times New Roman" w:hAnsi="Times New Roman" w:cs="Times New Roman"/>
          <w:noProof/>
          <w:sz w:val="24"/>
          <w:szCs w:val="24"/>
        </w:rPr>
        <w:t>Градска библиотека „Карло Бијелицки“  -  конзерватор, библиотекари</w:t>
      </w:r>
    </w:p>
    <w:p w:rsidR="005D6713" w:rsidRDefault="00594010"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С</w:t>
      </w:r>
      <w:r w:rsidR="00A44878">
        <w:rPr>
          <w:rFonts w:ascii="Times New Roman" w:hAnsi="Times New Roman" w:cs="Times New Roman"/>
          <w:noProof/>
          <w:sz w:val="24"/>
          <w:szCs w:val="24"/>
        </w:rPr>
        <w:t>а друге стране, Културни центар је задужен и за реализацију програма у насељеним местима, што з</w:t>
      </w:r>
      <w:r w:rsidR="009E643F">
        <w:rPr>
          <w:rFonts w:ascii="Times New Roman" w:hAnsi="Times New Roman" w:cs="Times New Roman"/>
          <w:noProof/>
          <w:sz w:val="24"/>
          <w:szCs w:val="24"/>
        </w:rPr>
        <w:t>апослени на неодређено (укупно 6</w:t>
      </w:r>
      <w:r w:rsidR="00A44878">
        <w:rPr>
          <w:rFonts w:ascii="Times New Roman" w:hAnsi="Times New Roman" w:cs="Times New Roman"/>
          <w:noProof/>
          <w:sz w:val="24"/>
          <w:szCs w:val="24"/>
        </w:rPr>
        <w:t>) нису у могућности да постигну, због чега су на одређено ангажовани координатори културних програма за насељена места. Тре</w:t>
      </w:r>
      <w:r w:rsidR="001229D3">
        <w:rPr>
          <w:rFonts w:ascii="Times New Roman" w:hAnsi="Times New Roman" w:cs="Times New Roman"/>
          <w:noProof/>
          <w:sz w:val="24"/>
          <w:szCs w:val="24"/>
        </w:rPr>
        <w:t xml:space="preserve">нутно је </w:t>
      </w:r>
      <w:r w:rsidR="009E643F">
        <w:rPr>
          <w:rFonts w:ascii="Times New Roman" w:hAnsi="Times New Roman" w:cs="Times New Roman"/>
          <w:noProof/>
          <w:sz w:val="24"/>
          <w:szCs w:val="24"/>
          <w:lang/>
        </w:rPr>
        <w:t>ангажовано преко агенције</w:t>
      </w:r>
      <w:r w:rsidR="001229D3">
        <w:rPr>
          <w:rFonts w:ascii="Times New Roman" w:hAnsi="Times New Roman" w:cs="Times New Roman"/>
          <w:noProof/>
          <w:sz w:val="24"/>
          <w:szCs w:val="24"/>
        </w:rPr>
        <w:t xml:space="preserve"> шест</w:t>
      </w:r>
      <w:r w:rsidR="00A44878">
        <w:rPr>
          <w:rFonts w:ascii="Times New Roman" w:hAnsi="Times New Roman" w:cs="Times New Roman"/>
          <w:noProof/>
          <w:sz w:val="24"/>
          <w:szCs w:val="24"/>
        </w:rPr>
        <w:t xml:space="preserve"> координатора</w:t>
      </w:r>
      <w:r w:rsidR="005D6713">
        <w:rPr>
          <w:rFonts w:ascii="Times New Roman" w:hAnsi="Times New Roman" w:cs="Times New Roman"/>
          <w:noProof/>
          <w:sz w:val="24"/>
          <w:szCs w:val="24"/>
        </w:rPr>
        <w:t xml:space="preserve"> за насељена места (сваки ко</w:t>
      </w:r>
      <w:r w:rsidR="001229D3">
        <w:rPr>
          <w:rFonts w:ascii="Times New Roman" w:hAnsi="Times New Roman" w:cs="Times New Roman"/>
          <w:noProof/>
          <w:sz w:val="24"/>
          <w:szCs w:val="24"/>
        </w:rPr>
        <w:t>ординатор је задужен за два</w:t>
      </w:r>
      <w:r w:rsidR="005D6713">
        <w:rPr>
          <w:rFonts w:ascii="Times New Roman" w:hAnsi="Times New Roman" w:cs="Times New Roman"/>
          <w:noProof/>
          <w:sz w:val="24"/>
          <w:szCs w:val="24"/>
        </w:rPr>
        <w:t xml:space="preserve"> насељена места). Т</w:t>
      </w:r>
      <w:r w:rsidR="00A44878">
        <w:rPr>
          <w:rFonts w:ascii="Times New Roman" w:hAnsi="Times New Roman" w:cs="Times New Roman"/>
          <w:noProof/>
          <w:sz w:val="24"/>
          <w:szCs w:val="24"/>
        </w:rPr>
        <w:t>оком фокус групе</w:t>
      </w:r>
      <w:r w:rsidR="008927BD">
        <w:rPr>
          <w:rFonts w:ascii="Times New Roman" w:hAnsi="Times New Roman" w:cs="Times New Roman"/>
          <w:noProof/>
          <w:sz w:val="24"/>
          <w:szCs w:val="24"/>
        </w:rPr>
        <w:t xml:space="preserve"> са запосленима у установама културе и представницима удружења грађана </w:t>
      </w:r>
      <w:r w:rsidR="00A44878">
        <w:rPr>
          <w:rFonts w:ascii="Times New Roman" w:hAnsi="Times New Roman" w:cs="Times New Roman"/>
          <w:noProof/>
          <w:sz w:val="24"/>
          <w:szCs w:val="24"/>
        </w:rPr>
        <w:t>стекао</w:t>
      </w:r>
      <w:r w:rsidR="008927BD">
        <w:rPr>
          <w:rFonts w:ascii="Times New Roman" w:hAnsi="Times New Roman" w:cs="Times New Roman"/>
          <w:noProof/>
          <w:sz w:val="24"/>
          <w:szCs w:val="24"/>
        </w:rPr>
        <w:t xml:space="preserve"> се</w:t>
      </w:r>
      <w:r w:rsidR="00A44878">
        <w:rPr>
          <w:rFonts w:ascii="Times New Roman" w:hAnsi="Times New Roman" w:cs="Times New Roman"/>
          <w:noProof/>
          <w:sz w:val="24"/>
          <w:szCs w:val="24"/>
        </w:rPr>
        <w:t xml:space="preserve"> утисак да </w:t>
      </w:r>
      <w:r w:rsidR="008927BD">
        <w:rPr>
          <w:rFonts w:ascii="Times New Roman" w:hAnsi="Times New Roman" w:cs="Times New Roman"/>
          <w:noProof/>
          <w:sz w:val="24"/>
          <w:szCs w:val="24"/>
        </w:rPr>
        <w:t xml:space="preserve">координатори </w:t>
      </w:r>
      <w:r w:rsidR="00A44878">
        <w:rPr>
          <w:rFonts w:ascii="Times New Roman" w:hAnsi="Times New Roman" w:cs="Times New Roman"/>
          <w:noProof/>
          <w:sz w:val="24"/>
          <w:szCs w:val="24"/>
        </w:rPr>
        <w:t xml:space="preserve">нису довољно креативни нити обучени за креирање програма </w:t>
      </w:r>
      <w:r w:rsidR="008927BD">
        <w:rPr>
          <w:rFonts w:ascii="Times New Roman" w:hAnsi="Times New Roman" w:cs="Times New Roman"/>
          <w:noProof/>
          <w:sz w:val="24"/>
          <w:szCs w:val="24"/>
        </w:rPr>
        <w:t>из културе, због чега учесници фокус група сматрају да овакво ангажовање и реализација културних програма</w:t>
      </w:r>
      <w:r w:rsidR="005D6713">
        <w:rPr>
          <w:rFonts w:ascii="Times New Roman" w:hAnsi="Times New Roman" w:cs="Times New Roman"/>
          <w:noProof/>
          <w:sz w:val="24"/>
          <w:szCs w:val="24"/>
        </w:rPr>
        <w:t xml:space="preserve"> у насељеним местима </w:t>
      </w:r>
      <w:r w:rsidR="008927BD">
        <w:rPr>
          <w:rFonts w:ascii="Times New Roman" w:hAnsi="Times New Roman" w:cs="Times New Roman"/>
          <w:noProof/>
          <w:sz w:val="24"/>
          <w:szCs w:val="24"/>
        </w:rPr>
        <w:t>нису</w:t>
      </w:r>
      <w:r w:rsidR="00A14E3D">
        <w:rPr>
          <w:rFonts w:ascii="Times New Roman" w:hAnsi="Times New Roman" w:cs="Times New Roman"/>
          <w:noProof/>
          <w:sz w:val="24"/>
          <w:szCs w:val="24"/>
          <w:lang/>
        </w:rPr>
        <w:t xml:space="preserve"> </w:t>
      </w:r>
      <w:r w:rsidR="00A14E3D" w:rsidRPr="00A14E3D">
        <w:rPr>
          <w:rFonts w:ascii="Times New Roman" w:hAnsi="Times New Roman" w:cs="Times New Roman"/>
          <w:noProof/>
          <w:sz w:val="24"/>
          <w:szCs w:val="24"/>
          <w:lang/>
        </w:rPr>
        <w:t>адекватно решење</w:t>
      </w:r>
      <w:r w:rsidR="00A14E3D">
        <w:rPr>
          <w:rFonts w:ascii="Times New Roman" w:hAnsi="Times New Roman" w:cs="Times New Roman"/>
          <w:noProof/>
          <w:sz w:val="24"/>
          <w:szCs w:val="24"/>
        </w:rPr>
        <w:t>.</w:t>
      </w:r>
      <w:r w:rsidR="00A14E3D">
        <w:rPr>
          <w:rFonts w:ascii="Times New Roman" w:hAnsi="Times New Roman" w:cs="Times New Roman"/>
          <w:noProof/>
          <w:sz w:val="24"/>
          <w:szCs w:val="24"/>
          <w:lang/>
        </w:rPr>
        <w:t xml:space="preserve"> </w:t>
      </w:r>
      <w:r w:rsidR="005D6713">
        <w:rPr>
          <w:rFonts w:ascii="Times New Roman" w:hAnsi="Times New Roman" w:cs="Times New Roman"/>
          <w:noProof/>
          <w:sz w:val="24"/>
          <w:szCs w:val="24"/>
        </w:rPr>
        <w:t xml:space="preserve">Координатори за села су у оквиру фокус групе и сами рекли да их становници насељених места нису добро прихватили, те да се ствара јаз између њих и становника насељених места. </w:t>
      </w:r>
    </w:p>
    <w:p w:rsidR="000402DE" w:rsidRDefault="000402DE"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Један од проблема запослених који је истакнут током фокус група и радионица са члановима Радне групе јесте</w:t>
      </w:r>
      <w:r w:rsidR="00784F1B">
        <w:rPr>
          <w:rFonts w:ascii="Times New Roman" w:hAnsi="Times New Roman" w:cs="Times New Roman"/>
          <w:noProof/>
          <w:sz w:val="24"/>
          <w:szCs w:val="24"/>
        </w:rPr>
        <w:t xml:space="preserve"> нередовно</w:t>
      </w:r>
      <w:r>
        <w:rPr>
          <w:rFonts w:ascii="Times New Roman" w:hAnsi="Times New Roman" w:cs="Times New Roman"/>
          <w:noProof/>
          <w:sz w:val="24"/>
          <w:szCs w:val="24"/>
        </w:rPr>
        <w:t xml:space="preserve"> стручно усавршавање запослених. Према речима запослених </w:t>
      </w:r>
      <w:r w:rsidR="00784F1B">
        <w:rPr>
          <w:rFonts w:ascii="Times New Roman" w:hAnsi="Times New Roman" w:cs="Times New Roman"/>
          <w:noProof/>
          <w:sz w:val="24"/>
          <w:szCs w:val="24"/>
        </w:rPr>
        <w:t>у установама културе 55,82% запослених је задовољномогућностима за професионални развој које пружа установа, док потребу за</w:t>
      </w:r>
      <w:r w:rsidR="00E538B8">
        <w:rPr>
          <w:rFonts w:ascii="Times New Roman" w:hAnsi="Times New Roman" w:cs="Times New Roman"/>
          <w:noProof/>
          <w:sz w:val="24"/>
          <w:szCs w:val="24"/>
        </w:rPr>
        <w:t xml:space="preserve"> додатним</w:t>
      </w:r>
      <w:r w:rsidR="00784F1B">
        <w:rPr>
          <w:rFonts w:ascii="Times New Roman" w:hAnsi="Times New Roman" w:cs="Times New Roman"/>
          <w:noProof/>
          <w:sz w:val="24"/>
          <w:szCs w:val="24"/>
        </w:rPr>
        <w:t xml:space="preserve"> стручним усав</w:t>
      </w:r>
      <w:r w:rsidR="006237BB">
        <w:rPr>
          <w:rFonts w:ascii="Times New Roman" w:hAnsi="Times New Roman" w:cs="Times New Roman"/>
          <w:noProof/>
          <w:sz w:val="24"/>
          <w:szCs w:val="24"/>
        </w:rPr>
        <w:t>ршавањем запослених истиче 93</w:t>
      </w:r>
      <w:r w:rsidR="00784F1B">
        <w:rPr>
          <w:rFonts w:ascii="Times New Roman" w:hAnsi="Times New Roman" w:cs="Times New Roman"/>
          <w:noProof/>
          <w:sz w:val="24"/>
          <w:szCs w:val="24"/>
        </w:rPr>
        <w:t xml:space="preserve">% </w:t>
      </w:r>
      <w:r w:rsidR="007D1D41">
        <w:rPr>
          <w:rFonts w:ascii="Times New Roman" w:hAnsi="Times New Roman" w:cs="Times New Roman"/>
          <w:noProof/>
          <w:sz w:val="24"/>
          <w:szCs w:val="24"/>
        </w:rPr>
        <w:t xml:space="preserve">. Најпотребније су едукације из следећих области: </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Употреба информационих технологија</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Дигитализација културног наслеђа</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Дигитални маркетинг</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Развој мобилних апликација и програмирање</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 xml:space="preserve">Писање пројеката </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Обуке из области стратешког планирања, менаџмента и организације</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 xml:space="preserve">Музејска педагогија </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Иновације у презентацији културног наслеђа</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Конзервација</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Едукације за кустосе</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Едукације о раду у култури са осетљивим групама (слепи и слабовиди, ОСИ..)</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Савремен тенденције у различитим културним делатностима: музеологији, галеријској пракси, извођачким уметностима.</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Повећање публике (приступ адолесцентима, особама трећег доба, повезивање школа и установа културе..)</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Едукације из области етнологије и антропологије</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 xml:space="preserve">Унапређење библиотечке делатности: унапређење корисничких услуга, каталогизација и правна регулатива у библиотечкој делатности, библиографија, откуп и набавка књига, посебне збирке у библиотечким </w:t>
      </w:r>
      <w:r>
        <w:rPr>
          <w:rFonts w:ascii="Times New Roman" w:hAnsi="Times New Roman" w:cs="Times New Roman"/>
          <w:noProof/>
          <w:sz w:val="24"/>
          <w:szCs w:val="24"/>
        </w:rPr>
        <w:t>фондовима, стара и ретка књига.</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Страни језици</w:t>
      </w:r>
    </w:p>
    <w:p w:rsidR="007D1D41" w:rsidRDefault="007D1D41" w:rsidP="00B03CD2">
      <w:pPr>
        <w:pStyle w:val="ListParagraph"/>
        <w:numPr>
          <w:ilvl w:val="0"/>
          <w:numId w:val="10"/>
        </w:numPr>
        <w:spacing w:line="276" w:lineRule="auto"/>
        <w:jc w:val="both"/>
        <w:rPr>
          <w:rFonts w:ascii="Times New Roman" w:hAnsi="Times New Roman" w:cs="Times New Roman"/>
          <w:noProof/>
          <w:sz w:val="24"/>
          <w:szCs w:val="24"/>
        </w:rPr>
      </w:pPr>
      <w:r w:rsidRPr="007D1D41">
        <w:rPr>
          <w:rFonts w:ascii="Times New Roman" w:hAnsi="Times New Roman" w:cs="Times New Roman"/>
          <w:noProof/>
          <w:sz w:val="24"/>
          <w:szCs w:val="24"/>
        </w:rPr>
        <w:t>Јавне набавке и администрација</w:t>
      </w:r>
    </w:p>
    <w:p w:rsidR="00181447" w:rsidRDefault="004E14CA"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 xml:space="preserve">Све јавне установе културе </w:t>
      </w:r>
      <w:r w:rsidR="00FA60A2">
        <w:rPr>
          <w:rFonts w:ascii="Times New Roman" w:hAnsi="Times New Roman" w:cs="Times New Roman"/>
          <w:noProof/>
          <w:sz w:val="24"/>
          <w:szCs w:val="24"/>
        </w:rPr>
        <w:t xml:space="preserve">имају просторе за обављање своје делатности. </w:t>
      </w:r>
      <w:r w:rsidR="00AF4D84">
        <w:rPr>
          <w:rFonts w:ascii="Times New Roman" w:hAnsi="Times New Roman" w:cs="Times New Roman"/>
          <w:noProof/>
          <w:sz w:val="24"/>
          <w:szCs w:val="24"/>
        </w:rPr>
        <w:t>Ипак, н</w:t>
      </w:r>
      <w:r w:rsidR="00AF4D84" w:rsidRPr="00AF4D84">
        <w:rPr>
          <w:rFonts w:ascii="Times New Roman" w:hAnsi="Times New Roman" w:cs="Times New Roman"/>
          <w:noProof/>
          <w:sz w:val="24"/>
          <w:szCs w:val="24"/>
        </w:rPr>
        <w:t>ајвећи проблем Града у култури је недостатак средстава за улагање у објекте културе</w:t>
      </w:r>
      <w:r w:rsidR="00AF4D84">
        <w:rPr>
          <w:rFonts w:ascii="Times New Roman" w:hAnsi="Times New Roman" w:cs="Times New Roman"/>
          <w:noProof/>
          <w:sz w:val="24"/>
          <w:szCs w:val="24"/>
        </w:rPr>
        <w:t xml:space="preserve"> који су ист</w:t>
      </w:r>
      <w:r w:rsidR="00181447">
        <w:rPr>
          <w:rFonts w:ascii="Times New Roman" w:hAnsi="Times New Roman" w:cs="Times New Roman"/>
          <w:noProof/>
          <w:sz w:val="24"/>
          <w:szCs w:val="24"/>
        </w:rPr>
        <w:t xml:space="preserve">акли сви учесници фокус група и </w:t>
      </w:r>
      <w:r w:rsidR="00AF4D84">
        <w:rPr>
          <w:rFonts w:ascii="Times New Roman" w:hAnsi="Times New Roman" w:cs="Times New Roman"/>
          <w:noProof/>
          <w:sz w:val="24"/>
          <w:szCs w:val="24"/>
        </w:rPr>
        <w:t>чланови Радне групе</w:t>
      </w:r>
      <w:r w:rsidR="005970EE">
        <w:rPr>
          <w:rFonts w:ascii="Times New Roman" w:hAnsi="Times New Roman" w:cs="Times New Roman"/>
          <w:noProof/>
          <w:sz w:val="24"/>
          <w:szCs w:val="24"/>
        </w:rPr>
        <w:t>. Такође, и 53,1</w:t>
      </w:r>
      <w:r w:rsidR="00181447">
        <w:rPr>
          <w:rFonts w:ascii="Times New Roman" w:hAnsi="Times New Roman" w:cs="Times New Roman"/>
          <w:noProof/>
          <w:sz w:val="24"/>
          <w:szCs w:val="24"/>
        </w:rPr>
        <w:t xml:space="preserve">2% запослених у установама културе сматра да </w:t>
      </w:r>
      <w:r w:rsidR="005970EE">
        <w:rPr>
          <w:rFonts w:ascii="Times New Roman" w:hAnsi="Times New Roman" w:cs="Times New Roman"/>
          <w:noProof/>
          <w:sz w:val="24"/>
          <w:szCs w:val="24"/>
        </w:rPr>
        <w:t xml:space="preserve">је </w:t>
      </w:r>
      <w:r w:rsidR="00181447">
        <w:rPr>
          <w:rFonts w:ascii="Times New Roman" w:hAnsi="Times New Roman" w:cs="Times New Roman"/>
          <w:noProof/>
          <w:sz w:val="24"/>
          <w:szCs w:val="24"/>
        </w:rPr>
        <w:t>један од главних проблема у установама културе недостатак средстава за улагање у инфраструктуру</w:t>
      </w:r>
      <w:r w:rsidR="005970EE">
        <w:rPr>
          <w:rFonts w:ascii="Times New Roman" w:hAnsi="Times New Roman" w:cs="Times New Roman"/>
          <w:noProof/>
          <w:sz w:val="24"/>
          <w:szCs w:val="24"/>
        </w:rPr>
        <w:t xml:space="preserve"> и радне просторе. </w:t>
      </w:r>
      <w:r w:rsidR="00AF4D84" w:rsidRPr="00AF4D84">
        <w:rPr>
          <w:rFonts w:ascii="Times New Roman" w:hAnsi="Times New Roman" w:cs="Times New Roman"/>
          <w:noProof/>
          <w:sz w:val="24"/>
          <w:szCs w:val="24"/>
        </w:rPr>
        <w:t>У том домену</w:t>
      </w:r>
      <w:r w:rsidR="00A14E3D">
        <w:rPr>
          <w:rFonts w:ascii="Times New Roman" w:hAnsi="Times New Roman" w:cs="Times New Roman"/>
          <w:noProof/>
          <w:sz w:val="24"/>
          <w:szCs w:val="24"/>
          <w:lang/>
        </w:rPr>
        <w:t xml:space="preserve"> </w:t>
      </w:r>
      <w:r w:rsidR="00A14E3D" w:rsidRPr="00A14E3D">
        <w:rPr>
          <w:rFonts w:ascii="Times New Roman" w:hAnsi="Times New Roman" w:cs="Times New Roman"/>
          <w:noProof/>
          <w:sz w:val="24"/>
          <w:szCs w:val="24"/>
          <w:lang/>
        </w:rPr>
        <w:t>најсложенија</w:t>
      </w:r>
      <w:r w:rsidR="00AF4D84" w:rsidRPr="00AF4D84">
        <w:rPr>
          <w:rFonts w:ascii="Times New Roman" w:hAnsi="Times New Roman" w:cs="Times New Roman"/>
          <w:noProof/>
          <w:sz w:val="24"/>
          <w:szCs w:val="24"/>
        </w:rPr>
        <w:t xml:space="preserve"> је ситуација са објектом Историјског архива који датира из 1770. године. Простор нема централно грејање и не постоји могућност уградње јер је зграда под заштитом. Запослени су приморани да се греју на каљеве пећи што не одговара условима чувања архивске грађе. Депои су недовољни за количину грађе коју ова установа чува, </w:t>
      </w:r>
      <w:r w:rsidR="00A14E3D">
        <w:rPr>
          <w:rFonts w:ascii="Times New Roman" w:hAnsi="Times New Roman" w:cs="Times New Roman"/>
          <w:noProof/>
          <w:sz w:val="24"/>
          <w:szCs w:val="24"/>
        </w:rPr>
        <w:t>установа нема изложбени простор</w:t>
      </w:r>
      <w:r w:rsidR="00A14E3D">
        <w:rPr>
          <w:rFonts w:ascii="Times New Roman" w:hAnsi="Times New Roman" w:cs="Times New Roman"/>
          <w:noProof/>
          <w:sz w:val="24"/>
          <w:szCs w:val="24"/>
          <w:lang/>
        </w:rPr>
        <w:t xml:space="preserve">. </w:t>
      </w:r>
      <w:r w:rsidR="0015465A">
        <w:rPr>
          <w:rFonts w:ascii="Times New Roman" w:hAnsi="Times New Roman" w:cs="Times New Roman"/>
          <w:noProof/>
          <w:sz w:val="24"/>
          <w:szCs w:val="24"/>
        </w:rPr>
        <w:t xml:space="preserve">Такође, </w:t>
      </w:r>
      <w:r w:rsidR="00AF4D84" w:rsidRPr="00AF4D84">
        <w:rPr>
          <w:rFonts w:ascii="Times New Roman" w:hAnsi="Times New Roman" w:cs="Times New Roman"/>
          <w:noProof/>
          <w:sz w:val="24"/>
          <w:szCs w:val="24"/>
        </w:rPr>
        <w:t>и оп</w:t>
      </w:r>
      <w:r w:rsidR="00181447">
        <w:rPr>
          <w:rFonts w:ascii="Times New Roman" w:hAnsi="Times New Roman" w:cs="Times New Roman"/>
          <w:noProof/>
          <w:sz w:val="24"/>
          <w:szCs w:val="24"/>
        </w:rPr>
        <w:t>рема и намештај</w:t>
      </w:r>
      <w:r w:rsidR="0015465A">
        <w:rPr>
          <w:rFonts w:ascii="Times New Roman" w:hAnsi="Times New Roman" w:cs="Times New Roman"/>
          <w:noProof/>
          <w:sz w:val="24"/>
          <w:szCs w:val="24"/>
        </w:rPr>
        <w:t xml:space="preserve"> у Архиву су</w:t>
      </w:r>
      <w:r w:rsidR="00181447">
        <w:rPr>
          <w:rFonts w:ascii="Times New Roman" w:hAnsi="Times New Roman" w:cs="Times New Roman"/>
          <w:noProof/>
          <w:sz w:val="24"/>
          <w:szCs w:val="24"/>
        </w:rPr>
        <w:t xml:space="preserve"> застарели ш</w:t>
      </w:r>
      <w:r w:rsidR="00AF4D84" w:rsidRPr="00AF4D84">
        <w:rPr>
          <w:rFonts w:ascii="Times New Roman" w:hAnsi="Times New Roman" w:cs="Times New Roman"/>
          <w:noProof/>
          <w:sz w:val="24"/>
          <w:szCs w:val="24"/>
        </w:rPr>
        <w:t xml:space="preserve">то утиче и на процес дигитализације грађе. </w:t>
      </w:r>
      <w:r w:rsidR="00181447">
        <w:rPr>
          <w:rFonts w:ascii="Times New Roman" w:hAnsi="Times New Roman" w:cs="Times New Roman"/>
          <w:noProof/>
          <w:sz w:val="24"/>
          <w:szCs w:val="24"/>
        </w:rPr>
        <w:t xml:space="preserve">Сви наведени проблеми у Историјском архиву Сомбор утицали су на то да је 62,5% запослених у Историјском архиву незадовољно условима рада установе, а 37,5% је веома незадовољно. Поред Историјског архива Сомбор и запослени у другим установама културе </w:t>
      </w:r>
      <w:r w:rsidR="00181447" w:rsidRPr="00181447">
        <w:rPr>
          <w:rFonts w:ascii="Times New Roman" w:hAnsi="Times New Roman" w:cs="Times New Roman"/>
          <w:noProof/>
          <w:sz w:val="24"/>
          <w:szCs w:val="24"/>
        </w:rPr>
        <w:t xml:space="preserve">истичу да </w:t>
      </w:r>
      <w:r w:rsidR="006168C3">
        <w:rPr>
          <w:rFonts w:ascii="Times New Roman" w:hAnsi="Times New Roman" w:cs="Times New Roman"/>
          <w:noProof/>
          <w:sz w:val="24"/>
          <w:szCs w:val="24"/>
        </w:rPr>
        <w:t xml:space="preserve">раде у неусловним просторима, тако да су током фокус група и радионица набројани следећи инфраструктурни проблеми установа културе: </w:t>
      </w:r>
    </w:p>
    <w:p w:rsidR="00B945FA" w:rsidRDefault="00B945FA" w:rsidP="00B03CD2">
      <w:pPr>
        <w:pStyle w:val="ListParagraph"/>
        <w:numPr>
          <w:ilvl w:val="0"/>
          <w:numId w:val="11"/>
        </w:numPr>
        <w:spacing w:line="276" w:lineRule="auto"/>
        <w:jc w:val="both"/>
        <w:rPr>
          <w:rFonts w:ascii="Times New Roman" w:hAnsi="Times New Roman" w:cs="Times New Roman"/>
          <w:noProof/>
          <w:sz w:val="24"/>
          <w:szCs w:val="24"/>
        </w:rPr>
      </w:pPr>
      <w:r w:rsidRPr="00B945FA">
        <w:rPr>
          <w:rFonts w:ascii="Times New Roman" w:hAnsi="Times New Roman" w:cs="Times New Roman"/>
          <w:noProof/>
          <w:sz w:val="24"/>
          <w:szCs w:val="24"/>
        </w:rPr>
        <w:t xml:space="preserve">Градски музеј Сомбор –  </w:t>
      </w:r>
      <w:r w:rsidR="001272AE">
        <w:rPr>
          <w:rFonts w:ascii="Times New Roman" w:hAnsi="Times New Roman" w:cs="Times New Roman"/>
          <w:noProof/>
          <w:sz w:val="24"/>
          <w:szCs w:val="24"/>
        </w:rPr>
        <w:t xml:space="preserve">стање </w:t>
      </w:r>
      <w:r w:rsidRPr="00B945FA">
        <w:rPr>
          <w:rFonts w:ascii="Times New Roman" w:hAnsi="Times New Roman" w:cs="Times New Roman"/>
          <w:noProof/>
          <w:sz w:val="24"/>
          <w:szCs w:val="24"/>
        </w:rPr>
        <w:t>депоа</w:t>
      </w:r>
    </w:p>
    <w:p w:rsidR="00B945FA" w:rsidRDefault="00B945FA" w:rsidP="00B03CD2">
      <w:pPr>
        <w:pStyle w:val="ListParagraph"/>
        <w:numPr>
          <w:ilvl w:val="0"/>
          <w:numId w:val="11"/>
        </w:numPr>
        <w:spacing w:line="276" w:lineRule="auto"/>
        <w:jc w:val="both"/>
        <w:rPr>
          <w:rFonts w:ascii="Times New Roman" w:hAnsi="Times New Roman" w:cs="Times New Roman"/>
          <w:noProof/>
          <w:sz w:val="24"/>
          <w:szCs w:val="24"/>
        </w:rPr>
      </w:pPr>
      <w:r w:rsidRPr="00B945FA">
        <w:rPr>
          <w:rFonts w:ascii="Times New Roman" w:hAnsi="Times New Roman" w:cs="Times New Roman"/>
          <w:noProof/>
          <w:sz w:val="24"/>
          <w:szCs w:val="24"/>
        </w:rPr>
        <w:t xml:space="preserve">Галерија „Милан Коњовић“ – </w:t>
      </w:r>
      <w:r w:rsidR="001272AE">
        <w:rPr>
          <w:rFonts w:ascii="Times New Roman" w:hAnsi="Times New Roman" w:cs="Times New Roman"/>
          <w:noProof/>
          <w:sz w:val="24"/>
          <w:szCs w:val="24"/>
        </w:rPr>
        <w:t>стање</w:t>
      </w:r>
      <w:r w:rsidRPr="00B945FA">
        <w:rPr>
          <w:rFonts w:ascii="Times New Roman" w:hAnsi="Times New Roman" w:cs="Times New Roman"/>
          <w:noProof/>
          <w:sz w:val="24"/>
          <w:szCs w:val="24"/>
        </w:rPr>
        <w:t xml:space="preserve"> депоа и система</w:t>
      </w:r>
      <w:r w:rsidR="001272AE">
        <w:rPr>
          <w:rFonts w:ascii="Times New Roman" w:hAnsi="Times New Roman" w:cs="Times New Roman"/>
          <w:noProof/>
          <w:sz w:val="24"/>
          <w:szCs w:val="24"/>
        </w:rPr>
        <w:t xml:space="preserve"> за</w:t>
      </w:r>
      <w:r w:rsidRPr="00B945FA">
        <w:rPr>
          <w:rFonts w:ascii="Times New Roman" w:hAnsi="Times New Roman" w:cs="Times New Roman"/>
          <w:noProof/>
          <w:sz w:val="24"/>
          <w:szCs w:val="24"/>
        </w:rPr>
        <w:t xml:space="preserve"> грејањ</w:t>
      </w:r>
      <w:r w:rsidR="001272AE">
        <w:rPr>
          <w:rFonts w:ascii="Times New Roman" w:hAnsi="Times New Roman" w:cs="Times New Roman"/>
          <w:noProof/>
          <w:sz w:val="24"/>
          <w:szCs w:val="24"/>
        </w:rPr>
        <w:t>е</w:t>
      </w:r>
    </w:p>
    <w:p w:rsidR="001272AE" w:rsidRDefault="00B945FA" w:rsidP="00B03CD2">
      <w:pPr>
        <w:pStyle w:val="ListParagraph"/>
        <w:numPr>
          <w:ilvl w:val="0"/>
          <w:numId w:val="11"/>
        </w:numPr>
        <w:spacing w:line="276" w:lineRule="auto"/>
        <w:jc w:val="both"/>
        <w:rPr>
          <w:rFonts w:ascii="Times New Roman" w:hAnsi="Times New Roman" w:cs="Times New Roman"/>
          <w:noProof/>
          <w:sz w:val="24"/>
          <w:szCs w:val="24"/>
        </w:rPr>
      </w:pPr>
      <w:r w:rsidRPr="00B945FA">
        <w:rPr>
          <w:rFonts w:ascii="Times New Roman" w:hAnsi="Times New Roman" w:cs="Times New Roman"/>
          <w:noProof/>
          <w:sz w:val="24"/>
          <w:szCs w:val="24"/>
        </w:rPr>
        <w:t xml:space="preserve">Културни центар „Лаза Костић“ – </w:t>
      </w:r>
      <w:r w:rsidR="001272AE">
        <w:rPr>
          <w:rFonts w:ascii="Times New Roman" w:hAnsi="Times New Roman" w:cs="Times New Roman"/>
          <w:noProof/>
          <w:sz w:val="24"/>
          <w:szCs w:val="24"/>
        </w:rPr>
        <w:t xml:space="preserve">стање </w:t>
      </w:r>
      <w:r w:rsidRPr="00B945FA">
        <w:rPr>
          <w:rFonts w:ascii="Times New Roman" w:hAnsi="Times New Roman" w:cs="Times New Roman"/>
          <w:noProof/>
          <w:sz w:val="24"/>
          <w:szCs w:val="24"/>
        </w:rPr>
        <w:t>система грејања</w:t>
      </w:r>
      <w:r>
        <w:rPr>
          <w:rFonts w:ascii="Times New Roman" w:hAnsi="Times New Roman" w:cs="Times New Roman"/>
          <w:noProof/>
          <w:sz w:val="24"/>
          <w:szCs w:val="24"/>
        </w:rPr>
        <w:t>, депоа</w:t>
      </w:r>
      <w:r w:rsidR="001272AE">
        <w:rPr>
          <w:rFonts w:ascii="Times New Roman" w:hAnsi="Times New Roman" w:cs="Times New Roman"/>
          <w:noProof/>
          <w:sz w:val="24"/>
          <w:szCs w:val="24"/>
        </w:rPr>
        <w:t xml:space="preserve"> Галерије Културног центра</w:t>
      </w:r>
    </w:p>
    <w:p w:rsidR="00B945FA" w:rsidRDefault="001272AE" w:rsidP="00B03CD2">
      <w:pPr>
        <w:pStyle w:val="ListParagraph"/>
        <w:numPr>
          <w:ilvl w:val="0"/>
          <w:numId w:val="11"/>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Стање</w:t>
      </w:r>
      <w:r w:rsidR="00B945FA">
        <w:rPr>
          <w:rFonts w:ascii="Times New Roman" w:hAnsi="Times New Roman" w:cs="Times New Roman"/>
          <w:noProof/>
          <w:sz w:val="24"/>
          <w:szCs w:val="24"/>
        </w:rPr>
        <w:t xml:space="preserve"> домова културе у насељеним местима</w:t>
      </w:r>
    </w:p>
    <w:p w:rsidR="00B945FA" w:rsidRPr="007065E6" w:rsidRDefault="00B945FA" w:rsidP="00B03CD2">
      <w:pPr>
        <w:pStyle w:val="ListParagraph"/>
        <w:numPr>
          <w:ilvl w:val="0"/>
          <w:numId w:val="11"/>
        </w:numPr>
        <w:rPr>
          <w:rFonts w:ascii="Times New Roman" w:hAnsi="Times New Roman" w:cs="Times New Roman"/>
          <w:noProof/>
          <w:sz w:val="24"/>
          <w:szCs w:val="24"/>
          <w:lang/>
        </w:rPr>
      </w:pPr>
      <w:r w:rsidRPr="007065E6">
        <w:rPr>
          <w:rFonts w:ascii="Times New Roman" w:hAnsi="Times New Roman" w:cs="Times New Roman"/>
          <w:noProof/>
          <w:sz w:val="24"/>
          <w:szCs w:val="24"/>
        </w:rPr>
        <w:t xml:space="preserve">Народно позориште Сомбор – </w:t>
      </w:r>
      <w:r w:rsidR="001272AE" w:rsidRPr="007065E6">
        <w:rPr>
          <w:rFonts w:ascii="Times New Roman" w:hAnsi="Times New Roman" w:cs="Times New Roman"/>
          <w:noProof/>
          <w:sz w:val="24"/>
          <w:szCs w:val="24"/>
        </w:rPr>
        <w:t>нерационалност</w:t>
      </w:r>
      <w:r w:rsidRPr="007065E6">
        <w:rPr>
          <w:rFonts w:ascii="Times New Roman" w:hAnsi="Times New Roman" w:cs="Times New Roman"/>
          <w:noProof/>
          <w:sz w:val="24"/>
          <w:szCs w:val="24"/>
        </w:rPr>
        <w:t xml:space="preserve"> система </w:t>
      </w:r>
      <w:r w:rsidR="001272AE" w:rsidRPr="007065E6">
        <w:rPr>
          <w:rFonts w:ascii="Times New Roman" w:hAnsi="Times New Roman" w:cs="Times New Roman"/>
          <w:noProof/>
          <w:sz w:val="24"/>
          <w:szCs w:val="24"/>
        </w:rPr>
        <w:t xml:space="preserve">за </w:t>
      </w:r>
      <w:r w:rsidRPr="007065E6">
        <w:rPr>
          <w:rFonts w:ascii="Times New Roman" w:hAnsi="Times New Roman" w:cs="Times New Roman"/>
          <w:noProof/>
          <w:sz w:val="24"/>
          <w:szCs w:val="24"/>
        </w:rPr>
        <w:t>грејањ</w:t>
      </w:r>
      <w:r w:rsidR="001272AE" w:rsidRPr="007065E6">
        <w:rPr>
          <w:rFonts w:ascii="Times New Roman" w:hAnsi="Times New Roman" w:cs="Times New Roman"/>
          <w:noProof/>
          <w:sz w:val="24"/>
          <w:szCs w:val="24"/>
        </w:rPr>
        <w:t>е</w:t>
      </w:r>
      <w:r w:rsidRPr="007065E6">
        <w:rPr>
          <w:rFonts w:ascii="Times New Roman" w:hAnsi="Times New Roman" w:cs="Times New Roman"/>
          <w:noProof/>
          <w:sz w:val="24"/>
          <w:szCs w:val="24"/>
        </w:rPr>
        <w:t xml:space="preserve">, </w:t>
      </w:r>
      <w:r w:rsidR="001272AE" w:rsidRPr="007065E6">
        <w:rPr>
          <w:rFonts w:ascii="Times New Roman" w:hAnsi="Times New Roman" w:cs="Times New Roman"/>
          <w:noProof/>
          <w:sz w:val="24"/>
          <w:szCs w:val="24"/>
        </w:rPr>
        <w:t xml:space="preserve">непостојање </w:t>
      </w:r>
      <w:r w:rsidRPr="007065E6">
        <w:rPr>
          <w:rFonts w:ascii="Times New Roman" w:hAnsi="Times New Roman" w:cs="Times New Roman"/>
          <w:noProof/>
          <w:sz w:val="24"/>
          <w:szCs w:val="24"/>
        </w:rPr>
        <w:t>вентилације и климатизација сале</w:t>
      </w:r>
      <w:r w:rsidR="007065E6" w:rsidRPr="007065E6">
        <w:rPr>
          <w:rFonts w:ascii="Times New Roman" w:hAnsi="Times New Roman" w:cs="Times New Roman"/>
          <w:noProof/>
          <w:sz w:val="24"/>
          <w:szCs w:val="24"/>
          <w:lang/>
        </w:rPr>
        <w:t>, сценска опрема (пројектори, рефлектори, светлосни пулт, инспицијентски пулт)</w:t>
      </w:r>
    </w:p>
    <w:p w:rsidR="00B945FA" w:rsidRPr="00500B84" w:rsidRDefault="00B945FA" w:rsidP="00B03CD2">
      <w:pPr>
        <w:pStyle w:val="ListParagraph"/>
        <w:numPr>
          <w:ilvl w:val="0"/>
          <w:numId w:val="11"/>
        </w:numPr>
        <w:spacing w:line="276" w:lineRule="auto"/>
        <w:jc w:val="both"/>
        <w:rPr>
          <w:rFonts w:ascii="Times New Roman" w:hAnsi="Times New Roman" w:cs="Times New Roman"/>
          <w:noProof/>
          <w:sz w:val="24"/>
          <w:szCs w:val="24"/>
        </w:rPr>
      </w:pPr>
      <w:r w:rsidRPr="00B945FA">
        <w:rPr>
          <w:rFonts w:ascii="Times New Roman" w:hAnsi="Times New Roman" w:cs="Times New Roman"/>
          <w:noProof/>
          <w:sz w:val="24"/>
          <w:szCs w:val="24"/>
        </w:rPr>
        <w:t xml:space="preserve">Градска библиотека „Карло Бијелицки“  - </w:t>
      </w:r>
      <w:r w:rsidR="001272AE">
        <w:rPr>
          <w:rFonts w:ascii="Times New Roman" w:hAnsi="Times New Roman" w:cs="Times New Roman"/>
          <w:noProof/>
          <w:sz w:val="24"/>
          <w:szCs w:val="24"/>
        </w:rPr>
        <w:t>недостатак</w:t>
      </w:r>
      <w:r w:rsidR="00A14E3D">
        <w:rPr>
          <w:rFonts w:ascii="Times New Roman" w:hAnsi="Times New Roman" w:cs="Times New Roman"/>
          <w:noProof/>
          <w:sz w:val="24"/>
          <w:szCs w:val="24"/>
          <w:lang/>
        </w:rPr>
        <w:t xml:space="preserve"> </w:t>
      </w:r>
      <w:r w:rsidR="00A14E3D" w:rsidRPr="00500B84">
        <w:rPr>
          <w:rFonts w:ascii="Times New Roman" w:hAnsi="Times New Roman" w:cs="Times New Roman"/>
          <w:noProof/>
          <w:sz w:val="24"/>
          <w:szCs w:val="24"/>
          <w:lang/>
        </w:rPr>
        <w:t>посебног</w:t>
      </w:r>
      <w:r w:rsidR="001272AE" w:rsidRPr="00500B84">
        <w:rPr>
          <w:rFonts w:ascii="Times New Roman" w:hAnsi="Times New Roman" w:cs="Times New Roman"/>
          <w:noProof/>
          <w:sz w:val="24"/>
          <w:szCs w:val="24"/>
        </w:rPr>
        <w:t xml:space="preserve"> </w:t>
      </w:r>
      <w:r w:rsidRPr="00500B84">
        <w:rPr>
          <w:rFonts w:ascii="Times New Roman" w:hAnsi="Times New Roman" w:cs="Times New Roman"/>
          <w:noProof/>
          <w:sz w:val="24"/>
          <w:szCs w:val="24"/>
        </w:rPr>
        <w:t>простор</w:t>
      </w:r>
      <w:r w:rsidR="001272AE" w:rsidRPr="00500B84">
        <w:rPr>
          <w:rFonts w:ascii="Times New Roman" w:hAnsi="Times New Roman" w:cs="Times New Roman"/>
          <w:noProof/>
          <w:sz w:val="24"/>
          <w:szCs w:val="24"/>
        </w:rPr>
        <w:t>а за младе</w:t>
      </w:r>
      <w:r w:rsidR="00A14E3D" w:rsidRPr="00500B84">
        <w:rPr>
          <w:rFonts w:ascii="Times New Roman" w:hAnsi="Times New Roman" w:cs="Times New Roman"/>
          <w:noProof/>
          <w:sz w:val="24"/>
          <w:szCs w:val="24"/>
          <w:lang/>
        </w:rPr>
        <w:t xml:space="preserve"> (ученике старијих разреда основних школа и ученике средњих школа)</w:t>
      </w:r>
      <w:r w:rsidR="001272AE" w:rsidRPr="00500B84">
        <w:rPr>
          <w:rFonts w:ascii="Times New Roman" w:hAnsi="Times New Roman" w:cs="Times New Roman"/>
          <w:noProof/>
          <w:sz w:val="24"/>
          <w:szCs w:val="24"/>
        </w:rPr>
        <w:t xml:space="preserve"> и</w:t>
      </w:r>
      <w:r w:rsidRPr="00500B84">
        <w:rPr>
          <w:rFonts w:ascii="Times New Roman" w:hAnsi="Times New Roman" w:cs="Times New Roman"/>
          <w:noProof/>
          <w:sz w:val="24"/>
          <w:szCs w:val="24"/>
        </w:rPr>
        <w:t xml:space="preserve"> простор</w:t>
      </w:r>
      <w:r w:rsidR="001272AE" w:rsidRPr="00500B84">
        <w:rPr>
          <w:rFonts w:ascii="Times New Roman" w:hAnsi="Times New Roman" w:cs="Times New Roman"/>
          <w:noProof/>
          <w:sz w:val="24"/>
          <w:szCs w:val="24"/>
        </w:rPr>
        <w:t>а</w:t>
      </w:r>
      <w:r w:rsidRPr="00500B84">
        <w:rPr>
          <w:rFonts w:ascii="Times New Roman" w:hAnsi="Times New Roman" w:cs="Times New Roman"/>
          <w:noProof/>
          <w:sz w:val="24"/>
          <w:szCs w:val="24"/>
        </w:rPr>
        <w:t xml:space="preserve"> за књиговезницу</w:t>
      </w:r>
    </w:p>
    <w:p w:rsidR="00B87742" w:rsidRPr="00B87742" w:rsidRDefault="00CE39C6"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Већи број установа</w:t>
      </w:r>
      <w:r w:rsidR="00B87742">
        <w:rPr>
          <w:rFonts w:ascii="Times New Roman" w:hAnsi="Times New Roman" w:cs="Times New Roman"/>
          <w:noProof/>
          <w:sz w:val="24"/>
          <w:szCs w:val="24"/>
        </w:rPr>
        <w:t xml:space="preserve"> ку</w:t>
      </w:r>
      <w:r>
        <w:rPr>
          <w:rFonts w:ascii="Times New Roman" w:hAnsi="Times New Roman" w:cs="Times New Roman"/>
          <w:noProof/>
          <w:sz w:val="24"/>
          <w:szCs w:val="24"/>
        </w:rPr>
        <w:t>лтуре нема</w:t>
      </w:r>
      <w:r w:rsidR="00B87742">
        <w:rPr>
          <w:rFonts w:ascii="Times New Roman" w:hAnsi="Times New Roman" w:cs="Times New Roman"/>
          <w:noProof/>
          <w:sz w:val="24"/>
          <w:szCs w:val="24"/>
        </w:rPr>
        <w:t xml:space="preserve"> обезбеђен п</w:t>
      </w:r>
      <w:r>
        <w:rPr>
          <w:rFonts w:ascii="Times New Roman" w:hAnsi="Times New Roman" w:cs="Times New Roman"/>
          <w:noProof/>
          <w:sz w:val="24"/>
          <w:szCs w:val="24"/>
        </w:rPr>
        <w:t xml:space="preserve">риступ </w:t>
      </w:r>
      <w:r w:rsidR="00C72FD0">
        <w:rPr>
          <w:rFonts w:ascii="Times New Roman" w:hAnsi="Times New Roman" w:cs="Times New Roman"/>
          <w:noProof/>
          <w:sz w:val="24"/>
          <w:szCs w:val="24"/>
        </w:rPr>
        <w:t>за особе</w:t>
      </w:r>
      <w:r>
        <w:rPr>
          <w:rFonts w:ascii="Times New Roman" w:hAnsi="Times New Roman" w:cs="Times New Roman"/>
          <w:noProof/>
          <w:sz w:val="24"/>
          <w:szCs w:val="24"/>
        </w:rPr>
        <w:t xml:space="preserve"> са инвалидитетом. Изузетак су Народно позориште Сомбор</w:t>
      </w:r>
      <w:r w:rsidR="00C72FD0">
        <w:rPr>
          <w:rFonts w:ascii="Times New Roman" w:hAnsi="Times New Roman" w:cs="Times New Roman"/>
          <w:noProof/>
          <w:sz w:val="24"/>
          <w:szCs w:val="24"/>
        </w:rPr>
        <w:t>,</w:t>
      </w:r>
      <w:r>
        <w:rPr>
          <w:rFonts w:ascii="Times New Roman" w:hAnsi="Times New Roman" w:cs="Times New Roman"/>
          <w:noProof/>
          <w:sz w:val="24"/>
          <w:szCs w:val="24"/>
        </w:rPr>
        <w:t xml:space="preserve"> које има приступ ка Великој сцени</w:t>
      </w:r>
      <w:r w:rsidR="00C72FD0">
        <w:rPr>
          <w:rFonts w:ascii="Times New Roman" w:hAnsi="Times New Roman" w:cs="Times New Roman"/>
          <w:noProof/>
          <w:sz w:val="24"/>
          <w:szCs w:val="24"/>
        </w:rPr>
        <w:t>,</w:t>
      </w:r>
      <w:r>
        <w:rPr>
          <w:rFonts w:ascii="Times New Roman" w:hAnsi="Times New Roman" w:cs="Times New Roman"/>
          <w:noProof/>
          <w:sz w:val="24"/>
          <w:szCs w:val="24"/>
        </w:rPr>
        <w:t xml:space="preserve"> и Градска библиотека</w:t>
      </w:r>
      <w:r w:rsidR="00C72FD0">
        <w:rPr>
          <w:rFonts w:ascii="Times New Roman" w:hAnsi="Times New Roman" w:cs="Times New Roman"/>
          <w:noProof/>
          <w:sz w:val="24"/>
          <w:szCs w:val="24"/>
        </w:rPr>
        <w:t>,</w:t>
      </w:r>
      <w:r>
        <w:rPr>
          <w:rFonts w:ascii="Times New Roman" w:hAnsi="Times New Roman" w:cs="Times New Roman"/>
          <w:noProof/>
          <w:sz w:val="24"/>
          <w:szCs w:val="24"/>
        </w:rPr>
        <w:t xml:space="preserve"> која има рукохвате на одељењу за одрасле. </w:t>
      </w:r>
    </w:p>
    <w:p w:rsidR="00CE12A8" w:rsidRDefault="00CE12A8"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Тренутно Градска управа Сомбор ради на реконструкцији Грашалковићеве палате у којој би требало да буде смештен депаданс Градског музеја Сомбор – Музеј Подунавских Шваба, Савре</w:t>
      </w:r>
      <w:r w:rsidR="00EB7C6B">
        <w:rPr>
          <w:rFonts w:ascii="Times New Roman" w:hAnsi="Times New Roman" w:cs="Times New Roman"/>
          <w:noProof/>
          <w:sz w:val="24"/>
          <w:szCs w:val="24"/>
        </w:rPr>
        <w:t xml:space="preserve">мена галерија Културног центра, легат Саве Стојкова, </w:t>
      </w:r>
      <w:r>
        <w:rPr>
          <w:rFonts w:ascii="Times New Roman" w:hAnsi="Times New Roman" w:cs="Times New Roman"/>
          <w:noProof/>
          <w:sz w:val="24"/>
          <w:szCs w:val="24"/>
        </w:rPr>
        <w:t xml:space="preserve">управна зграда Културног центра и мултимедијални </w:t>
      </w:r>
      <w:r w:rsidR="00EB7C6B">
        <w:rPr>
          <w:rFonts w:ascii="Times New Roman" w:hAnsi="Times New Roman" w:cs="Times New Roman"/>
          <w:noProof/>
          <w:sz w:val="24"/>
          <w:szCs w:val="24"/>
        </w:rPr>
        <w:t>салони</w:t>
      </w:r>
      <w:r>
        <w:rPr>
          <w:rFonts w:ascii="Times New Roman" w:hAnsi="Times New Roman" w:cs="Times New Roman"/>
          <w:noProof/>
          <w:sz w:val="24"/>
          <w:szCs w:val="24"/>
        </w:rPr>
        <w:t xml:space="preserve">. </w:t>
      </w:r>
    </w:p>
    <w:p w:rsidR="00376606" w:rsidRDefault="00B945FA" w:rsidP="00594010">
      <w:pPr>
        <w:spacing w:line="276" w:lineRule="auto"/>
        <w:ind w:firstLine="720"/>
        <w:jc w:val="both"/>
        <w:rPr>
          <w:rFonts w:ascii="Times New Roman" w:hAnsi="Times New Roman" w:cs="Times New Roman"/>
          <w:noProof/>
          <w:sz w:val="24"/>
          <w:szCs w:val="24"/>
          <w:lang/>
        </w:rPr>
      </w:pPr>
      <w:r>
        <w:rPr>
          <w:rFonts w:ascii="Times New Roman" w:hAnsi="Times New Roman" w:cs="Times New Roman"/>
          <w:noProof/>
          <w:sz w:val="24"/>
          <w:szCs w:val="24"/>
        </w:rPr>
        <w:t>Посеб</w:t>
      </w:r>
      <w:r w:rsidR="00C72FD0">
        <w:rPr>
          <w:rFonts w:ascii="Times New Roman" w:hAnsi="Times New Roman" w:cs="Times New Roman"/>
          <w:noProof/>
          <w:sz w:val="24"/>
          <w:szCs w:val="24"/>
        </w:rPr>
        <w:t>ан проблем са којим се суочава</w:t>
      </w:r>
      <w:r>
        <w:rPr>
          <w:rFonts w:ascii="Times New Roman" w:hAnsi="Times New Roman" w:cs="Times New Roman"/>
          <w:noProof/>
          <w:sz w:val="24"/>
          <w:szCs w:val="24"/>
        </w:rPr>
        <w:t xml:space="preserve"> Градска управ</w:t>
      </w:r>
      <w:r w:rsidR="00C72FD0">
        <w:rPr>
          <w:rFonts w:ascii="Times New Roman" w:hAnsi="Times New Roman" w:cs="Times New Roman"/>
          <w:noProof/>
          <w:sz w:val="24"/>
          <w:szCs w:val="24"/>
        </w:rPr>
        <w:t>а Сомбор је</w:t>
      </w:r>
      <w:r>
        <w:rPr>
          <w:rFonts w:ascii="Times New Roman" w:hAnsi="Times New Roman" w:cs="Times New Roman"/>
          <w:noProof/>
          <w:sz w:val="24"/>
          <w:szCs w:val="24"/>
        </w:rPr>
        <w:t xml:space="preserve"> лоше стање домова културе у насељеним местима. Током 2015. године Г</w:t>
      </w:r>
      <w:r w:rsidRPr="00B945FA">
        <w:rPr>
          <w:rFonts w:ascii="Times New Roman" w:hAnsi="Times New Roman" w:cs="Times New Roman"/>
          <w:noProof/>
          <w:sz w:val="24"/>
          <w:szCs w:val="24"/>
        </w:rPr>
        <w:t xml:space="preserve">радска управа је формирала тим који је обавио истраживање о стању домова културе у селима, да би 2017. године села обишли и људи грађевинске струке ради израде пројектно-техничке документације. Након тога </w:t>
      </w:r>
      <w:r w:rsidRPr="00B945FA">
        <w:rPr>
          <w:rFonts w:ascii="Times New Roman" w:hAnsi="Times New Roman" w:cs="Times New Roman"/>
          <w:noProof/>
          <w:sz w:val="24"/>
          <w:szCs w:val="24"/>
        </w:rPr>
        <w:lastRenderedPageBreak/>
        <w:t>Дом културе у Стапару је потпуно реновиран</w:t>
      </w:r>
      <w:r>
        <w:rPr>
          <w:rStyle w:val="FootnoteReference"/>
          <w:rFonts w:ascii="Times New Roman" w:hAnsi="Times New Roman" w:cs="Times New Roman"/>
          <w:noProof/>
          <w:sz w:val="24"/>
          <w:szCs w:val="24"/>
        </w:rPr>
        <w:footnoteReference w:id="18"/>
      </w:r>
      <w:r w:rsidR="00037062">
        <w:rPr>
          <w:rFonts w:ascii="Times New Roman" w:hAnsi="Times New Roman" w:cs="Times New Roman"/>
          <w:noProof/>
          <w:sz w:val="24"/>
          <w:szCs w:val="24"/>
        </w:rPr>
        <w:t>.  П</w:t>
      </w:r>
      <w:r w:rsidRPr="00B945FA">
        <w:rPr>
          <w:rFonts w:ascii="Times New Roman" w:hAnsi="Times New Roman" w:cs="Times New Roman"/>
          <w:noProof/>
          <w:sz w:val="24"/>
          <w:szCs w:val="24"/>
        </w:rPr>
        <w:t xml:space="preserve">рема речима </w:t>
      </w:r>
      <w:r w:rsidR="00037062">
        <w:rPr>
          <w:rFonts w:ascii="Times New Roman" w:hAnsi="Times New Roman" w:cs="Times New Roman"/>
          <w:noProof/>
          <w:sz w:val="24"/>
          <w:szCs w:val="24"/>
        </w:rPr>
        <w:t>учесника фокус група дом</w:t>
      </w:r>
      <w:r w:rsidR="004A5346">
        <w:rPr>
          <w:rFonts w:ascii="Times New Roman" w:hAnsi="Times New Roman" w:cs="Times New Roman"/>
          <w:noProof/>
          <w:sz w:val="24"/>
          <w:szCs w:val="24"/>
        </w:rPr>
        <w:t xml:space="preserve">ови културе у Бачком Моноштору, </w:t>
      </w:r>
      <w:r w:rsidR="00037062">
        <w:rPr>
          <w:rFonts w:ascii="Times New Roman" w:hAnsi="Times New Roman" w:cs="Times New Roman"/>
          <w:noProof/>
          <w:sz w:val="24"/>
          <w:szCs w:val="24"/>
        </w:rPr>
        <w:t>Светозару Милетићу</w:t>
      </w:r>
      <w:r w:rsidR="004A5346">
        <w:rPr>
          <w:rFonts w:ascii="Times New Roman" w:hAnsi="Times New Roman" w:cs="Times New Roman"/>
          <w:noProof/>
          <w:sz w:val="24"/>
          <w:szCs w:val="24"/>
        </w:rPr>
        <w:t>, Чонопљи, Телечкој и Дорослову</w:t>
      </w:r>
      <w:r w:rsidR="00037062">
        <w:rPr>
          <w:rFonts w:ascii="Times New Roman" w:hAnsi="Times New Roman" w:cs="Times New Roman"/>
          <w:noProof/>
          <w:sz w:val="24"/>
          <w:szCs w:val="24"/>
        </w:rPr>
        <w:t xml:space="preserve"> су у добром стању, </w:t>
      </w:r>
      <w:r w:rsidR="00A14E3D">
        <w:rPr>
          <w:rFonts w:ascii="Times New Roman" w:hAnsi="Times New Roman" w:cs="Times New Roman"/>
          <w:noProof/>
          <w:sz w:val="24"/>
          <w:szCs w:val="24"/>
          <w:lang/>
        </w:rPr>
        <w:t xml:space="preserve">дом културе у Гакову се реновира, </w:t>
      </w:r>
      <w:r w:rsidR="00037062">
        <w:rPr>
          <w:rFonts w:ascii="Times New Roman" w:hAnsi="Times New Roman" w:cs="Times New Roman"/>
          <w:noProof/>
          <w:sz w:val="24"/>
          <w:szCs w:val="24"/>
        </w:rPr>
        <w:t>а потребно је реновирати домове културе у Кљајићеву, Ба</w:t>
      </w:r>
      <w:r w:rsidR="004A5346">
        <w:rPr>
          <w:rFonts w:ascii="Times New Roman" w:hAnsi="Times New Roman" w:cs="Times New Roman"/>
          <w:noProof/>
          <w:sz w:val="24"/>
          <w:szCs w:val="24"/>
        </w:rPr>
        <w:t>чком Брегу, Станишићу и Колуту, док зграде домова к</w:t>
      </w:r>
      <w:r w:rsidR="00A14E3D">
        <w:rPr>
          <w:rFonts w:ascii="Times New Roman" w:hAnsi="Times New Roman" w:cs="Times New Roman"/>
          <w:noProof/>
          <w:sz w:val="24"/>
          <w:szCs w:val="24"/>
        </w:rPr>
        <w:t>ултуре у Риђици, Растини</w:t>
      </w:r>
      <w:r w:rsidR="00A14E3D">
        <w:rPr>
          <w:rFonts w:ascii="Times New Roman" w:hAnsi="Times New Roman" w:cs="Times New Roman"/>
          <w:noProof/>
          <w:sz w:val="24"/>
          <w:szCs w:val="24"/>
          <w:lang/>
        </w:rPr>
        <w:t xml:space="preserve"> </w:t>
      </w:r>
      <w:r w:rsidR="004A5346">
        <w:rPr>
          <w:rFonts w:ascii="Times New Roman" w:hAnsi="Times New Roman" w:cs="Times New Roman"/>
          <w:noProof/>
          <w:sz w:val="24"/>
          <w:szCs w:val="24"/>
        </w:rPr>
        <w:t xml:space="preserve">су у веома лошем стању, а у самим насељеним местима нема заинтересоване публике. </w:t>
      </w:r>
      <w:r w:rsidR="00A14E3D">
        <w:rPr>
          <w:rFonts w:ascii="Times New Roman" w:hAnsi="Times New Roman" w:cs="Times New Roman"/>
          <w:noProof/>
          <w:sz w:val="24"/>
          <w:szCs w:val="24"/>
          <w:lang/>
        </w:rPr>
        <w:t xml:space="preserve">Дом културе у Алекси Шантићу не постоји. </w:t>
      </w:r>
      <w:r w:rsidR="004A5346">
        <w:rPr>
          <w:rFonts w:ascii="Times New Roman" w:hAnsi="Times New Roman" w:cs="Times New Roman"/>
          <w:noProof/>
          <w:sz w:val="24"/>
          <w:szCs w:val="24"/>
        </w:rPr>
        <w:t>Зграда дома културе у Бездану</w:t>
      </w:r>
      <w:r w:rsidR="00376606">
        <w:rPr>
          <w:rFonts w:ascii="Times New Roman" w:hAnsi="Times New Roman" w:cs="Times New Roman"/>
          <w:noProof/>
          <w:sz w:val="24"/>
          <w:szCs w:val="24"/>
          <w:lang/>
        </w:rPr>
        <w:t xml:space="preserve"> је у </w:t>
      </w:r>
      <w:r w:rsidR="00376606">
        <w:rPr>
          <w:rFonts w:ascii="Times New Roman" w:hAnsi="Times New Roman" w:cs="Times New Roman"/>
          <w:noProof/>
          <w:sz w:val="24"/>
          <w:szCs w:val="24"/>
        </w:rPr>
        <w:t>приватном власништву</w:t>
      </w:r>
      <w:r w:rsidR="00376606">
        <w:rPr>
          <w:rFonts w:ascii="Times New Roman" w:hAnsi="Times New Roman" w:cs="Times New Roman"/>
          <w:noProof/>
          <w:sz w:val="24"/>
          <w:szCs w:val="24"/>
          <w:lang/>
        </w:rPr>
        <w:t>.</w:t>
      </w:r>
    </w:p>
    <w:p w:rsidR="00EF057A" w:rsidRDefault="004A5346"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 xml:space="preserve">У </w:t>
      </w:r>
      <w:r w:rsidR="00FA60A2">
        <w:rPr>
          <w:rFonts w:ascii="Times New Roman" w:hAnsi="Times New Roman" w:cs="Times New Roman"/>
          <w:noProof/>
          <w:sz w:val="24"/>
          <w:szCs w:val="24"/>
        </w:rPr>
        <w:t>Сомбору велики проблем представља непостојање мултифункционалне дворане, због чега се многи веома посећени културни програми (концерти, наступи КУД – ова..</w:t>
      </w:r>
      <w:r w:rsidR="006237BB">
        <w:rPr>
          <w:rFonts w:ascii="Times New Roman" w:hAnsi="Times New Roman" w:cs="Times New Roman"/>
          <w:noProof/>
          <w:sz w:val="24"/>
          <w:szCs w:val="24"/>
        </w:rPr>
        <w:t>.</w:t>
      </w:r>
      <w:r w:rsidR="002B257D">
        <w:rPr>
          <w:rFonts w:ascii="Times New Roman" w:hAnsi="Times New Roman" w:cs="Times New Roman"/>
          <w:noProof/>
          <w:sz w:val="24"/>
          <w:szCs w:val="24"/>
        </w:rPr>
        <w:t xml:space="preserve">) одржавају на отвореном, </w:t>
      </w:r>
      <w:r w:rsidR="00FA60A2">
        <w:rPr>
          <w:rFonts w:ascii="Times New Roman" w:hAnsi="Times New Roman" w:cs="Times New Roman"/>
          <w:noProof/>
          <w:sz w:val="24"/>
          <w:szCs w:val="24"/>
        </w:rPr>
        <w:t>у Хали „</w:t>
      </w:r>
      <w:r w:rsidR="00376606" w:rsidRPr="00376606">
        <w:t xml:space="preserve"> </w:t>
      </w:r>
      <w:r w:rsidR="00376606" w:rsidRPr="00376606">
        <w:rPr>
          <w:rFonts w:ascii="Times New Roman" w:hAnsi="Times New Roman" w:cs="Times New Roman"/>
          <w:noProof/>
          <w:sz w:val="24"/>
          <w:szCs w:val="24"/>
        </w:rPr>
        <w:t>Мостонга</w:t>
      </w:r>
      <w:r w:rsidR="00FA60A2">
        <w:rPr>
          <w:rFonts w:ascii="Times New Roman" w:hAnsi="Times New Roman" w:cs="Times New Roman"/>
          <w:noProof/>
          <w:sz w:val="24"/>
          <w:szCs w:val="24"/>
        </w:rPr>
        <w:t>“ која није акустична</w:t>
      </w:r>
      <w:r w:rsidR="002B257D">
        <w:rPr>
          <w:rFonts w:ascii="Times New Roman" w:hAnsi="Times New Roman" w:cs="Times New Roman"/>
          <w:noProof/>
          <w:sz w:val="24"/>
          <w:szCs w:val="24"/>
        </w:rPr>
        <w:t xml:space="preserve"> или у дворани Соколског дома</w:t>
      </w:r>
      <w:r w:rsidR="00FA60A2">
        <w:rPr>
          <w:rFonts w:ascii="Times New Roman" w:hAnsi="Times New Roman" w:cs="Times New Roman"/>
          <w:noProof/>
          <w:sz w:val="24"/>
          <w:szCs w:val="24"/>
        </w:rPr>
        <w:t xml:space="preserve">. Једина већа </w:t>
      </w:r>
      <w:r w:rsidR="00C72FD0">
        <w:rPr>
          <w:rFonts w:ascii="Times New Roman" w:hAnsi="Times New Roman" w:cs="Times New Roman"/>
          <w:noProof/>
          <w:sz w:val="24"/>
          <w:szCs w:val="24"/>
        </w:rPr>
        <w:t xml:space="preserve">сала </w:t>
      </w:r>
      <w:r w:rsidR="00FA60A2">
        <w:rPr>
          <w:rFonts w:ascii="Times New Roman" w:hAnsi="Times New Roman" w:cs="Times New Roman"/>
          <w:noProof/>
          <w:sz w:val="24"/>
          <w:szCs w:val="24"/>
        </w:rPr>
        <w:t xml:space="preserve">налази се у Народном позоришту Сомбор на Великој сцени која има 325 седишта, али није адекватна за извођење свих културних програма. </w:t>
      </w:r>
      <w:r w:rsidR="00CE12A8">
        <w:rPr>
          <w:rFonts w:ascii="Times New Roman" w:hAnsi="Times New Roman" w:cs="Times New Roman"/>
          <w:noProof/>
          <w:sz w:val="24"/>
          <w:szCs w:val="24"/>
        </w:rPr>
        <w:t>Градска управа Сомбор отпочела је</w:t>
      </w:r>
      <w:r w:rsidR="00EF057A">
        <w:rPr>
          <w:rFonts w:ascii="Times New Roman" w:hAnsi="Times New Roman" w:cs="Times New Roman"/>
          <w:noProof/>
          <w:sz w:val="24"/>
          <w:szCs w:val="24"/>
        </w:rPr>
        <w:t xml:space="preserve"> адаптацију</w:t>
      </w:r>
      <w:r w:rsidR="00CE12A8">
        <w:rPr>
          <w:rFonts w:ascii="Times New Roman" w:hAnsi="Times New Roman" w:cs="Times New Roman"/>
          <w:noProof/>
          <w:sz w:val="24"/>
          <w:szCs w:val="24"/>
        </w:rPr>
        <w:t xml:space="preserve"> некадашње зграде Дома омладине</w:t>
      </w:r>
      <w:r w:rsidR="00EF057A">
        <w:rPr>
          <w:rFonts w:ascii="Times New Roman" w:hAnsi="Times New Roman" w:cs="Times New Roman"/>
          <w:noProof/>
          <w:sz w:val="24"/>
          <w:szCs w:val="24"/>
        </w:rPr>
        <w:t xml:space="preserve"> у којој ће се налазитимултифункционална </w:t>
      </w:r>
      <w:r w:rsidR="00C72FD0">
        <w:rPr>
          <w:rFonts w:ascii="Times New Roman" w:hAnsi="Times New Roman" w:cs="Times New Roman"/>
          <w:noProof/>
          <w:sz w:val="24"/>
          <w:szCs w:val="24"/>
        </w:rPr>
        <w:t xml:space="preserve">сала </w:t>
      </w:r>
      <w:r w:rsidR="008F6A37" w:rsidRPr="006C6FB5">
        <w:rPr>
          <w:rFonts w:ascii="Times New Roman" w:hAnsi="Times New Roman" w:cs="Times New Roman"/>
          <w:noProof/>
          <w:sz w:val="24"/>
          <w:szCs w:val="24"/>
          <w:lang/>
        </w:rPr>
        <w:t>са</w:t>
      </w:r>
      <w:r w:rsidR="00C72FD0">
        <w:rPr>
          <w:rFonts w:ascii="Times New Roman" w:hAnsi="Times New Roman" w:cs="Times New Roman"/>
          <w:noProof/>
          <w:sz w:val="24"/>
          <w:szCs w:val="24"/>
        </w:rPr>
        <w:t xml:space="preserve"> око 200 места</w:t>
      </w:r>
      <w:r w:rsidR="00CE12A8">
        <w:rPr>
          <w:rFonts w:ascii="Times New Roman" w:hAnsi="Times New Roman" w:cs="Times New Roman"/>
          <w:noProof/>
          <w:sz w:val="24"/>
          <w:szCs w:val="24"/>
        </w:rPr>
        <w:t>.</w:t>
      </w:r>
    </w:p>
    <w:p w:rsidR="004E14CA" w:rsidRDefault="00EF057A"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Према речима учесника фок</w:t>
      </w:r>
      <w:r w:rsidR="00C72FD0">
        <w:rPr>
          <w:rFonts w:ascii="Times New Roman" w:hAnsi="Times New Roman" w:cs="Times New Roman"/>
          <w:noProof/>
          <w:sz w:val="24"/>
          <w:szCs w:val="24"/>
        </w:rPr>
        <w:t xml:space="preserve">ус групе и чланова Радне групе </w:t>
      </w:r>
      <w:r>
        <w:rPr>
          <w:rFonts w:ascii="Times New Roman" w:hAnsi="Times New Roman" w:cs="Times New Roman"/>
          <w:noProof/>
          <w:sz w:val="24"/>
          <w:szCs w:val="24"/>
        </w:rPr>
        <w:t>проблем функционисањ</w:t>
      </w:r>
      <w:r w:rsidR="00C72FD0">
        <w:rPr>
          <w:rFonts w:ascii="Times New Roman" w:hAnsi="Times New Roman" w:cs="Times New Roman"/>
          <w:noProof/>
          <w:sz w:val="24"/>
          <w:szCs w:val="24"/>
        </w:rPr>
        <w:t>а</w:t>
      </w:r>
      <w:r>
        <w:rPr>
          <w:rFonts w:ascii="Times New Roman" w:hAnsi="Times New Roman" w:cs="Times New Roman"/>
          <w:noProof/>
          <w:sz w:val="24"/>
          <w:szCs w:val="24"/>
        </w:rPr>
        <w:t xml:space="preserve"> установа културе </w:t>
      </w:r>
      <w:r w:rsidR="00C72FD0">
        <w:rPr>
          <w:rFonts w:ascii="Times New Roman" w:hAnsi="Times New Roman" w:cs="Times New Roman"/>
          <w:noProof/>
          <w:sz w:val="24"/>
          <w:szCs w:val="24"/>
        </w:rPr>
        <w:t xml:space="preserve">је </w:t>
      </w:r>
      <w:r>
        <w:rPr>
          <w:rFonts w:ascii="Times New Roman" w:hAnsi="Times New Roman" w:cs="Times New Roman"/>
          <w:noProof/>
          <w:sz w:val="24"/>
          <w:szCs w:val="24"/>
        </w:rPr>
        <w:t>и лоша опремљеност установа новим технологијама, као и другом потребном опремом. Са овим ставом се слаже и 13,9% анкетирани</w:t>
      </w:r>
      <w:r w:rsidR="00C72FD0">
        <w:rPr>
          <w:rFonts w:ascii="Times New Roman" w:hAnsi="Times New Roman" w:cs="Times New Roman"/>
          <w:noProof/>
          <w:sz w:val="24"/>
          <w:szCs w:val="24"/>
        </w:rPr>
        <w:t>х</w:t>
      </w:r>
      <w:r w:rsidR="00376606">
        <w:rPr>
          <w:rFonts w:ascii="Times New Roman" w:hAnsi="Times New Roman" w:cs="Times New Roman"/>
          <w:noProof/>
          <w:sz w:val="24"/>
          <w:szCs w:val="24"/>
          <w:lang/>
        </w:rPr>
        <w:t xml:space="preserve"> </w:t>
      </w:r>
      <w:r w:rsidR="00C72FD0">
        <w:rPr>
          <w:rFonts w:ascii="Times New Roman" w:hAnsi="Times New Roman" w:cs="Times New Roman"/>
          <w:noProof/>
          <w:sz w:val="24"/>
          <w:szCs w:val="24"/>
        </w:rPr>
        <w:t>културних делатника</w:t>
      </w:r>
      <w:r>
        <w:rPr>
          <w:rFonts w:ascii="Times New Roman" w:hAnsi="Times New Roman" w:cs="Times New Roman"/>
          <w:noProof/>
          <w:sz w:val="24"/>
          <w:szCs w:val="24"/>
        </w:rPr>
        <w:t xml:space="preserve">. </w:t>
      </w:r>
      <w:r w:rsidR="00B87742">
        <w:rPr>
          <w:rFonts w:ascii="Times New Roman" w:hAnsi="Times New Roman" w:cs="Times New Roman"/>
          <w:noProof/>
          <w:sz w:val="24"/>
          <w:szCs w:val="24"/>
        </w:rPr>
        <w:t xml:space="preserve">У консултативном процесу истакнуте су следеће потребе за опремом:  </w:t>
      </w:r>
    </w:p>
    <w:p w:rsidR="00B87742" w:rsidRDefault="00B87742" w:rsidP="00B03CD2">
      <w:pPr>
        <w:pStyle w:val="ListParagraph"/>
        <w:numPr>
          <w:ilvl w:val="0"/>
          <w:numId w:val="12"/>
        </w:numPr>
        <w:spacing w:line="276" w:lineRule="auto"/>
        <w:jc w:val="both"/>
        <w:rPr>
          <w:rFonts w:ascii="Times New Roman" w:hAnsi="Times New Roman" w:cs="Times New Roman"/>
          <w:noProof/>
          <w:sz w:val="24"/>
          <w:szCs w:val="24"/>
        </w:rPr>
      </w:pPr>
      <w:r w:rsidRPr="00B87742">
        <w:rPr>
          <w:rFonts w:ascii="Times New Roman" w:hAnsi="Times New Roman" w:cs="Times New Roman"/>
          <w:noProof/>
          <w:sz w:val="24"/>
          <w:szCs w:val="24"/>
        </w:rPr>
        <w:t xml:space="preserve">Градски музеј Сомбор –  </w:t>
      </w:r>
      <w:r>
        <w:rPr>
          <w:rFonts w:ascii="Times New Roman" w:hAnsi="Times New Roman" w:cs="Times New Roman"/>
          <w:noProof/>
          <w:sz w:val="24"/>
          <w:szCs w:val="24"/>
        </w:rPr>
        <w:t>интернет у Музеју Батинске битке, витрине у Градском музеју</w:t>
      </w:r>
    </w:p>
    <w:p w:rsidR="00B87742" w:rsidRPr="00F85DF5" w:rsidRDefault="00B87742" w:rsidP="00B03CD2">
      <w:pPr>
        <w:pStyle w:val="ListParagraph"/>
        <w:numPr>
          <w:ilvl w:val="0"/>
          <w:numId w:val="12"/>
        </w:numPr>
        <w:rPr>
          <w:rFonts w:ascii="Times New Roman" w:hAnsi="Times New Roman" w:cs="Times New Roman"/>
          <w:noProof/>
          <w:sz w:val="24"/>
          <w:szCs w:val="24"/>
          <w:lang/>
        </w:rPr>
      </w:pPr>
      <w:r w:rsidRPr="00F85DF5">
        <w:rPr>
          <w:rFonts w:ascii="Times New Roman" w:hAnsi="Times New Roman" w:cs="Times New Roman"/>
          <w:noProof/>
          <w:sz w:val="24"/>
          <w:szCs w:val="24"/>
        </w:rPr>
        <w:t>Културни центар „Лаза Костић“ – интернет у домовима културе у насељеним местима</w:t>
      </w:r>
      <w:r w:rsidR="00F85DF5" w:rsidRPr="00F85DF5">
        <w:rPr>
          <w:rFonts w:ascii="Times New Roman" w:hAnsi="Times New Roman" w:cs="Times New Roman"/>
          <w:noProof/>
          <w:sz w:val="24"/>
          <w:szCs w:val="24"/>
          <w:lang/>
        </w:rPr>
        <w:t>, комби за транспорт уметничких дела, као и учесника у манифестацијама Културног центра, камион за транспорт опреме која служи за реализацију манифестација( панои, штафелаји, практикабли, рамови, столице, столови и сл)</w:t>
      </w:r>
    </w:p>
    <w:p w:rsidR="00B87742" w:rsidRDefault="00B87742" w:rsidP="00B03CD2">
      <w:pPr>
        <w:pStyle w:val="ListParagraph"/>
        <w:numPr>
          <w:ilvl w:val="0"/>
          <w:numId w:val="12"/>
        </w:numPr>
        <w:spacing w:line="276" w:lineRule="auto"/>
        <w:jc w:val="both"/>
        <w:rPr>
          <w:rFonts w:ascii="Times New Roman" w:hAnsi="Times New Roman" w:cs="Times New Roman"/>
          <w:noProof/>
          <w:sz w:val="24"/>
          <w:szCs w:val="24"/>
        </w:rPr>
      </w:pPr>
      <w:r w:rsidRPr="00B87742">
        <w:rPr>
          <w:rFonts w:ascii="Times New Roman" w:hAnsi="Times New Roman" w:cs="Times New Roman"/>
          <w:noProof/>
          <w:sz w:val="24"/>
          <w:szCs w:val="24"/>
        </w:rPr>
        <w:t xml:space="preserve">Народно позориште Сомбор – </w:t>
      </w:r>
      <w:r>
        <w:rPr>
          <w:rFonts w:ascii="Times New Roman" w:hAnsi="Times New Roman" w:cs="Times New Roman"/>
          <w:noProof/>
          <w:sz w:val="24"/>
          <w:szCs w:val="24"/>
        </w:rPr>
        <w:t xml:space="preserve">камион за потребе превоза сценографије, </w:t>
      </w:r>
      <w:r w:rsidR="00C72FD0">
        <w:rPr>
          <w:rFonts w:ascii="Times New Roman" w:hAnsi="Times New Roman" w:cs="Times New Roman"/>
          <w:noProof/>
          <w:sz w:val="24"/>
          <w:szCs w:val="24"/>
        </w:rPr>
        <w:t xml:space="preserve">комби за превоз позоришне екипе на гостовања, </w:t>
      </w:r>
      <w:r>
        <w:rPr>
          <w:rFonts w:ascii="Times New Roman" w:hAnsi="Times New Roman" w:cs="Times New Roman"/>
          <w:noProof/>
          <w:sz w:val="24"/>
          <w:szCs w:val="24"/>
        </w:rPr>
        <w:t>софтвери за титловање представа</w:t>
      </w:r>
    </w:p>
    <w:p w:rsidR="00B87742" w:rsidRDefault="00B87742" w:rsidP="00B03CD2">
      <w:pPr>
        <w:pStyle w:val="ListParagraph"/>
        <w:numPr>
          <w:ilvl w:val="0"/>
          <w:numId w:val="12"/>
        </w:numPr>
        <w:spacing w:line="276" w:lineRule="auto"/>
        <w:jc w:val="both"/>
        <w:rPr>
          <w:rFonts w:ascii="Times New Roman" w:hAnsi="Times New Roman" w:cs="Times New Roman"/>
          <w:noProof/>
          <w:sz w:val="24"/>
          <w:szCs w:val="24"/>
        </w:rPr>
      </w:pPr>
      <w:r w:rsidRPr="00B87742">
        <w:rPr>
          <w:rFonts w:ascii="Times New Roman" w:hAnsi="Times New Roman" w:cs="Times New Roman"/>
          <w:noProof/>
          <w:sz w:val="24"/>
          <w:szCs w:val="24"/>
        </w:rPr>
        <w:t>Градск</w:t>
      </w:r>
      <w:r w:rsidR="00C72FD0">
        <w:rPr>
          <w:rFonts w:ascii="Times New Roman" w:hAnsi="Times New Roman" w:cs="Times New Roman"/>
          <w:noProof/>
          <w:sz w:val="24"/>
          <w:szCs w:val="24"/>
        </w:rPr>
        <w:t>а библиотека „Карло Бијелицки“ –</w:t>
      </w:r>
      <w:r>
        <w:rPr>
          <w:rFonts w:ascii="Times New Roman" w:hAnsi="Times New Roman" w:cs="Times New Roman"/>
          <w:noProof/>
          <w:sz w:val="24"/>
          <w:szCs w:val="24"/>
        </w:rPr>
        <w:t xml:space="preserve">компјутери, интернет у огранцима Библиотеке </w:t>
      </w:r>
    </w:p>
    <w:p w:rsidR="005D6713" w:rsidRDefault="00B87742" w:rsidP="00B03CD2">
      <w:pPr>
        <w:pStyle w:val="ListParagraph"/>
        <w:numPr>
          <w:ilvl w:val="0"/>
          <w:numId w:val="12"/>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Историјски архив Сомбор – компјутери,</w:t>
      </w:r>
      <w:r w:rsidR="00CE39C6">
        <w:rPr>
          <w:rFonts w:ascii="Times New Roman" w:hAnsi="Times New Roman" w:cs="Times New Roman"/>
          <w:noProof/>
          <w:sz w:val="24"/>
          <w:szCs w:val="24"/>
        </w:rPr>
        <w:t xml:space="preserve"> скенери</w:t>
      </w:r>
    </w:p>
    <w:p w:rsidR="00F76502" w:rsidRPr="000606DF" w:rsidRDefault="00F76502" w:rsidP="00D33C02">
      <w:pPr>
        <w:pStyle w:val="Heading3"/>
        <w:spacing w:before="0"/>
        <w:rPr>
          <w:i/>
          <w:noProof/>
        </w:rPr>
      </w:pPr>
      <w:bookmarkStart w:id="13" w:name="_Toc36072289"/>
      <w:r w:rsidRPr="000606DF">
        <w:rPr>
          <w:i/>
          <w:noProof/>
        </w:rPr>
        <w:t>Биоскоп</w:t>
      </w:r>
      <w:bookmarkEnd w:id="13"/>
    </w:p>
    <w:p w:rsidR="00594010" w:rsidRPr="00594010" w:rsidRDefault="00594010" w:rsidP="00594010">
      <w:pPr>
        <w:spacing w:after="0"/>
      </w:pPr>
    </w:p>
    <w:p w:rsidR="00131F6C" w:rsidRDefault="00131F6C" w:rsidP="000764E2">
      <w:pPr>
        <w:spacing w:line="276" w:lineRule="auto"/>
        <w:jc w:val="both"/>
        <w:rPr>
          <w:rFonts w:ascii="Times New Roman" w:hAnsi="Times New Roman" w:cs="Times New Roman"/>
          <w:noProof/>
          <w:sz w:val="24"/>
          <w:szCs w:val="24"/>
          <w:lang w:val="sr-Cyrl-CS"/>
        </w:rPr>
      </w:pPr>
      <w:r>
        <w:rPr>
          <w:rFonts w:ascii="Times New Roman" w:hAnsi="Times New Roman" w:cs="Times New Roman"/>
          <w:noProof/>
          <w:sz w:val="24"/>
          <w:szCs w:val="24"/>
        </w:rPr>
        <w:t xml:space="preserve">Културну понуду Сомбора употпуњује и </w:t>
      </w:r>
      <w:r w:rsidRPr="00131F6C">
        <w:rPr>
          <w:rFonts w:ascii="Times New Roman" w:hAnsi="Times New Roman" w:cs="Times New Roman"/>
          <w:b/>
          <w:i/>
          <w:noProof/>
          <w:sz w:val="24"/>
          <w:szCs w:val="24"/>
        </w:rPr>
        <w:t>Народни биоскоп</w:t>
      </w:r>
      <w:r>
        <w:rPr>
          <w:rFonts w:ascii="Times New Roman" w:hAnsi="Times New Roman" w:cs="Times New Roman"/>
          <w:noProof/>
          <w:sz w:val="24"/>
          <w:szCs w:val="24"/>
        </w:rPr>
        <w:t xml:space="preserve">, основан 2009. године, који је у приватном власништву. </w:t>
      </w:r>
      <w:r>
        <w:rPr>
          <w:rFonts w:ascii="Times New Roman" w:hAnsi="Times New Roman" w:cs="Times New Roman"/>
          <w:noProof/>
          <w:sz w:val="24"/>
          <w:szCs w:val="24"/>
          <w:lang w:val="sr-Cyrl-CS"/>
        </w:rPr>
        <w:t>Биоскоп</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поседује</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салу</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за</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гледање</w:t>
      </w:r>
      <w:r w:rsidRPr="00131F6C">
        <w:rPr>
          <w:rFonts w:ascii="Times New Roman" w:hAnsi="Times New Roman" w:cs="Times New Roman"/>
          <w:noProof/>
          <w:sz w:val="24"/>
          <w:szCs w:val="24"/>
          <w:lang w:val="sr-Cyrl-CS"/>
        </w:rPr>
        <w:t xml:space="preserve"> 3</w:t>
      </w:r>
      <w:r>
        <w:rPr>
          <w:rFonts w:ascii="Times New Roman" w:hAnsi="Times New Roman" w:cs="Times New Roman"/>
          <w:noProof/>
          <w:sz w:val="24"/>
          <w:szCs w:val="24"/>
          <w:lang w:val="sr-Cyrl-CS"/>
        </w:rPr>
        <w:t>Д</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филмова која располаже</w:t>
      </w:r>
      <w:r w:rsidR="006C6FB5">
        <w:rPr>
          <w:rFonts w:ascii="Times New Roman" w:hAnsi="Times New Roman" w:cs="Times New Roman"/>
          <w:noProof/>
          <w:sz w:val="24"/>
          <w:szCs w:val="24"/>
          <w:lang w:val="sr-Cyrl-CS"/>
        </w:rPr>
        <w:t xml:space="preserve"> </w:t>
      </w:r>
      <w:r>
        <w:rPr>
          <w:rFonts w:ascii="Times New Roman" w:hAnsi="Times New Roman" w:cs="Times New Roman"/>
          <w:noProof/>
          <w:sz w:val="24"/>
          <w:szCs w:val="24"/>
          <w:lang w:val="sr-Cyrl-CS"/>
        </w:rPr>
        <w:t>са</w:t>
      </w:r>
      <w:r w:rsidRPr="00131F6C">
        <w:rPr>
          <w:rFonts w:ascii="Times New Roman" w:hAnsi="Times New Roman" w:cs="Times New Roman"/>
          <w:noProof/>
          <w:sz w:val="24"/>
          <w:szCs w:val="24"/>
          <w:lang w:val="sr-Cyrl-CS"/>
        </w:rPr>
        <w:t xml:space="preserve"> 79 </w:t>
      </w:r>
      <w:r>
        <w:rPr>
          <w:rFonts w:ascii="Times New Roman" w:hAnsi="Times New Roman" w:cs="Times New Roman"/>
          <w:noProof/>
          <w:sz w:val="24"/>
          <w:szCs w:val="24"/>
          <w:lang w:val="sr-Cyrl-CS"/>
        </w:rPr>
        <w:t>седишта. У Биоскопу се првенств</w:t>
      </w:r>
      <w:r w:rsidR="0031282B">
        <w:rPr>
          <w:rFonts w:ascii="Times New Roman" w:hAnsi="Times New Roman" w:cs="Times New Roman"/>
          <w:noProof/>
          <w:sz w:val="24"/>
          <w:szCs w:val="24"/>
          <w:lang w:val="sr-Cyrl-CS"/>
        </w:rPr>
        <w:t>ено приказују комерцијални филмо</w:t>
      </w:r>
      <w:r>
        <w:rPr>
          <w:rFonts w:ascii="Times New Roman" w:hAnsi="Times New Roman" w:cs="Times New Roman"/>
          <w:noProof/>
          <w:sz w:val="24"/>
          <w:szCs w:val="24"/>
          <w:lang w:val="sr-Cyrl-CS"/>
        </w:rPr>
        <w:t xml:space="preserve">ви домаће и стране продукције. </w:t>
      </w:r>
    </w:p>
    <w:p w:rsidR="00F76502" w:rsidRPr="000606DF" w:rsidRDefault="00F76502" w:rsidP="00594010">
      <w:pPr>
        <w:pStyle w:val="Heading3"/>
        <w:rPr>
          <w:i/>
          <w:noProof/>
          <w:lang w:val="sr-Cyrl-CS"/>
        </w:rPr>
      </w:pPr>
      <w:bookmarkStart w:id="14" w:name="_Toc36072290"/>
      <w:r w:rsidRPr="000606DF">
        <w:rPr>
          <w:i/>
          <w:noProof/>
          <w:lang w:val="sr-Cyrl-CS"/>
        </w:rPr>
        <w:lastRenderedPageBreak/>
        <w:t>Удружења грађана</w:t>
      </w:r>
      <w:bookmarkEnd w:id="14"/>
    </w:p>
    <w:p w:rsidR="00594010" w:rsidRPr="00594010" w:rsidRDefault="00594010" w:rsidP="00594010">
      <w:pPr>
        <w:spacing w:after="0"/>
        <w:rPr>
          <w:lang w:val="sr-Cyrl-CS"/>
        </w:rPr>
      </w:pPr>
    </w:p>
    <w:p w:rsidR="00324A77" w:rsidRDefault="00594010"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lang w:val="sr-Cyrl-CS"/>
        </w:rPr>
        <w:t xml:space="preserve">Део </w:t>
      </w:r>
      <w:r w:rsidR="00131F6C" w:rsidRPr="00C57D4C">
        <w:rPr>
          <w:rFonts w:ascii="Times New Roman" w:hAnsi="Times New Roman" w:cs="Times New Roman"/>
          <w:noProof/>
          <w:sz w:val="24"/>
          <w:szCs w:val="24"/>
          <w:lang w:val="sr-Cyrl-CS"/>
        </w:rPr>
        <w:t xml:space="preserve">културне понуде Града чини и </w:t>
      </w:r>
      <w:r w:rsidR="00131F6C" w:rsidRPr="00C57D4C">
        <w:rPr>
          <w:rFonts w:ascii="Times New Roman" w:hAnsi="Times New Roman" w:cs="Times New Roman"/>
          <w:b/>
          <w:i/>
          <w:noProof/>
          <w:sz w:val="24"/>
          <w:szCs w:val="24"/>
          <w:lang w:val="sr-Cyrl-CS"/>
        </w:rPr>
        <w:t>око 50 удружења грађана</w:t>
      </w:r>
      <w:r w:rsidR="000E6F2B" w:rsidRPr="00C57D4C">
        <w:rPr>
          <w:rFonts w:ascii="Times New Roman" w:hAnsi="Times New Roman" w:cs="Times New Roman"/>
          <w:sz w:val="24"/>
          <w:szCs w:val="24"/>
          <w:lang w:val="sr-Cyrl-CS"/>
        </w:rPr>
        <w:t>од којих је већина активна у домену заштите традиције и наслеђа различитих етничких заједн</w:t>
      </w:r>
      <w:r w:rsidR="00C57D4C" w:rsidRPr="00C57D4C">
        <w:rPr>
          <w:rFonts w:ascii="Times New Roman" w:hAnsi="Times New Roman" w:cs="Times New Roman"/>
          <w:sz w:val="24"/>
          <w:szCs w:val="24"/>
          <w:lang w:val="sr-Cyrl-CS"/>
        </w:rPr>
        <w:t xml:space="preserve">ица који живе на простору града, те тако постоје културно – уметничка друштва која негују традицију и обичаје Срба, Мађара, Хрвата и Буњеваца. </w:t>
      </w:r>
      <w:r w:rsidR="00C23A57" w:rsidRPr="00C57D4C">
        <w:rPr>
          <w:rFonts w:ascii="Times New Roman" w:hAnsi="Times New Roman" w:cs="Times New Roman"/>
          <w:noProof/>
          <w:sz w:val="24"/>
          <w:szCs w:val="24"/>
          <w:lang w:val="sr-Cyrl-CS"/>
        </w:rPr>
        <w:t>Поред удружења грађана која се баве заштитом традиције и наслеђа у Сомбору су активна и удружења грађана из домена савременог стваралаштва</w:t>
      </w:r>
      <w:r w:rsidR="00C57D4C">
        <w:rPr>
          <w:rFonts w:ascii="Times New Roman" w:hAnsi="Times New Roman" w:cs="Times New Roman"/>
          <w:noProof/>
          <w:sz w:val="24"/>
          <w:szCs w:val="24"/>
          <w:lang w:val="sr-Cyrl-CS"/>
        </w:rPr>
        <w:t xml:space="preserve">. </w:t>
      </w:r>
      <w:r w:rsidR="00F15823" w:rsidRPr="00F15823">
        <w:rPr>
          <w:rFonts w:ascii="Times New Roman" w:hAnsi="Times New Roman" w:cs="Times New Roman"/>
          <w:noProof/>
          <w:sz w:val="24"/>
          <w:szCs w:val="24"/>
          <w:lang w:val="sr-Cyrl-CS"/>
        </w:rPr>
        <w:t xml:space="preserve">Удружења грађана су организатори бројних манифестација како у граду, тако и у насељеним местима. </w:t>
      </w:r>
      <w:r w:rsidR="00F6633B">
        <w:rPr>
          <w:rFonts w:ascii="Times New Roman" w:hAnsi="Times New Roman" w:cs="Times New Roman"/>
          <w:noProof/>
          <w:sz w:val="24"/>
          <w:szCs w:val="24"/>
        </w:rPr>
        <w:t xml:space="preserve">Међутим, </w:t>
      </w:r>
      <w:r w:rsidR="00F15823">
        <w:rPr>
          <w:rFonts w:ascii="Times New Roman" w:hAnsi="Times New Roman" w:cs="Times New Roman"/>
          <w:noProof/>
          <w:sz w:val="24"/>
          <w:szCs w:val="24"/>
        </w:rPr>
        <w:t xml:space="preserve">током консултативног процеса се могло чути да </w:t>
      </w:r>
      <w:r w:rsidR="00F6633B">
        <w:rPr>
          <w:rFonts w:ascii="Times New Roman" w:hAnsi="Times New Roman" w:cs="Times New Roman"/>
          <w:noProof/>
          <w:sz w:val="24"/>
          <w:szCs w:val="24"/>
        </w:rPr>
        <w:t>и поред великог броја удружења грађана у култури</w:t>
      </w:r>
      <w:r w:rsidR="00F15823">
        <w:rPr>
          <w:rFonts w:ascii="Times New Roman" w:hAnsi="Times New Roman" w:cs="Times New Roman"/>
          <w:noProof/>
          <w:sz w:val="24"/>
          <w:szCs w:val="24"/>
        </w:rPr>
        <w:t xml:space="preserve"> рад удружења није систематизован, да многа удруже</w:t>
      </w:r>
      <w:r w:rsidR="00D60732">
        <w:rPr>
          <w:rFonts w:ascii="Times New Roman" w:hAnsi="Times New Roman" w:cs="Times New Roman"/>
          <w:noProof/>
          <w:sz w:val="24"/>
          <w:szCs w:val="24"/>
        </w:rPr>
        <w:t xml:space="preserve">ња нису довољно активна у граду </w:t>
      </w:r>
      <w:r w:rsidR="00D60732">
        <w:rPr>
          <w:rFonts w:ascii="Times New Roman" w:hAnsi="Times New Roman" w:cs="Times New Roman"/>
          <w:noProof/>
          <w:sz w:val="24"/>
          <w:szCs w:val="24"/>
          <w:lang w:val="sr-Cyrl-CS"/>
        </w:rPr>
        <w:t>и</w:t>
      </w:r>
      <w:r w:rsidR="00F15823">
        <w:rPr>
          <w:rFonts w:ascii="Times New Roman" w:hAnsi="Times New Roman" w:cs="Times New Roman"/>
          <w:noProof/>
          <w:sz w:val="24"/>
          <w:szCs w:val="24"/>
        </w:rPr>
        <w:t xml:space="preserve">да културно – уметничка друштва </w:t>
      </w:r>
      <w:r w:rsidR="00C72FD0">
        <w:rPr>
          <w:rFonts w:ascii="Times New Roman" w:hAnsi="Times New Roman" w:cs="Times New Roman"/>
          <w:noProof/>
          <w:sz w:val="24"/>
          <w:szCs w:val="24"/>
        </w:rPr>
        <w:t xml:space="preserve">међусобно </w:t>
      </w:r>
      <w:r w:rsidR="00F15823">
        <w:rPr>
          <w:rFonts w:ascii="Times New Roman" w:hAnsi="Times New Roman" w:cs="Times New Roman"/>
          <w:noProof/>
          <w:sz w:val="24"/>
          <w:szCs w:val="24"/>
        </w:rPr>
        <w:t>не сарађују довољно</w:t>
      </w:r>
      <w:r w:rsidR="00D60732">
        <w:rPr>
          <w:rFonts w:ascii="Times New Roman" w:hAnsi="Times New Roman" w:cs="Times New Roman"/>
          <w:noProof/>
          <w:sz w:val="24"/>
          <w:szCs w:val="24"/>
        </w:rPr>
        <w:t>.</w:t>
      </w:r>
      <w:r w:rsidR="00324A77">
        <w:rPr>
          <w:rFonts w:ascii="Times New Roman" w:hAnsi="Times New Roman" w:cs="Times New Roman"/>
          <w:noProof/>
          <w:sz w:val="24"/>
          <w:szCs w:val="24"/>
        </w:rPr>
        <w:t xml:space="preserve"> Поред тога,  удружења грађана истичу п</w:t>
      </w:r>
      <w:r w:rsidR="00324A77" w:rsidRPr="00324A77">
        <w:rPr>
          <w:rFonts w:ascii="Times New Roman" w:hAnsi="Times New Roman" w:cs="Times New Roman"/>
          <w:noProof/>
          <w:sz w:val="24"/>
          <w:szCs w:val="24"/>
        </w:rPr>
        <w:t>осебан проблем са простором. Наиме, у последње две године јавни градски простори припали су Јавном</w:t>
      </w:r>
      <w:r w:rsidR="0078431C">
        <w:rPr>
          <w:rFonts w:ascii="Times New Roman" w:hAnsi="Times New Roman" w:cs="Times New Roman"/>
          <w:noProof/>
          <w:sz w:val="24"/>
          <w:szCs w:val="24"/>
        </w:rPr>
        <w:t xml:space="preserve"> предузећу Простор и сада су сва</w:t>
      </w:r>
      <w:r w:rsidR="00376606">
        <w:rPr>
          <w:rFonts w:ascii="Times New Roman" w:hAnsi="Times New Roman" w:cs="Times New Roman"/>
          <w:noProof/>
          <w:sz w:val="24"/>
          <w:szCs w:val="24"/>
          <w:lang/>
        </w:rPr>
        <w:t xml:space="preserve"> </w:t>
      </w:r>
      <w:r w:rsidR="0078431C">
        <w:rPr>
          <w:rFonts w:ascii="Times New Roman" w:hAnsi="Times New Roman" w:cs="Times New Roman"/>
          <w:noProof/>
          <w:sz w:val="24"/>
          <w:szCs w:val="24"/>
        </w:rPr>
        <w:t>удружења</w:t>
      </w:r>
      <w:r w:rsidR="00324A77" w:rsidRPr="00324A77">
        <w:rPr>
          <w:rFonts w:ascii="Times New Roman" w:hAnsi="Times New Roman" w:cs="Times New Roman"/>
          <w:noProof/>
          <w:sz w:val="24"/>
          <w:szCs w:val="24"/>
        </w:rPr>
        <w:t xml:space="preserve"> у обавези да плаћају коришћење простора</w:t>
      </w:r>
      <w:r w:rsidR="00324A77">
        <w:rPr>
          <w:rFonts w:ascii="Times New Roman" w:hAnsi="Times New Roman" w:cs="Times New Roman"/>
          <w:noProof/>
          <w:sz w:val="24"/>
          <w:szCs w:val="24"/>
        </w:rPr>
        <w:t xml:space="preserve">. </w:t>
      </w:r>
      <w:r w:rsidR="00CE12A8">
        <w:rPr>
          <w:rFonts w:ascii="Times New Roman" w:hAnsi="Times New Roman" w:cs="Times New Roman"/>
          <w:noProof/>
          <w:sz w:val="24"/>
          <w:szCs w:val="24"/>
        </w:rPr>
        <w:t xml:space="preserve">У плану Градске управе Сомбор је да након адаптације Грашалковићеве палате </w:t>
      </w:r>
      <w:r w:rsidR="00EB7C6B">
        <w:rPr>
          <w:rFonts w:ascii="Times New Roman" w:hAnsi="Times New Roman" w:cs="Times New Roman"/>
          <w:noProof/>
          <w:sz w:val="24"/>
          <w:szCs w:val="24"/>
        </w:rPr>
        <w:t>некадашњу</w:t>
      </w:r>
      <w:r w:rsidR="00CE12A8">
        <w:rPr>
          <w:rFonts w:ascii="Times New Roman" w:hAnsi="Times New Roman" w:cs="Times New Roman"/>
          <w:noProof/>
          <w:sz w:val="24"/>
          <w:szCs w:val="24"/>
        </w:rPr>
        <w:t xml:space="preserve"> зграду </w:t>
      </w:r>
      <w:r w:rsidR="00EB7C6B">
        <w:rPr>
          <w:rFonts w:ascii="Times New Roman" w:hAnsi="Times New Roman" w:cs="Times New Roman"/>
          <w:noProof/>
          <w:sz w:val="24"/>
          <w:szCs w:val="24"/>
        </w:rPr>
        <w:t>Дом</w:t>
      </w:r>
      <w:r w:rsidR="0078431C">
        <w:rPr>
          <w:rFonts w:ascii="Times New Roman" w:hAnsi="Times New Roman" w:cs="Times New Roman"/>
          <w:noProof/>
          <w:sz w:val="24"/>
          <w:szCs w:val="24"/>
        </w:rPr>
        <w:t>а</w:t>
      </w:r>
      <w:r w:rsidR="00EB7C6B">
        <w:rPr>
          <w:rFonts w:ascii="Times New Roman" w:hAnsi="Times New Roman" w:cs="Times New Roman"/>
          <w:noProof/>
          <w:sz w:val="24"/>
          <w:szCs w:val="24"/>
        </w:rPr>
        <w:t xml:space="preserve"> омладине</w:t>
      </w:r>
      <w:r w:rsidR="00376606">
        <w:rPr>
          <w:rFonts w:ascii="Times New Roman" w:hAnsi="Times New Roman" w:cs="Times New Roman"/>
          <w:noProof/>
          <w:sz w:val="24"/>
          <w:szCs w:val="24"/>
          <w:lang/>
        </w:rPr>
        <w:t xml:space="preserve"> учине доступном</w:t>
      </w:r>
      <w:r w:rsidR="00CE12A8">
        <w:rPr>
          <w:rFonts w:ascii="Times New Roman" w:hAnsi="Times New Roman" w:cs="Times New Roman"/>
          <w:noProof/>
          <w:sz w:val="24"/>
          <w:szCs w:val="24"/>
        </w:rPr>
        <w:t xml:space="preserve"> удружењима грађана. </w:t>
      </w:r>
    </w:p>
    <w:p w:rsidR="00CE39C6" w:rsidRPr="000606DF" w:rsidRDefault="00CE39C6" w:rsidP="00594010">
      <w:pPr>
        <w:pStyle w:val="Heading3"/>
        <w:rPr>
          <w:i/>
          <w:noProof/>
        </w:rPr>
      </w:pPr>
      <w:bookmarkStart w:id="15" w:name="_Toc36072291"/>
      <w:r w:rsidRPr="000606DF">
        <w:rPr>
          <w:i/>
          <w:noProof/>
        </w:rPr>
        <w:t>Истакнути појединци</w:t>
      </w:r>
      <w:bookmarkEnd w:id="15"/>
    </w:p>
    <w:p w:rsidR="00594010" w:rsidRPr="00594010" w:rsidRDefault="00594010" w:rsidP="00594010">
      <w:pPr>
        <w:spacing w:after="0"/>
      </w:pPr>
    </w:p>
    <w:p w:rsidR="003F6EBA" w:rsidRDefault="00E01D06"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Поред јавних установа културе</w:t>
      </w:r>
      <w:r w:rsidR="00BD4AB2">
        <w:rPr>
          <w:rFonts w:ascii="Times New Roman" w:hAnsi="Times New Roman" w:cs="Times New Roman"/>
          <w:noProof/>
          <w:sz w:val="24"/>
          <w:szCs w:val="24"/>
        </w:rPr>
        <w:t>, приватне установе и удружења грађана у култури, културни систем Сомбора употпуњују и истакнути појединци у култури</w:t>
      </w:r>
      <w:r w:rsidR="000D0B33">
        <w:rPr>
          <w:rFonts w:ascii="Times New Roman" w:hAnsi="Times New Roman" w:cs="Times New Roman"/>
          <w:noProof/>
          <w:sz w:val="24"/>
          <w:szCs w:val="24"/>
        </w:rPr>
        <w:t xml:space="preserve"> нарочито они</w:t>
      </w:r>
      <w:r w:rsidR="00376606">
        <w:rPr>
          <w:rFonts w:ascii="Times New Roman" w:hAnsi="Times New Roman" w:cs="Times New Roman"/>
          <w:noProof/>
          <w:sz w:val="24"/>
          <w:szCs w:val="24"/>
          <w:lang/>
        </w:rPr>
        <w:t xml:space="preserve"> </w:t>
      </w:r>
      <w:r w:rsidR="000D0B33">
        <w:rPr>
          <w:rFonts w:ascii="Times New Roman" w:hAnsi="Times New Roman" w:cs="Times New Roman"/>
          <w:noProof/>
          <w:sz w:val="24"/>
          <w:szCs w:val="24"/>
        </w:rPr>
        <w:t xml:space="preserve">којима су репрезентативна удружења у култури доделила статус самосталних уметника и стручњака у култури. </w:t>
      </w:r>
      <w:r w:rsidR="00711A66" w:rsidRPr="00500B84">
        <w:rPr>
          <w:rFonts w:ascii="Times New Roman" w:hAnsi="Times New Roman" w:cs="Times New Roman"/>
          <w:noProof/>
          <w:sz w:val="24"/>
          <w:szCs w:val="24"/>
        </w:rPr>
        <w:t>У Сомбору је такође развијен књижевни живот који  је једним делом организован кроз делатност Градске библиотеке „Карло Бијелицки“, а делом кроз удружења књижевника (Друштво књижевника Војводине, Савез књижевника Србије,Удружење књижевника Србије).</w:t>
      </w:r>
      <w:r w:rsidR="00500B84">
        <w:rPr>
          <w:rFonts w:ascii="Times New Roman" w:hAnsi="Times New Roman" w:cs="Times New Roman"/>
          <w:noProof/>
          <w:sz w:val="24"/>
          <w:szCs w:val="24"/>
        </w:rPr>
        <w:t xml:space="preserve"> </w:t>
      </w:r>
      <w:r w:rsidR="00BD4AB2" w:rsidRPr="00500B84">
        <w:rPr>
          <w:rFonts w:ascii="Times New Roman" w:hAnsi="Times New Roman" w:cs="Times New Roman"/>
          <w:noProof/>
          <w:sz w:val="24"/>
          <w:szCs w:val="24"/>
        </w:rPr>
        <w:t>Градска управа</w:t>
      </w:r>
      <w:r w:rsidR="00376606" w:rsidRPr="00500B84">
        <w:rPr>
          <w:rFonts w:ascii="Times New Roman" w:hAnsi="Times New Roman" w:cs="Times New Roman"/>
          <w:noProof/>
          <w:sz w:val="24"/>
          <w:szCs w:val="24"/>
          <w:lang/>
        </w:rPr>
        <w:t xml:space="preserve"> Сомбор не </w:t>
      </w:r>
      <w:r w:rsidR="00376606" w:rsidRPr="00500B84">
        <w:rPr>
          <w:rFonts w:ascii="Times New Roman" w:hAnsi="Times New Roman" w:cs="Times New Roman"/>
          <w:noProof/>
          <w:sz w:val="24"/>
          <w:szCs w:val="24"/>
        </w:rPr>
        <w:t>уплаћ</w:t>
      </w:r>
      <w:r w:rsidR="00376606" w:rsidRPr="00500B84">
        <w:rPr>
          <w:rFonts w:ascii="Times New Roman" w:hAnsi="Times New Roman" w:cs="Times New Roman"/>
          <w:noProof/>
          <w:sz w:val="24"/>
          <w:szCs w:val="24"/>
          <w:lang/>
        </w:rPr>
        <w:t>ује</w:t>
      </w:r>
      <w:r w:rsidR="00BD4AB2" w:rsidRPr="00500B84">
        <w:rPr>
          <w:rFonts w:ascii="Times New Roman" w:hAnsi="Times New Roman" w:cs="Times New Roman"/>
          <w:noProof/>
          <w:sz w:val="24"/>
          <w:szCs w:val="24"/>
        </w:rPr>
        <w:t xml:space="preserve"> </w:t>
      </w:r>
      <w:r w:rsidR="00376606" w:rsidRPr="00500B84">
        <w:rPr>
          <w:rFonts w:ascii="Times New Roman" w:hAnsi="Times New Roman" w:cs="Times New Roman"/>
          <w:noProof/>
          <w:sz w:val="24"/>
          <w:szCs w:val="24"/>
        </w:rPr>
        <w:t>допринос</w:t>
      </w:r>
      <w:r w:rsidR="00376606" w:rsidRPr="00500B84">
        <w:rPr>
          <w:rFonts w:ascii="Times New Roman" w:hAnsi="Times New Roman" w:cs="Times New Roman"/>
          <w:noProof/>
          <w:sz w:val="24"/>
          <w:szCs w:val="24"/>
          <w:lang/>
        </w:rPr>
        <w:t>е</w:t>
      </w:r>
      <w:r w:rsidR="00BD4AB2" w:rsidRPr="00500B84">
        <w:rPr>
          <w:rFonts w:ascii="Times New Roman" w:hAnsi="Times New Roman" w:cs="Times New Roman"/>
          <w:noProof/>
          <w:sz w:val="24"/>
          <w:szCs w:val="24"/>
        </w:rPr>
        <w:t xml:space="preserve"> за пензијско, инвалидско и здравствено осигурање</w:t>
      </w:r>
      <w:r w:rsidR="00376606" w:rsidRPr="00500B84">
        <w:rPr>
          <w:rFonts w:ascii="Times New Roman" w:hAnsi="Times New Roman" w:cs="Times New Roman"/>
          <w:noProof/>
          <w:sz w:val="24"/>
          <w:szCs w:val="24"/>
          <w:lang/>
        </w:rPr>
        <w:t xml:space="preserve"> самосталним уметницима и стручњацима у култури из Сомбора.</w:t>
      </w:r>
      <w:r w:rsidR="00376606">
        <w:rPr>
          <w:rFonts w:ascii="Times New Roman" w:hAnsi="Times New Roman" w:cs="Times New Roman"/>
          <w:noProof/>
          <w:sz w:val="24"/>
          <w:szCs w:val="24"/>
          <w:lang/>
        </w:rPr>
        <w:t xml:space="preserve"> </w:t>
      </w:r>
    </w:p>
    <w:p w:rsidR="00CE39C6" w:rsidRDefault="00FD3434"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Сомбор као град дуге традиције ликовног стваралаштва већ дуги ни</w:t>
      </w:r>
      <w:r w:rsidR="004E0B70">
        <w:rPr>
          <w:rFonts w:ascii="Times New Roman" w:hAnsi="Times New Roman" w:cs="Times New Roman"/>
          <w:noProof/>
          <w:sz w:val="24"/>
          <w:szCs w:val="24"/>
        </w:rPr>
        <w:t>з година у свом власништву има 4</w:t>
      </w:r>
      <w:r>
        <w:rPr>
          <w:rFonts w:ascii="Times New Roman" w:hAnsi="Times New Roman" w:cs="Times New Roman"/>
          <w:noProof/>
          <w:sz w:val="24"/>
          <w:szCs w:val="24"/>
        </w:rPr>
        <w:t xml:space="preserve"> атељеа које користе истакнути сомборски с</w:t>
      </w:r>
      <w:r w:rsidR="0078431C">
        <w:rPr>
          <w:rFonts w:ascii="Times New Roman" w:hAnsi="Times New Roman" w:cs="Times New Roman"/>
          <w:noProof/>
          <w:sz w:val="24"/>
          <w:szCs w:val="24"/>
        </w:rPr>
        <w:t>ликари (три атељеа се налазе</w:t>
      </w:r>
      <w:r w:rsidR="004E0B70">
        <w:rPr>
          <w:rFonts w:ascii="Times New Roman" w:hAnsi="Times New Roman" w:cs="Times New Roman"/>
          <w:noProof/>
          <w:sz w:val="24"/>
          <w:szCs w:val="24"/>
        </w:rPr>
        <w:t xml:space="preserve"> у дворишту Историјског архива Сомбор и један у Савременој галерији Културног центра). </w:t>
      </w:r>
      <w:r w:rsidR="00E538B8">
        <w:rPr>
          <w:rFonts w:ascii="Times New Roman" w:hAnsi="Times New Roman" w:cs="Times New Roman"/>
          <w:noProof/>
          <w:sz w:val="24"/>
          <w:szCs w:val="24"/>
        </w:rPr>
        <w:t>Четири</w:t>
      </w:r>
      <w:r w:rsidR="004E0B70">
        <w:rPr>
          <w:rFonts w:ascii="Times New Roman" w:hAnsi="Times New Roman" w:cs="Times New Roman"/>
          <w:noProof/>
          <w:sz w:val="24"/>
          <w:szCs w:val="24"/>
        </w:rPr>
        <w:t xml:space="preserve"> сликара из Сомбора је </w:t>
      </w:r>
      <w:r>
        <w:rPr>
          <w:rFonts w:ascii="Times New Roman" w:hAnsi="Times New Roman" w:cs="Times New Roman"/>
          <w:noProof/>
          <w:sz w:val="24"/>
          <w:szCs w:val="24"/>
        </w:rPr>
        <w:t>те просторе</w:t>
      </w:r>
      <w:r w:rsidR="004E0B70">
        <w:rPr>
          <w:rFonts w:ascii="Times New Roman" w:hAnsi="Times New Roman" w:cs="Times New Roman"/>
          <w:noProof/>
          <w:sz w:val="24"/>
          <w:szCs w:val="24"/>
        </w:rPr>
        <w:t xml:space="preserve"> од Градске управе добило пре више од 20 година, због чега млађи ликовни уметници из Сомбора нису у могућности да користе ову привилегију Града. Важно је напоменути да су тренутни простори атељеа у лошем стању и да нису у складу </w:t>
      </w:r>
      <w:r w:rsidR="00EB7C6B">
        <w:rPr>
          <w:rFonts w:ascii="Times New Roman" w:hAnsi="Times New Roman" w:cs="Times New Roman"/>
          <w:noProof/>
          <w:sz w:val="24"/>
          <w:szCs w:val="24"/>
        </w:rPr>
        <w:t xml:space="preserve">са потребама савремених уметника. </w:t>
      </w:r>
    </w:p>
    <w:p w:rsidR="00594010" w:rsidRPr="000606DF" w:rsidRDefault="00594010" w:rsidP="00594010">
      <w:pPr>
        <w:pStyle w:val="Heading3"/>
        <w:rPr>
          <w:i/>
          <w:noProof/>
        </w:rPr>
      </w:pPr>
      <w:bookmarkStart w:id="16" w:name="_Toc36072292"/>
      <w:r w:rsidRPr="000606DF">
        <w:rPr>
          <w:i/>
          <w:noProof/>
        </w:rPr>
        <w:t>Сарадња</w:t>
      </w:r>
      <w:bookmarkEnd w:id="16"/>
    </w:p>
    <w:p w:rsidR="00594010" w:rsidRPr="00594010" w:rsidRDefault="00594010" w:rsidP="00594010">
      <w:pPr>
        <w:spacing w:after="0"/>
      </w:pPr>
    </w:p>
    <w:p w:rsidR="004F08BA" w:rsidRDefault="004F08BA" w:rsidP="00594010">
      <w:pPr>
        <w:spacing w:line="276" w:lineRule="auto"/>
        <w:ind w:firstLine="720"/>
        <w:jc w:val="both"/>
        <w:rPr>
          <w:rFonts w:ascii="Times New Roman" w:hAnsi="Times New Roman" w:cs="Times New Roman"/>
          <w:noProof/>
          <w:sz w:val="24"/>
          <w:szCs w:val="24"/>
        </w:rPr>
      </w:pPr>
      <w:r w:rsidRPr="004F08BA">
        <w:rPr>
          <w:rFonts w:ascii="Times New Roman" w:hAnsi="Times New Roman" w:cs="Times New Roman"/>
          <w:noProof/>
          <w:sz w:val="24"/>
          <w:szCs w:val="24"/>
        </w:rPr>
        <w:t xml:space="preserve">Сарадња између локалне самоуправе и установа је од стране Града окарактерисана као добра, док представници установа културе истичу да се она остварује у обиму у којем то дозволи Градска управа. Често се осећају само као „молиоци“ за средства, а не као </w:t>
      </w:r>
      <w:r w:rsidRPr="004F08BA">
        <w:rPr>
          <w:rFonts w:ascii="Times New Roman" w:hAnsi="Times New Roman" w:cs="Times New Roman"/>
          <w:noProof/>
          <w:sz w:val="24"/>
          <w:szCs w:val="24"/>
        </w:rPr>
        <w:lastRenderedPageBreak/>
        <w:t>партнери Града на унапређењу културе у Сомбору</w:t>
      </w:r>
      <w:r w:rsidR="008E0341">
        <w:rPr>
          <w:rStyle w:val="FootnoteReference"/>
          <w:rFonts w:ascii="Times New Roman" w:hAnsi="Times New Roman" w:cs="Times New Roman"/>
          <w:noProof/>
          <w:sz w:val="24"/>
          <w:szCs w:val="24"/>
        </w:rPr>
        <w:footnoteReference w:id="19"/>
      </w:r>
      <w:r w:rsidRPr="004F08BA">
        <w:rPr>
          <w:rFonts w:ascii="Times New Roman" w:hAnsi="Times New Roman" w:cs="Times New Roman"/>
          <w:noProof/>
          <w:sz w:val="24"/>
          <w:szCs w:val="24"/>
        </w:rPr>
        <w:t>. Установљене праксе редовних састанака између представника Града и установа нема</w:t>
      </w:r>
      <w:r w:rsidR="008E0341">
        <w:rPr>
          <w:rFonts w:ascii="Times New Roman" w:hAnsi="Times New Roman" w:cs="Times New Roman"/>
          <w:noProof/>
          <w:sz w:val="24"/>
          <w:szCs w:val="24"/>
        </w:rPr>
        <w:t>. Запослени у установама културе су у упитнику сарадњу са Градском управом оц</w:t>
      </w:r>
      <w:r w:rsidR="0078431C">
        <w:rPr>
          <w:rFonts w:ascii="Times New Roman" w:hAnsi="Times New Roman" w:cs="Times New Roman"/>
          <w:noProof/>
          <w:sz w:val="24"/>
          <w:szCs w:val="24"/>
        </w:rPr>
        <w:t>енили средњом оценом 3,</w:t>
      </w:r>
      <w:r w:rsidR="008E0341">
        <w:rPr>
          <w:rFonts w:ascii="Times New Roman" w:hAnsi="Times New Roman" w:cs="Times New Roman"/>
          <w:noProof/>
          <w:sz w:val="24"/>
          <w:szCs w:val="24"/>
        </w:rPr>
        <w:t xml:space="preserve">4, док </w:t>
      </w:r>
      <w:r w:rsidR="000D0B33">
        <w:rPr>
          <w:rFonts w:ascii="Times New Roman" w:hAnsi="Times New Roman" w:cs="Times New Roman"/>
          <w:noProof/>
          <w:sz w:val="24"/>
          <w:szCs w:val="24"/>
        </w:rPr>
        <w:t>40</w:t>
      </w:r>
      <w:r w:rsidR="00055539">
        <w:rPr>
          <w:rFonts w:ascii="Times New Roman" w:hAnsi="Times New Roman" w:cs="Times New Roman"/>
          <w:noProof/>
          <w:sz w:val="24"/>
          <w:szCs w:val="24"/>
        </w:rPr>
        <w:t>%</w:t>
      </w:r>
      <w:r w:rsidR="008E0341">
        <w:rPr>
          <w:rFonts w:ascii="Times New Roman" w:hAnsi="Times New Roman" w:cs="Times New Roman"/>
          <w:noProof/>
          <w:sz w:val="24"/>
          <w:szCs w:val="24"/>
        </w:rPr>
        <w:t xml:space="preserve"> запослених </w:t>
      </w:r>
      <w:r w:rsidR="00055539">
        <w:rPr>
          <w:rFonts w:ascii="Times New Roman" w:hAnsi="Times New Roman" w:cs="Times New Roman"/>
          <w:noProof/>
          <w:sz w:val="24"/>
          <w:szCs w:val="24"/>
        </w:rPr>
        <w:t>сматра да културни систем Града није добро организован и умрежен,</w:t>
      </w:r>
      <w:r w:rsidR="00D17EFD">
        <w:rPr>
          <w:rFonts w:ascii="Times New Roman" w:hAnsi="Times New Roman" w:cs="Times New Roman"/>
          <w:noProof/>
          <w:sz w:val="24"/>
          <w:szCs w:val="24"/>
        </w:rPr>
        <w:t xml:space="preserve"> а</w:t>
      </w:r>
      <w:r w:rsidR="000D0B33">
        <w:rPr>
          <w:rFonts w:ascii="Times New Roman" w:hAnsi="Times New Roman" w:cs="Times New Roman"/>
          <w:noProof/>
          <w:sz w:val="24"/>
          <w:szCs w:val="24"/>
        </w:rPr>
        <w:t>четвртина</w:t>
      </w:r>
      <w:r w:rsidR="00055539">
        <w:rPr>
          <w:rFonts w:ascii="Times New Roman" w:hAnsi="Times New Roman" w:cs="Times New Roman"/>
          <w:noProof/>
          <w:sz w:val="24"/>
          <w:szCs w:val="24"/>
        </w:rPr>
        <w:t xml:space="preserve"> запослених се не слаже са ставом да</w:t>
      </w:r>
      <w:r w:rsidR="000D0B33">
        <w:rPr>
          <w:rFonts w:ascii="Times New Roman" w:hAnsi="Times New Roman" w:cs="Times New Roman"/>
          <w:noProof/>
          <w:sz w:val="24"/>
          <w:szCs w:val="24"/>
        </w:rPr>
        <w:t xml:space="preserve"> секултурна политика</w:t>
      </w:r>
      <w:r w:rsidR="00055539">
        <w:rPr>
          <w:rFonts w:ascii="Times New Roman" w:hAnsi="Times New Roman" w:cs="Times New Roman"/>
          <w:noProof/>
          <w:sz w:val="24"/>
          <w:szCs w:val="24"/>
        </w:rPr>
        <w:t xml:space="preserve"> Сомбора </w:t>
      </w:r>
      <w:r w:rsidR="000D0B33">
        <w:rPr>
          <w:rFonts w:ascii="Times New Roman" w:hAnsi="Times New Roman" w:cs="Times New Roman"/>
          <w:noProof/>
          <w:sz w:val="24"/>
          <w:szCs w:val="24"/>
        </w:rPr>
        <w:t>води на транспарентан и демократичан начин</w:t>
      </w:r>
      <w:r w:rsidR="00F50687">
        <w:rPr>
          <w:rStyle w:val="FootnoteReference"/>
          <w:rFonts w:ascii="Times New Roman" w:hAnsi="Times New Roman" w:cs="Times New Roman"/>
          <w:noProof/>
          <w:sz w:val="24"/>
          <w:szCs w:val="24"/>
        </w:rPr>
        <w:footnoteReference w:id="20"/>
      </w:r>
      <w:r w:rsidR="00F50687">
        <w:rPr>
          <w:rFonts w:ascii="Times New Roman" w:hAnsi="Times New Roman" w:cs="Times New Roman"/>
          <w:noProof/>
          <w:sz w:val="24"/>
          <w:szCs w:val="24"/>
        </w:rPr>
        <w:t>.</w:t>
      </w:r>
      <w:r w:rsidR="00CB5E59">
        <w:rPr>
          <w:rFonts w:ascii="Times New Roman" w:hAnsi="Times New Roman" w:cs="Times New Roman"/>
          <w:noProof/>
          <w:sz w:val="24"/>
          <w:szCs w:val="24"/>
        </w:rPr>
        <w:t xml:space="preserve"> У истражива</w:t>
      </w:r>
      <w:r w:rsidR="00CF02EF">
        <w:rPr>
          <w:rFonts w:ascii="Times New Roman" w:hAnsi="Times New Roman" w:cs="Times New Roman"/>
          <w:noProof/>
          <w:sz w:val="24"/>
          <w:szCs w:val="24"/>
        </w:rPr>
        <w:t xml:space="preserve">њу спроведеном 2018. године </w:t>
      </w:r>
      <w:r w:rsidR="00CB5E59">
        <w:rPr>
          <w:rFonts w:ascii="Times New Roman" w:hAnsi="Times New Roman" w:cs="Times New Roman"/>
          <w:noProof/>
          <w:sz w:val="24"/>
          <w:szCs w:val="24"/>
        </w:rPr>
        <w:t xml:space="preserve">и током консултативног процеса закључено је да </w:t>
      </w:r>
      <w:r w:rsidR="006F5DC0">
        <w:rPr>
          <w:rFonts w:ascii="Times New Roman" w:hAnsi="Times New Roman" w:cs="Times New Roman"/>
          <w:noProof/>
          <w:sz w:val="24"/>
          <w:szCs w:val="24"/>
        </w:rPr>
        <w:t>удружења грађана</w:t>
      </w:r>
      <w:r w:rsidR="00CB5E59" w:rsidRPr="00CB5E59">
        <w:rPr>
          <w:rFonts w:ascii="Times New Roman" w:hAnsi="Times New Roman" w:cs="Times New Roman"/>
          <w:noProof/>
          <w:sz w:val="24"/>
          <w:szCs w:val="24"/>
        </w:rPr>
        <w:t xml:space="preserve"> сарадњу</w:t>
      </w:r>
      <w:r w:rsidR="00CB5E59">
        <w:rPr>
          <w:rFonts w:ascii="Times New Roman" w:hAnsi="Times New Roman" w:cs="Times New Roman"/>
          <w:noProof/>
          <w:sz w:val="24"/>
          <w:szCs w:val="24"/>
        </w:rPr>
        <w:t xml:space="preserve"> са Градском управом</w:t>
      </w:r>
      <w:r w:rsidR="00CB5E59" w:rsidRPr="00CB5E59">
        <w:rPr>
          <w:rFonts w:ascii="Times New Roman" w:hAnsi="Times New Roman" w:cs="Times New Roman"/>
          <w:noProof/>
          <w:sz w:val="24"/>
          <w:szCs w:val="24"/>
        </w:rPr>
        <w:t xml:space="preserve"> процењуј</w:t>
      </w:r>
      <w:r w:rsidR="00CB5E59">
        <w:rPr>
          <w:rFonts w:ascii="Times New Roman" w:hAnsi="Times New Roman" w:cs="Times New Roman"/>
          <w:noProof/>
          <w:sz w:val="24"/>
          <w:szCs w:val="24"/>
        </w:rPr>
        <w:t xml:space="preserve">у као одличну, посебно истичући </w:t>
      </w:r>
      <w:r w:rsidR="00CB5E59" w:rsidRPr="00CB5E59">
        <w:rPr>
          <w:rFonts w:ascii="Times New Roman" w:hAnsi="Times New Roman" w:cs="Times New Roman"/>
          <w:noProof/>
          <w:sz w:val="24"/>
          <w:szCs w:val="24"/>
        </w:rPr>
        <w:t>ко</w:t>
      </w:r>
      <w:r w:rsidR="0078431C">
        <w:rPr>
          <w:rFonts w:ascii="Times New Roman" w:hAnsi="Times New Roman" w:cs="Times New Roman"/>
          <w:noProof/>
          <w:sz w:val="24"/>
          <w:szCs w:val="24"/>
        </w:rPr>
        <w:t>муникацију са већником и руководиоцем</w:t>
      </w:r>
      <w:r w:rsidR="00CB5E59" w:rsidRPr="00CB5E59">
        <w:rPr>
          <w:rFonts w:ascii="Times New Roman" w:hAnsi="Times New Roman" w:cs="Times New Roman"/>
          <w:noProof/>
          <w:sz w:val="24"/>
          <w:szCs w:val="24"/>
        </w:rPr>
        <w:t xml:space="preserve"> Одсека у чијој је надлежности област културе</w:t>
      </w:r>
      <w:r w:rsidR="006F5DC0">
        <w:rPr>
          <w:rStyle w:val="FootnoteReference"/>
          <w:rFonts w:ascii="Times New Roman" w:hAnsi="Times New Roman" w:cs="Times New Roman"/>
          <w:noProof/>
          <w:sz w:val="24"/>
          <w:szCs w:val="24"/>
        </w:rPr>
        <w:footnoteReference w:id="21"/>
      </w:r>
      <w:r w:rsidR="00CF02EF">
        <w:rPr>
          <w:rFonts w:ascii="Times New Roman" w:hAnsi="Times New Roman" w:cs="Times New Roman"/>
          <w:noProof/>
          <w:sz w:val="24"/>
          <w:szCs w:val="24"/>
        </w:rPr>
        <w:t>. Ипак</w:t>
      </w:r>
      <w:r w:rsidR="00CB5E59">
        <w:rPr>
          <w:rFonts w:ascii="Times New Roman" w:hAnsi="Times New Roman" w:cs="Times New Roman"/>
          <w:noProof/>
          <w:sz w:val="24"/>
          <w:szCs w:val="24"/>
        </w:rPr>
        <w:t xml:space="preserve">, стиче се утисак да </w:t>
      </w:r>
      <w:r w:rsidR="006F5DC0">
        <w:rPr>
          <w:rFonts w:ascii="Times New Roman" w:hAnsi="Times New Roman" w:cs="Times New Roman"/>
          <w:noProof/>
          <w:sz w:val="24"/>
          <w:szCs w:val="24"/>
        </w:rPr>
        <w:t xml:space="preserve">представници удружења грађана под сарадњом првенствено подразумевају конкурс из културе. </w:t>
      </w:r>
    </w:p>
    <w:p w:rsidR="006F5DC0" w:rsidRPr="00A33C9B" w:rsidRDefault="006F5DC0"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С</w:t>
      </w:r>
      <w:r w:rsidRPr="006F5DC0">
        <w:rPr>
          <w:rFonts w:ascii="Times New Roman" w:hAnsi="Times New Roman" w:cs="Times New Roman"/>
          <w:noProof/>
          <w:sz w:val="24"/>
          <w:szCs w:val="24"/>
        </w:rPr>
        <w:t>арадња између установа културе је добра на нивоу личних односа, и у техничко-оперативном сегменту. Међутим, стиче се утисак да постоји јасна диференцијација када је реч о организацији програма. Свака установа организује своје програме, а представници других установа су најчешће само публика</w:t>
      </w:r>
      <w:r>
        <w:rPr>
          <w:rStyle w:val="FootnoteReference"/>
          <w:rFonts w:ascii="Times New Roman" w:hAnsi="Times New Roman" w:cs="Times New Roman"/>
          <w:noProof/>
          <w:sz w:val="24"/>
          <w:szCs w:val="24"/>
        </w:rPr>
        <w:footnoteReference w:id="22"/>
      </w:r>
      <w:r w:rsidRPr="006F5DC0">
        <w:rPr>
          <w:rFonts w:ascii="Times New Roman" w:hAnsi="Times New Roman" w:cs="Times New Roman"/>
          <w:noProof/>
          <w:sz w:val="24"/>
          <w:szCs w:val="24"/>
        </w:rPr>
        <w:t xml:space="preserve">. Слична ситуација је и са сарадњом са </w:t>
      </w:r>
      <w:r>
        <w:rPr>
          <w:rFonts w:ascii="Times New Roman" w:hAnsi="Times New Roman" w:cs="Times New Roman"/>
          <w:noProof/>
          <w:sz w:val="24"/>
          <w:szCs w:val="24"/>
        </w:rPr>
        <w:t>удружењима грађана у култури коју су запослени у установама културе оценили средњом оценом 3,17</w:t>
      </w:r>
      <w:r w:rsidRPr="006F5DC0">
        <w:rPr>
          <w:rFonts w:ascii="Times New Roman" w:hAnsi="Times New Roman" w:cs="Times New Roman"/>
          <w:noProof/>
          <w:sz w:val="24"/>
          <w:szCs w:val="24"/>
        </w:rPr>
        <w:t>. Сарадња актера у култ</w:t>
      </w:r>
      <w:r w:rsidR="002E2090">
        <w:rPr>
          <w:rFonts w:ascii="Times New Roman" w:hAnsi="Times New Roman" w:cs="Times New Roman"/>
          <w:noProof/>
          <w:sz w:val="24"/>
          <w:szCs w:val="24"/>
        </w:rPr>
        <w:t xml:space="preserve">ури је један од приоритета у </w:t>
      </w:r>
      <w:r w:rsidRPr="006F5DC0">
        <w:rPr>
          <w:rFonts w:ascii="Times New Roman" w:hAnsi="Times New Roman" w:cs="Times New Roman"/>
          <w:noProof/>
          <w:sz w:val="24"/>
          <w:szCs w:val="24"/>
        </w:rPr>
        <w:t>Стратегији одрживог развоја, што указује на то да</w:t>
      </w:r>
      <w:r w:rsidR="003F6EBA">
        <w:rPr>
          <w:rFonts w:ascii="Times New Roman" w:hAnsi="Times New Roman" w:cs="Times New Roman"/>
          <w:noProof/>
          <w:sz w:val="24"/>
          <w:szCs w:val="24"/>
        </w:rPr>
        <w:t xml:space="preserve"> је и локална самоуправа свесна </w:t>
      </w:r>
      <w:r w:rsidRPr="006F5DC0">
        <w:rPr>
          <w:rFonts w:ascii="Times New Roman" w:hAnsi="Times New Roman" w:cs="Times New Roman"/>
          <w:noProof/>
          <w:sz w:val="24"/>
          <w:szCs w:val="24"/>
        </w:rPr>
        <w:t>њихове недовољне повезаности.</w:t>
      </w:r>
      <w:r w:rsidR="00A33C9B">
        <w:rPr>
          <w:rFonts w:ascii="Times New Roman" w:hAnsi="Times New Roman" w:cs="Times New Roman"/>
          <w:noProof/>
          <w:sz w:val="24"/>
          <w:szCs w:val="24"/>
        </w:rPr>
        <w:t xml:space="preserve">Важно је напоменути да установе културе слабо сарађују и са удружењима грађана из других области, те су тако запослени у установама културе сарадњу са удружењима </w:t>
      </w:r>
      <w:r w:rsidR="00A33C9B" w:rsidRPr="00A33C9B">
        <w:rPr>
          <w:rFonts w:ascii="Times New Roman" w:hAnsi="Times New Roman" w:cs="Times New Roman"/>
          <w:noProof/>
          <w:sz w:val="24"/>
          <w:szCs w:val="24"/>
        </w:rPr>
        <w:t>грађана из области социјалне заштите</w:t>
      </w:r>
      <w:r w:rsidR="00A33C9B">
        <w:rPr>
          <w:rFonts w:ascii="Times New Roman" w:hAnsi="Times New Roman" w:cs="Times New Roman"/>
          <w:noProof/>
          <w:sz w:val="24"/>
          <w:szCs w:val="24"/>
        </w:rPr>
        <w:t xml:space="preserve"> оценили средњом оценом </w:t>
      </w:r>
      <w:r w:rsidR="00A33C9B" w:rsidRPr="00A33C9B">
        <w:rPr>
          <w:rFonts w:ascii="Times New Roman" w:hAnsi="Times New Roman" w:cs="Times New Roman"/>
          <w:noProof/>
          <w:sz w:val="24"/>
          <w:szCs w:val="24"/>
        </w:rPr>
        <w:t>2</w:t>
      </w:r>
      <w:r w:rsidR="0078431C">
        <w:rPr>
          <w:rFonts w:ascii="Times New Roman" w:hAnsi="Times New Roman" w:cs="Times New Roman"/>
          <w:noProof/>
          <w:sz w:val="24"/>
          <w:szCs w:val="24"/>
        </w:rPr>
        <w:t>,</w:t>
      </w:r>
      <w:r w:rsidR="00A33C9B" w:rsidRPr="00A33C9B">
        <w:rPr>
          <w:rFonts w:ascii="Times New Roman" w:hAnsi="Times New Roman" w:cs="Times New Roman"/>
          <w:noProof/>
          <w:sz w:val="24"/>
          <w:szCs w:val="24"/>
        </w:rPr>
        <w:t>67</w:t>
      </w:r>
      <w:r w:rsidR="00A33C9B">
        <w:rPr>
          <w:rFonts w:ascii="Times New Roman" w:hAnsi="Times New Roman" w:cs="Times New Roman"/>
          <w:noProof/>
          <w:sz w:val="24"/>
          <w:szCs w:val="24"/>
        </w:rPr>
        <w:t xml:space="preserve">, а са омладинским организацијама </w:t>
      </w:r>
      <w:r w:rsidR="0078431C">
        <w:rPr>
          <w:rFonts w:ascii="Times New Roman" w:hAnsi="Times New Roman" w:cs="Times New Roman"/>
          <w:noProof/>
          <w:sz w:val="24"/>
          <w:szCs w:val="24"/>
        </w:rPr>
        <w:t>2,</w:t>
      </w:r>
      <w:r w:rsidR="00A33C9B" w:rsidRPr="00A33C9B">
        <w:rPr>
          <w:rFonts w:ascii="Times New Roman" w:hAnsi="Times New Roman" w:cs="Times New Roman"/>
          <w:noProof/>
          <w:sz w:val="24"/>
          <w:szCs w:val="24"/>
        </w:rPr>
        <w:t>65</w:t>
      </w:r>
      <w:r w:rsidR="00A33C9B">
        <w:rPr>
          <w:rFonts w:ascii="Times New Roman" w:hAnsi="Times New Roman" w:cs="Times New Roman"/>
          <w:noProof/>
          <w:sz w:val="24"/>
          <w:szCs w:val="24"/>
        </w:rPr>
        <w:t xml:space="preserve">. </w:t>
      </w:r>
    </w:p>
    <w:p w:rsidR="00196BBF" w:rsidRDefault="007D22C9"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t>У погледу сарадње</w:t>
      </w:r>
      <w:r w:rsidRPr="007D22C9">
        <w:rPr>
          <w:rFonts w:ascii="Times New Roman" w:hAnsi="Times New Roman" w:cs="Times New Roman"/>
          <w:noProof/>
          <w:sz w:val="24"/>
          <w:szCs w:val="24"/>
        </w:rPr>
        <w:t xml:space="preserve"> установа културе и школа</w:t>
      </w:r>
      <w:r>
        <w:rPr>
          <w:rFonts w:ascii="Times New Roman" w:hAnsi="Times New Roman" w:cs="Times New Roman"/>
          <w:noProof/>
          <w:sz w:val="24"/>
          <w:szCs w:val="24"/>
        </w:rPr>
        <w:t xml:space="preserve"> учесници у консултативном процесу су се сложили да ова два ресора у Сомбору </w:t>
      </w:r>
      <w:r w:rsidR="00F17A24">
        <w:rPr>
          <w:rFonts w:ascii="Times New Roman" w:hAnsi="Times New Roman" w:cs="Times New Roman"/>
          <w:noProof/>
          <w:sz w:val="24"/>
          <w:szCs w:val="24"/>
        </w:rPr>
        <w:t>имају добру сарадњу</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w:t>
      </w:r>
      <w:r w:rsidR="00CE5951">
        <w:rPr>
          <w:rFonts w:ascii="Times New Roman" w:hAnsi="Times New Roman" w:cs="Times New Roman"/>
          <w:noProof/>
          <w:sz w:val="24"/>
          <w:szCs w:val="24"/>
        </w:rPr>
        <w:t xml:space="preserve"> Ипак, </w:t>
      </w:r>
      <w:r w:rsidR="00DA1D4F">
        <w:rPr>
          <w:rFonts w:ascii="Times New Roman" w:hAnsi="Times New Roman" w:cs="Times New Roman"/>
          <w:noProof/>
          <w:sz w:val="24"/>
          <w:szCs w:val="24"/>
        </w:rPr>
        <w:t xml:space="preserve">према речима чланова Радне групе, </w:t>
      </w:r>
      <w:r w:rsidR="00CE5951">
        <w:rPr>
          <w:rFonts w:ascii="Times New Roman" w:hAnsi="Times New Roman" w:cs="Times New Roman"/>
          <w:noProof/>
          <w:sz w:val="24"/>
          <w:szCs w:val="24"/>
        </w:rPr>
        <w:t xml:space="preserve">ова сарадња се најчешће своди на организоване школске посете установама културе, и </w:t>
      </w:r>
      <w:r w:rsidR="00DA1D4F" w:rsidRPr="00DA1D4F">
        <w:rPr>
          <w:rFonts w:ascii="Times New Roman" w:hAnsi="Times New Roman" w:cs="Times New Roman"/>
          <w:noProof/>
          <w:sz w:val="24"/>
          <w:szCs w:val="24"/>
        </w:rPr>
        <w:t>базира</w:t>
      </w:r>
      <w:r w:rsidR="00DA1D4F">
        <w:rPr>
          <w:rFonts w:ascii="Times New Roman" w:hAnsi="Times New Roman" w:cs="Times New Roman"/>
          <w:noProof/>
          <w:sz w:val="24"/>
          <w:szCs w:val="24"/>
        </w:rPr>
        <w:t xml:space="preserve"> се</w:t>
      </w:r>
      <w:r w:rsidR="00DA1D4F" w:rsidRPr="00DA1D4F">
        <w:rPr>
          <w:rFonts w:ascii="Times New Roman" w:hAnsi="Times New Roman" w:cs="Times New Roman"/>
          <w:noProof/>
          <w:sz w:val="24"/>
          <w:szCs w:val="24"/>
        </w:rPr>
        <w:t xml:space="preserve"> на ен</w:t>
      </w:r>
      <w:r w:rsidR="00DA1D4F">
        <w:rPr>
          <w:rFonts w:ascii="Times New Roman" w:hAnsi="Times New Roman" w:cs="Times New Roman"/>
          <w:noProof/>
          <w:sz w:val="24"/>
          <w:szCs w:val="24"/>
        </w:rPr>
        <w:t>тузијазму</w:t>
      </w:r>
      <w:r w:rsidR="00C92D87">
        <w:rPr>
          <w:rFonts w:ascii="Times New Roman" w:hAnsi="Times New Roman" w:cs="Times New Roman"/>
          <w:noProof/>
          <w:sz w:val="24"/>
          <w:szCs w:val="24"/>
        </w:rPr>
        <w:t xml:space="preserve"> и доброј информисаности појединих</w:t>
      </w:r>
      <w:r w:rsidR="00DA1D4F">
        <w:rPr>
          <w:rFonts w:ascii="Times New Roman" w:hAnsi="Times New Roman" w:cs="Times New Roman"/>
          <w:noProof/>
          <w:sz w:val="24"/>
          <w:szCs w:val="24"/>
        </w:rPr>
        <w:t xml:space="preserve"> учитеља и наставника, те многи ученици не посећују са својим наставницима и учите</w:t>
      </w:r>
      <w:r w:rsidR="00F85DF5">
        <w:rPr>
          <w:rFonts w:ascii="Times New Roman" w:hAnsi="Times New Roman" w:cs="Times New Roman"/>
          <w:noProof/>
          <w:sz w:val="24"/>
          <w:szCs w:val="24"/>
        </w:rPr>
        <w:t>љима програме установа културе.</w:t>
      </w:r>
      <w:r w:rsidR="00DA1D4F" w:rsidRPr="00196BBF">
        <w:rPr>
          <w:rFonts w:ascii="Times New Roman" w:hAnsi="Times New Roman" w:cs="Times New Roman"/>
          <w:noProof/>
          <w:sz w:val="24"/>
          <w:szCs w:val="24"/>
        </w:rPr>
        <w:t>Такође, учесници фокус група су истакли да</w:t>
      </w:r>
      <w:r w:rsidR="00F17A24" w:rsidRPr="00196BBF">
        <w:rPr>
          <w:rFonts w:ascii="Times New Roman" w:hAnsi="Times New Roman" w:cs="Times New Roman"/>
          <w:noProof/>
          <w:sz w:val="24"/>
          <w:szCs w:val="24"/>
        </w:rPr>
        <w:t xml:space="preserve"> су</w:t>
      </w:r>
      <w:r w:rsidR="00C92D87" w:rsidRPr="00196BBF">
        <w:rPr>
          <w:rFonts w:ascii="Times New Roman" w:hAnsi="Times New Roman" w:cs="Times New Roman"/>
          <w:noProof/>
          <w:sz w:val="24"/>
          <w:szCs w:val="24"/>
        </w:rPr>
        <w:t>предметни наставници који предају ученицима старијих разреда основних школа и ученицима средњих школа мање заинтересовани за сарадњу са установама културе, те се као примери добре праксе ове сарадње издвајају наставници Музичке школе „Петар Коњовић“ и Гимназије.</w:t>
      </w:r>
    </w:p>
    <w:p w:rsidR="00F17A24" w:rsidRDefault="00F17A24" w:rsidP="00594010">
      <w:pPr>
        <w:spacing w:line="276" w:lineRule="auto"/>
        <w:ind w:firstLine="720"/>
        <w:jc w:val="both"/>
        <w:rPr>
          <w:rFonts w:ascii="Times New Roman" w:hAnsi="Times New Roman" w:cs="Times New Roman"/>
          <w:noProof/>
          <w:sz w:val="24"/>
          <w:szCs w:val="24"/>
        </w:rPr>
      </w:pPr>
      <w:r>
        <w:rPr>
          <w:rFonts w:ascii="Times New Roman" w:hAnsi="Times New Roman" w:cs="Times New Roman"/>
          <w:noProof/>
          <w:sz w:val="24"/>
          <w:szCs w:val="24"/>
        </w:rPr>
        <w:lastRenderedPageBreak/>
        <w:t>Чланови Радне групе сарадњу</w:t>
      </w:r>
      <w:r w:rsidRPr="00F17A24">
        <w:rPr>
          <w:rFonts w:ascii="Times New Roman" w:hAnsi="Times New Roman" w:cs="Times New Roman"/>
          <w:noProof/>
          <w:sz w:val="24"/>
          <w:szCs w:val="24"/>
        </w:rPr>
        <w:t xml:space="preserve"> са локалним медијима </w:t>
      </w:r>
      <w:r w:rsidR="00D12B0A">
        <w:rPr>
          <w:rFonts w:ascii="Times New Roman" w:hAnsi="Times New Roman" w:cs="Times New Roman"/>
          <w:noProof/>
          <w:sz w:val="24"/>
          <w:szCs w:val="24"/>
        </w:rPr>
        <w:t>оцењују као добру</w:t>
      </w:r>
      <w:r>
        <w:rPr>
          <w:rFonts w:ascii="Times New Roman" w:hAnsi="Times New Roman" w:cs="Times New Roman"/>
          <w:noProof/>
          <w:sz w:val="24"/>
          <w:szCs w:val="24"/>
        </w:rPr>
        <w:t xml:space="preserve">, док </w:t>
      </w:r>
      <w:r w:rsidR="00D12B0A">
        <w:rPr>
          <w:rFonts w:ascii="Times New Roman" w:hAnsi="Times New Roman" w:cs="Times New Roman"/>
          <w:noProof/>
          <w:sz w:val="24"/>
          <w:szCs w:val="24"/>
        </w:rPr>
        <w:t>сарадњу</w:t>
      </w:r>
      <w:r w:rsidR="00D12B0A" w:rsidRPr="00D12B0A">
        <w:rPr>
          <w:rFonts w:ascii="Times New Roman" w:hAnsi="Times New Roman" w:cs="Times New Roman"/>
          <w:noProof/>
          <w:sz w:val="24"/>
          <w:szCs w:val="24"/>
        </w:rPr>
        <w:t xml:space="preserve"> са националним</w:t>
      </w:r>
      <w:r w:rsidR="00D12B0A">
        <w:rPr>
          <w:rFonts w:ascii="Times New Roman" w:hAnsi="Times New Roman" w:cs="Times New Roman"/>
          <w:noProof/>
          <w:sz w:val="24"/>
          <w:szCs w:val="24"/>
        </w:rPr>
        <w:t xml:space="preserve"> и покрајинским медијима оцењују као лошу</w:t>
      </w:r>
      <w:r w:rsidR="0078431C">
        <w:rPr>
          <w:rFonts w:ascii="Times New Roman" w:hAnsi="Times New Roman" w:cs="Times New Roman"/>
          <w:noProof/>
          <w:sz w:val="24"/>
          <w:szCs w:val="24"/>
        </w:rPr>
        <w:t>,</w:t>
      </w:r>
      <w:r w:rsidR="00D12B0A" w:rsidRPr="00D12B0A">
        <w:rPr>
          <w:rFonts w:ascii="Times New Roman" w:hAnsi="Times New Roman" w:cs="Times New Roman"/>
          <w:noProof/>
          <w:sz w:val="24"/>
          <w:szCs w:val="24"/>
        </w:rPr>
        <w:t xml:space="preserve"> јер дешавања из Сомбора нису довољно заступљена у програмима ових медија. На медијима који покривају Војводину углавном гостују само представници</w:t>
      </w:r>
      <w:r w:rsidR="00D12B0A">
        <w:rPr>
          <w:rFonts w:ascii="Times New Roman" w:hAnsi="Times New Roman" w:cs="Times New Roman"/>
          <w:noProof/>
          <w:sz w:val="24"/>
          <w:szCs w:val="24"/>
        </w:rPr>
        <w:t xml:space="preserve"> мањинских етничких заједница. З</w:t>
      </w:r>
      <w:r>
        <w:rPr>
          <w:rFonts w:ascii="Times New Roman" w:hAnsi="Times New Roman" w:cs="Times New Roman"/>
          <w:noProof/>
          <w:sz w:val="24"/>
          <w:szCs w:val="24"/>
        </w:rPr>
        <w:t>апослени у установама културе сарадњи</w:t>
      </w:r>
      <w:r w:rsidR="00D12B0A">
        <w:rPr>
          <w:rFonts w:ascii="Times New Roman" w:hAnsi="Times New Roman" w:cs="Times New Roman"/>
          <w:noProof/>
          <w:sz w:val="24"/>
          <w:szCs w:val="24"/>
        </w:rPr>
        <w:t xml:space="preserve"> са медијима</w:t>
      </w:r>
      <w:r>
        <w:rPr>
          <w:rFonts w:ascii="Times New Roman" w:hAnsi="Times New Roman" w:cs="Times New Roman"/>
          <w:noProof/>
          <w:sz w:val="24"/>
          <w:szCs w:val="24"/>
        </w:rPr>
        <w:t xml:space="preserve"> дају средњу оцену</w:t>
      </w:r>
      <w:r w:rsidR="00D12B0A">
        <w:rPr>
          <w:rFonts w:ascii="Times New Roman" w:hAnsi="Times New Roman" w:cs="Times New Roman"/>
          <w:noProof/>
          <w:sz w:val="24"/>
          <w:szCs w:val="24"/>
        </w:rPr>
        <w:t xml:space="preserve"> 3,49. </w:t>
      </w:r>
      <w:r w:rsidR="00D12B0A" w:rsidRPr="0062777C">
        <w:rPr>
          <w:rFonts w:ascii="Times New Roman" w:hAnsi="Times New Roman" w:cs="Times New Roman"/>
          <w:noProof/>
          <w:sz w:val="24"/>
          <w:szCs w:val="24"/>
        </w:rPr>
        <w:t>Са друге стране, представници медија који су учествовали на фокус групи истичу да до информација из културе долазе путем мејлова и сајтова установа културе, који понекад нису ажурирани, и профила установа културе на друштвеним мрежама.</w:t>
      </w:r>
    </w:p>
    <w:p w:rsidR="0078431C" w:rsidRPr="00175B4C" w:rsidRDefault="00376606" w:rsidP="0078431C">
      <w:pPr>
        <w:spacing w:line="276" w:lineRule="auto"/>
        <w:ind w:firstLine="720"/>
        <w:jc w:val="both"/>
        <w:rPr>
          <w:rFonts w:ascii="Times New Roman" w:hAnsi="Times New Roman" w:cs="Times New Roman"/>
          <w:noProof/>
          <w:sz w:val="24"/>
          <w:szCs w:val="24"/>
          <w:lang w:val="sr-Cyrl-CS"/>
        </w:rPr>
      </w:pPr>
      <w:r w:rsidRPr="00500B84">
        <w:rPr>
          <w:rFonts w:ascii="Times New Roman" w:hAnsi="Times New Roman" w:cs="Times New Roman"/>
          <w:noProof/>
          <w:sz w:val="24"/>
          <w:szCs w:val="24"/>
          <w:lang/>
        </w:rPr>
        <w:t>Када је реч о сарадњи ресора културе и туризма, п</w:t>
      </w:r>
      <w:r w:rsidR="00F2732A" w:rsidRPr="00500B84">
        <w:rPr>
          <w:rFonts w:ascii="Times New Roman" w:hAnsi="Times New Roman" w:cs="Times New Roman"/>
          <w:noProof/>
          <w:sz w:val="24"/>
          <w:szCs w:val="24"/>
        </w:rPr>
        <w:t xml:space="preserve">рема речима чланова Радне групе </w:t>
      </w:r>
      <w:r w:rsidR="00B24F64" w:rsidRPr="00500B84">
        <w:rPr>
          <w:rFonts w:ascii="Times New Roman" w:hAnsi="Times New Roman" w:cs="Times New Roman"/>
          <w:noProof/>
          <w:sz w:val="24"/>
          <w:szCs w:val="24"/>
        </w:rPr>
        <w:t>к</w:t>
      </w:r>
      <w:r w:rsidR="00F2732A" w:rsidRPr="00500B84">
        <w:rPr>
          <w:rFonts w:ascii="Times New Roman" w:hAnsi="Times New Roman" w:cs="Times New Roman"/>
          <w:noProof/>
          <w:sz w:val="24"/>
          <w:szCs w:val="24"/>
        </w:rPr>
        <w:t>ултурни туризам иако је једна од снага развоја и културе и града н</w:t>
      </w:r>
      <w:r w:rsidRPr="00500B84">
        <w:rPr>
          <w:rFonts w:ascii="Times New Roman" w:hAnsi="Times New Roman" w:cs="Times New Roman"/>
          <w:noProof/>
          <w:sz w:val="24"/>
          <w:szCs w:val="24"/>
        </w:rPr>
        <w:t>ије довољно развијен у Сомбору</w:t>
      </w:r>
      <w:r w:rsidRPr="00500B84">
        <w:rPr>
          <w:rFonts w:ascii="Times New Roman" w:hAnsi="Times New Roman" w:cs="Times New Roman"/>
          <w:noProof/>
          <w:sz w:val="24"/>
          <w:szCs w:val="24"/>
          <w:lang/>
        </w:rPr>
        <w:t>. З</w:t>
      </w:r>
      <w:r w:rsidR="001D7CA5" w:rsidRPr="00500B84">
        <w:rPr>
          <w:rFonts w:ascii="Times New Roman" w:hAnsi="Times New Roman" w:cs="Times New Roman"/>
          <w:noProof/>
          <w:sz w:val="24"/>
          <w:szCs w:val="24"/>
        </w:rPr>
        <w:t>апослени</w:t>
      </w:r>
      <w:r w:rsidR="001D7CA5">
        <w:rPr>
          <w:rFonts w:ascii="Times New Roman" w:hAnsi="Times New Roman" w:cs="Times New Roman"/>
          <w:noProof/>
          <w:sz w:val="24"/>
          <w:szCs w:val="24"/>
        </w:rPr>
        <w:t xml:space="preserve"> у установама културе сарадњу са туристичком организацијом оцењују средњом оценом 2,74.</w:t>
      </w:r>
      <w:r w:rsidR="00F2732A">
        <w:rPr>
          <w:rFonts w:ascii="Times New Roman" w:hAnsi="Times New Roman" w:cs="Times New Roman"/>
          <w:noProof/>
          <w:sz w:val="24"/>
          <w:szCs w:val="24"/>
        </w:rPr>
        <w:t xml:space="preserve"> </w:t>
      </w:r>
      <w:r w:rsidR="00500B84" w:rsidRPr="00D13C95">
        <w:rPr>
          <w:rFonts w:ascii="Times New Roman" w:hAnsi="Times New Roman" w:cs="Times New Roman"/>
          <w:noProof/>
          <w:sz w:val="24"/>
          <w:szCs w:val="24"/>
          <w:lang/>
        </w:rPr>
        <w:t xml:space="preserve">Учесници фокус група су нагласили да се Туристичка организација Сомбор не ангажује довољно у промоцији и развоју туризма локалне самоуправе </w:t>
      </w:r>
      <w:r w:rsidR="00B24F64" w:rsidRPr="00D13C95">
        <w:rPr>
          <w:rFonts w:ascii="Times New Roman" w:hAnsi="Times New Roman" w:cs="Times New Roman"/>
          <w:noProof/>
          <w:sz w:val="24"/>
          <w:szCs w:val="24"/>
        </w:rPr>
        <w:t xml:space="preserve">и </w:t>
      </w:r>
      <w:r w:rsidR="00B24F64" w:rsidRPr="00D13C95">
        <w:rPr>
          <w:rFonts w:ascii="Times New Roman" w:hAnsi="Times New Roman" w:cs="Times New Roman"/>
          <w:noProof/>
          <w:sz w:val="24"/>
          <w:szCs w:val="24"/>
          <w:lang w:val="sr-Cyrl-CS"/>
        </w:rPr>
        <w:t>изради</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и</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реализацији</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домаћих</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и</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међународних</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пројеката</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из</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области</w:t>
      </w:r>
      <w:r w:rsidR="00175B4C" w:rsidRPr="00D13C95">
        <w:rPr>
          <w:rFonts w:ascii="Times New Roman" w:hAnsi="Times New Roman" w:cs="Times New Roman"/>
          <w:noProof/>
          <w:sz w:val="24"/>
          <w:szCs w:val="24"/>
          <w:lang w:val="sr-Cyrl-CS"/>
        </w:rPr>
        <w:t xml:space="preserve"> </w:t>
      </w:r>
      <w:r w:rsidR="00B24F64" w:rsidRPr="00D13C95">
        <w:rPr>
          <w:rFonts w:ascii="Times New Roman" w:hAnsi="Times New Roman" w:cs="Times New Roman"/>
          <w:noProof/>
          <w:sz w:val="24"/>
          <w:szCs w:val="24"/>
          <w:lang w:val="sr-Cyrl-CS"/>
        </w:rPr>
        <w:t>туризма.</w:t>
      </w:r>
      <w:r w:rsidR="00B24F64" w:rsidRPr="00175B4C">
        <w:rPr>
          <w:rFonts w:ascii="Times New Roman" w:hAnsi="Times New Roman" w:cs="Times New Roman"/>
          <w:noProof/>
          <w:sz w:val="24"/>
          <w:szCs w:val="24"/>
          <w:lang w:val="sr-Cyrl-CS"/>
        </w:rPr>
        <w:t xml:space="preserve"> </w:t>
      </w:r>
    </w:p>
    <w:p w:rsidR="00C54955" w:rsidRDefault="00FA30B1" w:rsidP="0099762F">
      <w:pPr>
        <w:spacing w:after="0" w:line="276" w:lineRule="auto"/>
        <w:ind w:firstLine="720"/>
        <w:jc w:val="both"/>
        <w:rPr>
          <w:rFonts w:ascii="Times New Roman" w:hAnsi="Times New Roman" w:cs="Times New Roman"/>
          <w:noProof/>
          <w:sz w:val="24"/>
          <w:szCs w:val="24"/>
          <w:lang w:val="sr-Cyrl-CS"/>
        </w:rPr>
      </w:pPr>
      <w:r w:rsidRPr="00FA30B1">
        <w:rPr>
          <w:rFonts w:ascii="Times New Roman" w:hAnsi="Times New Roman" w:cs="Times New Roman"/>
          <w:noProof/>
          <w:sz w:val="24"/>
          <w:szCs w:val="24"/>
          <w:lang w:val="sr-Cyrl-CS"/>
        </w:rPr>
        <w:t>Грађани Сомбора</w:t>
      </w:r>
      <w:r w:rsidR="000216B8">
        <w:rPr>
          <w:rFonts w:ascii="Times New Roman" w:hAnsi="Times New Roman" w:cs="Times New Roman"/>
          <w:noProof/>
          <w:sz w:val="24"/>
          <w:szCs w:val="24"/>
          <w:lang w:val="sr-Cyrl-CS"/>
        </w:rPr>
        <w:t xml:space="preserve"> и запослени у установама културе</w:t>
      </w:r>
      <w:r w:rsidRPr="00FA30B1">
        <w:rPr>
          <w:rFonts w:ascii="Times New Roman" w:hAnsi="Times New Roman" w:cs="Times New Roman"/>
          <w:noProof/>
          <w:sz w:val="24"/>
          <w:szCs w:val="24"/>
          <w:lang w:val="sr-Cyrl-CS"/>
        </w:rPr>
        <w:t xml:space="preserve"> сматрају да културна понуда није у довољној мери препознатљива у покрајини, земљи и околним земљама, а управо у квалитету културних догађаја и промоцији града као културне дестинације постоји шанса за економски развој Сомбора</w:t>
      </w:r>
      <w:r w:rsidR="00D42995">
        <w:rPr>
          <w:rStyle w:val="FootnoteReference"/>
          <w:rFonts w:ascii="Times New Roman" w:hAnsi="Times New Roman" w:cs="Times New Roman"/>
          <w:noProof/>
          <w:sz w:val="24"/>
          <w:szCs w:val="24"/>
          <w:lang w:val="sr-Cyrl-CS"/>
        </w:rPr>
        <w:footnoteReference w:id="24"/>
      </w:r>
      <w:r w:rsidR="00A4088C">
        <w:rPr>
          <w:rFonts w:ascii="Times New Roman" w:hAnsi="Times New Roman" w:cs="Times New Roman"/>
          <w:noProof/>
          <w:sz w:val="24"/>
          <w:szCs w:val="24"/>
          <w:lang w:val="sr-Cyrl-CS"/>
        </w:rPr>
        <w:t>, те да би сектор културе требало да развије бољу сарадњу са сектором туризма у Сомбору</w:t>
      </w:r>
      <w:r>
        <w:rPr>
          <w:rStyle w:val="FootnoteReference"/>
          <w:rFonts w:ascii="Times New Roman" w:hAnsi="Times New Roman" w:cs="Times New Roman"/>
          <w:noProof/>
          <w:sz w:val="24"/>
          <w:szCs w:val="24"/>
          <w:lang w:val="sr-Cyrl-CS"/>
        </w:rPr>
        <w:footnoteReference w:id="25"/>
      </w:r>
      <w:r w:rsidRPr="00FA30B1">
        <w:rPr>
          <w:rFonts w:ascii="Times New Roman" w:hAnsi="Times New Roman" w:cs="Times New Roman"/>
          <w:noProof/>
          <w:sz w:val="24"/>
          <w:szCs w:val="24"/>
          <w:lang w:val="sr-Cyrl-CS"/>
        </w:rPr>
        <w:t xml:space="preserve">. </w:t>
      </w:r>
      <w:r w:rsidR="00B24F64" w:rsidRPr="00C54955">
        <w:rPr>
          <w:rFonts w:ascii="Times New Roman" w:hAnsi="Times New Roman" w:cs="Times New Roman"/>
          <w:noProof/>
          <w:sz w:val="24"/>
          <w:szCs w:val="24"/>
          <w:lang w:val="sr-Cyrl-CS"/>
        </w:rPr>
        <w:t>Поред тога, у Програму развоја</w:t>
      </w:r>
      <w:r w:rsidR="001E6F75">
        <w:rPr>
          <w:rFonts w:ascii="Times New Roman" w:hAnsi="Times New Roman" w:cs="Times New Roman"/>
          <w:noProof/>
          <w:sz w:val="24"/>
          <w:szCs w:val="24"/>
        </w:rPr>
        <w:t xml:space="preserve"> </w:t>
      </w:r>
      <w:r w:rsidR="001D7CA5" w:rsidRPr="00C54955">
        <w:rPr>
          <w:rFonts w:ascii="Times New Roman" w:hAnsi="Times New Roman" w:cs="Times New Roman"/>
          <w:noProof/>
          <w:sz w:val="24"/>
          <w:szCs w:val="24"/>
          <w:lang w:val="sr-Cyrl-CS"/>
        </w:rPr>
        <w:t>туризма града Сомбора 2017 – 2025  један сегмент је посвећен развоју културног туризма у Сомбору, који се односи на повезивање са суседним општинама укључивањем у културно тематске руте и презентовање и интерпретирање природног и културног наслеђа у сврхе туризма уз помоћ „story telling” модела “living heritage” и “living history”.</w:t>
      </w:r>
      <w:r w:rsidR="000216B8">
        <w:rPr>
          <w:rFonts w:ascii="Times New Roman" w:hAnsi="Times New Roman" w:cs="Times New Roman"/>
          <w:noProof/>
          <w:sz w:val="24"/>
          <w:szCs w:val="24"/>
          <w:lang w:val="sr-Cyrl-CS"/>
        </w:rPr>
        <w:t>Место Бездан се до скоро налазило</w:t>
      </w:r>
      <w:r w:rsidR="00C54955">
        <w:rPr>
          <w:rFonts w:ascii="Times New Roman" w:hAnsi="Times New Roman" w:cs="Times New Roman"/>
          <w:noProof/>
          <w:sz w:val="24"/>
          <w:szCs w:val="24"/>
          <w:lang w:val="sr-Cyrl-CS"/>
        </w:rPr>
        <w:t xml:space="preserve"> на Путу текстила који је био у оквиру сертификованог Пута културе индустријског наслеђа. Међутим, Пут текстила није више активна рута. Ипак, Сомбор са насељеним местима поседује друге знаменитости које могу представљати тачке сертификованих рута</w:t>
      </w:r>
      <w:r w:rsidR="000216B8">
        <w:rPr>
          <w:rFonts w:ascii="Times New Roman" w:hAnsi="Times New Roman" w:cs="Times New Roman"/>
          <w:noProof/>
          <w:sz w:val="24"/>
          <w:szCs w:val="24"/>
          <w:lang w:val="sr-Cyrl-CS"/>
        </w:rPr>
        <w:t xml:space="preserve"> на којима се налази Србија</w:t>
      </w:r>
      <w:r w:rsidR="00C54955">
        <w:rPr>
          <w:rFonts w:ascii="Times New Roman" w:hAnsi="Times New Roman" w:cs="Times New Roman"/>
          <w:noProof/>
          <w:sz w:val="24"/>
          <w:szCs w:val="24"/>
          <w:lang w:val="sr-Cyrl-CS"/>
        </w:rPr>
        <w:t xml:space="preserve">. </w:t>
      </w:r>
    </w:p>
    <w:p w:rsidR="0099762F" w:rsidRDefault="0099762F" w:rsidP="0099762F">
      <w:pPr>
        <w:spacing w:after="0" w:line="276" w:lineRule="auto"/>
        <w:ind w:firstLine="720"/>
        <w:jc w:val="both"/>
        <w:rPr>
          <w:rFonts w:ascii="Times New Roman" w:hAnsi="Times New Roman" w:cs="Times New Roman"/>
          <w:noProof/>
          <w:sz w:val="24"/>
          <w:szCs w:val="24"/>
          <w:lang w:val="sr-Cyrl-CS"/>
        </w:rPr>
      </w:pPr>
    </w:p>
    <w:p w:rsidR="00A33C9B" w:rsidRPr="000606DF" w:rsidRDefault="00A33C9B" w:rsidP="00B03CD2">
      <w:pPr>
        <w:pStyle w:val="Heading2"/>
        <w:numPr>
          <w:ilvl w:val="1"/>
          <w:numId w:val="13"/>
        </w:numPr>
        <w:spacing w:before="0"/>
        <w:rPr>
          <w:b/>
        </w:rPr>
      </w:pPr>
      <w:bookmarkStart w:id="17" w:name="_Toc36072293"/>
      <w:r w:rsidRPr="000606DF">
        <w:rPr>
          <w:b/>
        </w:rPr>
        <w:t>Финансирање програма и пројеката</w:t>
      </w:r>
      <w:bookmarkEnd w:id="17"/>
    </w:p>
    <w:p w:rsidR="00A33C9B" w:rsidRDefault="00A33C9B" w:rsidP="0099762F">
      <w:pPr>
        <w:pStyle w:val="ListParagraph"/>
        <w:spacing w:after="0"/>
        <w:rPr>
          <w:rFonts w:ascii="Times New Roman" w:hAnsi="Times New Roman" w:cs="Times New Roman"/>
          <w:b/>
          <w:noProof/>
          <w:sz w:val="24"/>
          <w:szCs w:val="24"/>
          <w:lang w:val="sr-Cyrl-CS"/>
        </w:rPr>
      </w:pPr>
    </w:p>
    <w:p w:rsidR="00685AFC" w:rsidRDefault="00376606" w:rsidP="0099762F">
      <w:pPr>
        <w:spacing w:line="276"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 xml:space="preserve">У </w:t>
      </w:r>
      <w:r w:rsidR="00C20895" w:rsidRPr="00C20895">
        <w:rPr>
          <w:rFonts w:ascii="Times New Roman" w:hAnsi="Times New Roman" w:cs="Times New Roman"/>
          <w:noProof/>
          <w:sz w:val="24"/>
          <w:szCs w:val="24"/>
          <w:lang w:val="sr-Cyrl-CS"/>
        </w:rPr>
        <w:t>Сомбору се за културу издваја</w:t>
      </w:r>
      <w:r w:rsidR="00C20895">
        <w:rPr>
          <w:rFonts w:ascii="Times New Roman" w:hAnsi="Times New Roman" w:cs="Times New Roman"/>
          <w:noProof/>
          <w:sz w:val="24"/>
          <w:szCs w:val="24"/>
          <w:lang w:val="sr-Cyrl-CS"/>
        </w:rPr>
        <w:t>ју</w:t>
      </w:r>
      <w:r>
        <w:rPr>
          <w:rFonts w:ascii="Times New Roman" w:hAnsi="Times New Roman" w:cs="Times New Roman"/>
          <w:noProof/>
          <w:sz w:val="24"/>
          <w:szCs w:val="24"/>
          <w:lang w:val="sr-Cyrl-CS"/>
        </w:rPr>
        <w:t xml:space="preserve"> </w:t>
      </w:r>
      <w:r w:rsidRPr="00376606">
        <w:rPr>
          <w:rFonts w:ascii="Times New Roman" w:hAnsi="Times New Roman" w:cs="Times New Roman"/>
          <w:noProof/>
          <w:sz w:val="24"/>
          <w:szCs w:val="24"/>
          <w:lang w:val="sr-Cyrl-CS"/>
        </w:rPr>
        <w:t>значајна</w:t>
      </w:r>
      <w:r>
        <w:rPr>
          <w:rFonts w:ascii="Times New Roman" w:hAnsi="Times New Roman" w:cs="Times New Roman"/>
          <w:noProof/>
          <w:sz w:val="24"/>
          <w:szCs w:val="24"/>
          <w:lang w:val="sr-Cyrl-CS"/>
        </w:rPr>
        <w:t xml:space="preserve"> </w:t>
      </w:r>
      <w:r w:rsidR="00C20895">
        <w:rPr>
          <w:rFonts w:ascii="Times New Roman" w:hAnsi="Times New Roman" w:cs="Times New Roman"/>
          <w:noProof/>
          <w:sz w:val="24"/>
          <w:szCs w:val="24"/>
          <w:lang w:val="sr-Cyrl-CS"/>
        </w:rPr>
        <w:t>средст</w:t>
      </w:r>
      <w:r w:rsidR="00C20895" w:rsidRPr="00C20895">
        <w:rPr>
          <w:rFonts w:ascii="Times New Roman" w:hAnsi="Times New Roman" w:cs="Times New Roman"/>
          <w:noProof/>
          <w:sz w:val="24"/>
          <w:szCs w:val="24"/>
          <w:lang w:val="sr-Cyrl-CS"/>
        </w:rPr>
        <w:t>ва, сматра</w:t>
      </w:r>
      <w:r w:rsidR="00C20895">
        <w:rPr>
          <w:rFonts w:ascii="Times New Roman" w:hAnsi="Times New Roman" w:cs="Times New Roman"/>
          <w:noProof/>
          <w:sz w:val="24"/>
          <w:szCs w:val="24"/>
          <w:lang w:val="sr-Cyrl-CS"/>
        </w:rPr>
        <w:t>ју</w:t>
      </w:r>
      <w:r w:rsidR="00C20895" w:rsidRPr="00C20895">
        <w:rPr>
          <w:rFonts w:ascii="Times New Roman" w:hAnsi="Times New Roman" w:cs="Times New Roman"/>
          <w:noProof/>
          <w:sz w:val="24"/>
          <w:szCs w:val="24"/>
          <w:lang w:val="sr-Cyrl-CS"/>
        </w:rPr>
        <w:t xml:space="preserve"> представница локалне самоуправе</w:t>
      </w:r>
      <w:r w:rsidR="00C20895">
        <w:rPr>
          <w:rFonts w:ascii="Times New Roman" w:hAnsi="Times New Roman" w:cs="Times New Roman"/>
          <w:noProof/>
          <w:sz w:val="24"/>
          <w:szCs w:val="24"/>
          <w:lang w:val="sr-Cyrl-CS"/>
        </w:rPr>
        <w:t xml:space="preserve"> и чланови Радне групе. Буџет града Сомбора у 2019.</w:t>
      </w:r>
      <w:r w:rsidR="00AB63D9">
        <w:rPr>
          <w:rFonts w:ascii="Times New Roman" w:hAnsi="Times New Roman" w:cs="Times New Roman"/>
          <w:noProof/>
          <w:sz w:val="24"/>
          <w:szCs w:val="24"/>
          <w:lang w:val="sr-Cyrl-CS"/>
        </w:rPr>
        <w:t xml:space="preserve"> години</w:t>
      </w:r>
      <w:r w:rsidR="00C20895">
        <w:rPr>
          <w:rFonts w:ascii="Times New Roman" w:hAnsi="Times New Roman" w:cs="Times New Roman"/>
          <w:noProof/>
          <w:sz w:val="24"/>
          <w:szCs w:val="24"/>
          <w:lang w:val="sr-Cyrl-CS"/>
        </w:rPr>
        <w:t xml:space="preserve"> износио је 2.996.755</w:t>
      </w:r>
      <w:r w:rsidR="00C20895" w:rsidRPr="00C20895">
        <w:rPr>
          <w:rFonts w:ascii="Times New Roman" w:hAnsi="Times New Roman" w:cs="Times New Roman"/>
          <w:noProof/>
          <w:sz w:val="24"/>
          <w:szCs w:val="24"/>
          <w:lang w:val="sr-Cyrl-CS"/>
        </w:rPr>
        <w:t>.000,00  динара,</w:t>
      </w:r>
      <w:r w:rsidR="00723A50">
        <w:rPr>
          <w:rFonts w:ascii="Times New Roman" w:hAnsi="Times New Roman" w:cs="Times New Roman"/>
          <w:noProof/>
          <w:sz w:val="24"/>
          <w:szCs w:val="24"/>
          <w:lang w:val="sr-Cyrl-CS"/>
        </w:rPr>
        <w:t xml:space="preserve"> док се за културу издвајало 243.298.000,00 динара, односно 8,</w:t>
      </w:r>
      <w:r w:rsidR="00723A50">
        <w:rPr>
          <w:rFonts w:ascii="Times New Roman" w:hAnsi="Times New Roman" w:cs="Times New Roman"/>
          <w:noProof/>
          <w:sz w:val="24"/>
          <w:szCs w:val="24"/>
        </w:rPr>
        <w:t>1</w:t>
      </w:r>
      <w:r w:rsidR="00C20895" w:rsidRPr="00C20895">
        <w:rPr>
          <w:rFonts w:ascii="Times New Roman" w:hAnsi="Times New Roman" w:cs="Times New Roman"/>
          <w:noProof/>
          <w:sz w:val="24"/>
          <w:szCs w:val="24"/>
          <w:lang w:val="sr-Cyrl-CS"/>
        </w:rPr>
        <w:t>% градског буџета. Просечно годишње издвајање за ку</w:t>
      </w:r>
      <w:r w:rsidR="00C20895">
        <w:rPr>
          <w:rFonts w:ascii="Times New Roman" w:hAnsi="Times New Roman" w:cs="Times New Roman"/>
          <w:noProof/>
          <w:sz w:val="24"/>
          <w:szCs w:val="24"/>
          <w:lang w:val="sr-Cyrl-CS"/>
        </w:rPr>
        <w:t>лтуру по глави становника</w:t>
      </w:r>
      <w:r w:rsidR="00723A50">
        <w:rPr>
          <w:rFonts w:ascii="Times New Roman" w:hAnsi="Times New Roman" w:cs="Times New Roman"/>
          <w:noProof/>
          <w:sz w:val="24"/>
          <w:szCs w:val="24"/>
          <w:lang w:val="sr-Cyrl-CS"/>
        </w:rPr>
        <w:t xml:space="preserve"> у 2019. у Сомбору било је 2.832,24</w:t>
      </w:r>
      <w:r w:rsidR="00C20895" w:rsidRPr="00C20895">
        <w:rPr>
          <w:rFonts w:ascii="Times New Roman" w:hAnsi="Times New Roman" w:cs="Times New Roman"/>
          <w:noProof/>
          <w:sz w:val="24"/>
          <w:szCs w:val="24"/>
          <w:lang w:val="sr-Cyrl-CS"/>
        </w:rPr>
        <w:t xml:space="preserve"> динара. </w:t>
      </w:r>
      <w:r w:rsidR="00C20895">
        <w:rPr>
          <w:rFonts w:ascii="Times New Roman" w:hAnsi="Times New Roman" w:cs="Times New Roman"/>
          <w:noProof/>
          <w:sz w:val="24"/>
          <w:szCs w:val="24"/>
          <w:lang w:val="sr-Cyrl-CS"/>
        </w:rPr>
        <w:t xml:space="preserve">Уколико се посматра целокупни буџет Града, са </w:t>
      </w:r>
      <w:r w:rsidR="00C20895">
        <w:rPr>
          <w:rFonts w:ascii="Times New Roman" w:hAnsi="Times New Roman" w:cs="Times New Roman"/>
          <w:noProof/>
          <w:sz w:val="24"/>
          <w:szCs w:val="24"/>
          <w:lang w:val="sr-Cyrl-CS"/>
        </w:rPr>
        <w:lastRenderedPageBreak/>
        <w:t>сопственим изворима, трансферима осталих нивоа власти, осталим изворима, буџет Сомбора у 2019. години износи 3.236.564.000,00 динар</w:t>
      </w:r>
      <w:r w:rsidR="006B69E7">
        <w:rPr>
          <w:rFonts w:ascii="Times New Roman" w:hAnsi="Times New Roman" w:cs="Times New Roman"/>
          <w:noProof/>
          <w:sz w:val="24"/>
          <w:szCs w:val="24"/>
          <w:lang w:val="sr-Cyrl-CS"/>
        </w:rPr>
        <w:t>а, док се за културу издваја 422.591.000,00 динара, односно 13</w:t>
      </w:r>
      <w:r w:rsidR="00C20895">
        <w:rPr>
          <w:rFonts w:ascii="Times New Roman" w:hAnsi="Times New Roman" w:cs="Times New Roman"/>
          <w:noProof/>
          <w:sz w:val="24"/>
          <w:szCs w:val="24"/>
          <w:lang w:val="sr-Cyrl-CS"/>
        </w:rPr>
        <w:t xml:space="preserve">% градског буџета. </w:t>
      </w:r>
    </w:p>
    <w:p w:rsidR="00747C5A" w:rsidRDefault="00685AFC" w:rsidP="0099762F">
      <w:pPr>
        <w:spacing w:line="276"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Н</w:t>
      </w:r>
      <w:r w:rsidR="00C20895" w:rsidRPr="00C20895">
        <w:rPr>
          <w:rFonts w:ascii="Times New Roman" w:hAnsi="Times New Roman" w:cs="Times New Roman"/>
          <w:noProof/>
          <w:sz w:val="24"/>
          <w:szCs w:val="24"/>
          <w:lang w:val="sr-Cyrl-CS"/>
        </w:rPr>
        <w:t>ајвећи део</w:t>
      </w:r>
      <w:r w:rsidR="00D33C02">
        <w:rPr>
          <w:rFonts w:ascii="Times New Roman" w:hAnsi="Times New Roman" w:cs="Times New Roman"/>
          <w:noProof/>
          <w:sz w:val="24"/>
          <w:szCs w:val="24"/>
          <w:lang w:val="sr-Cyrl-CS"/>
        </w:rPr>
        <w:t xml:space="preserve"> </w:t>
      </w:r>
      <w:r w:rsidR="00C20895" w:rsidRPr="00C20895">
        <w:rPr>
          <w:rFonts w:ascii="Times New Roman" w:hAnsi="Times New Roman" w:cs="Times New Roman"/>
          <w:noProof/>
          <w:sz w:val="24"/>
          <w:szCs w:val="24"/>
          <w:lang w:val="sr-Cyrl-CS"/>
        </w:rPr>
        <w:t>градског буџета намењеног култури издваја се за</w:t>
      </w:r>
      <w:r w:rsidR="00D33C02">
        <w:rPr>
          <w:rFonts w:ascii="Times New Roman" w:hAnsi="Times New Roman" w:cs="Times New Roman"/>
          <w:noProof/>
          <w:sz w:val="24"/>
          <w:szCs w:val="24"/>
          <w:lang w:val="sr-Cyrl-CS"/>
        </w:rPr>
        <w:t xml:space="preserve"> </w:t>
      </w:r>
      <w:r w:rsidR="00C20895" w:rsidRPr="00C20895">
        <w:rPr>
          <w:rFonts w:ascii="Times New Roman" w:hAnsi="Times New Roman" w:cs="Times New Roman"/>
          <w:noProof/>
          <w:sz w:val="24"/>
          <w:szCs w:val="24"/>
          <w:lang w:val="sr-Cyrl-CS"/>
        </w:rPr>
        <w:t>плате и доприносе запослених</w:t>
      </w:r>
      <w:r w:rsidR="002F4C5D">
        <w:rPr>
          <w:rFonts w:ascii="Times New Roman" w:hAnsi="Times New Roman" w:cs="Times New Roman"/>
          <w:noProof/>
          <w:sz w:val="24"/>
          <w:szCs w:val="24"/>
          <w:lang w:val="sr-Cyrl-CS"/>
        </w:rPr>
        <w:t xml:space="preserve"> –</w:t>
      </w:r>
      <w:r w:rsidR="006B69E7">
        <w:rPr>
          <w:rFonts w:ascii="Times New Roman" w:hAnsi="Times New Roman" w:cs="Times New Roman"/>
          <w:noProof/>
          <w:sz w:val="24"/>
          <w:szCs w:val="24"/>
          <w:lang w:val="sr-Cyrl-CS"/>
        </w:rPr>
        <w:t xml:space="preserve"> 49</w:t>
      </w:r>
      <w:r w:rsidR="002F4C5D">
        <w:rPr>
          <w:rFonts w:ascii="Times New Roman" w:hAnsi="Times New Roman" w:cs="Times New Roman"/>
          <w:noProof/>
          <w:sz w:val="24"/>
          <w:szCs w:val="24"/>
          <w:lang w:val="sr-Cyrl-CS"/>
        </w:rPr>
        <w:t>%</w:t>
      </w:r>
      <w:r w:rsidR="00C20895" w:rsidRPr="00C20895">
        <w:rPr>
          <w:rFonts w:ascii="Times New Roman" w:hAnsi="Times New Roman" w:cs="Times New Roman"/>
          <w:noProof/>
          <w:sz w:val="24"/>
          <w:szCs w:val="24"/>
          <w:lang w:val="sr-Cyrl-CS"/>
        </w:rPr>
        <w:t xml:space="preserve">, </w:t>
      </w:r>
      <w:r w:rsidR="00302CEC">
        <w:rPr>
          <w:rFonts w:ascii="Times New Roman" w:hAnsi="Times New Roman" w:cs="Times New Roman"/>
          <w:noProof/>
          <w:sz w:val="24"/>
          <w:szCs w:val="24"/>
          <w:lang w:val="sr-Cyrl-CS"/>
        </w:rPr>
        <w:t xml:space="preserve">затим </w:t>
      </w:r>
      <w:r w:rsidR="002F4C5D">
        <w:rPr>
          <w:rFonts w:ascii="Times New Roman" w:hAnsi="Times New Roman" w:cs="Times New Roman"/>
          <w:noProof/>
          <w:sz w:val="24"/>
          <w:szCs w:val="24"/>
          <w:lang w:val="sr-Cyrl-CS"/>
        </w:rPr>
        <w:t>за</w:t>
      </w:r>
      <w:r w:rsidR="00AB63D9">
        <w:rPr>
          <w:rFonts w:ascii="Times New Roman" w:hAnsi="Times New Roman" w:cs="Times New Roman"/>
          <w:noProof/>
          <w:sz w:val="24"/>
          <w:szCs w:val="24"/>
          <w:lang w:val="sr-Cyrl-CS"/>
        </w:rPr>
        <w:t xml:space="preserve"> материјалне трошкове, док је за</w:t>
      </w:r>
      <w:r w:rsidR="002F4C5D">
        <w:rPr>
          <w:rFonts w:ascii="Times New Roman" w:hAnsi="Times New Roman" w:cs="Times New Roman"/>
          <w:noProof/>
          <w:sz w:val="24"/>
          <w:szCs w:val="24"/>
          <w:lang w:val="sr-Cyrl-CS"/>
        </w:rPr>
        <w:t xml:space="preserve"> пројекте и програмеу 2019</w:t>
      </w:r>
      <w:r w:rsidR="00C20895" w:rsidRPr="00C20895">
        <w:rPr>
          <w:rFonts w:ascii="Times New Roman" w:hAnsi="Times New Roman" w:cs="Times New Roman"/>
          <w:noProof/>
          <w:sz w:val="24"/>
          <w:szCs w:val="24"/>
          <w:lang w:val="sr-Cyrl-CS"/>
        </w:rPr>
        <w:t>. години (заје</w:t>
      </w:r>
      <w:r w:rsidR="00F97F75">
        <w:rPr>
          <w:rFonts w:ascii="Times New Roman" w:hAnsi="Times New Roman" w:cs="Times New Roman"/>
          <w:noProof/>
          <w:sz w:val="24"/>
          <w:szCs w:val="24"/>
          <w:lang w:val="sr-Cyrl-CS"/>
        </w:rPr>
        <w:t>дно са конкурсом) издвојено 26,3</w:t>
      </w:r>
      <w:r w:rsidR="00C20895" w:rsidRPr="00C20895">
        <w:rPr>
          <w:rFonts w:ascii="Times New Roman" w:hAnsi="Times New Roman" w:cs="Times New Roman"/>
          <w:noProof/>
          <w:sz w:val="24"/>
          <w:szCs w:val="24"/>
          <w:lang w:val="sr-Cyrl-CS"/>
        </w:rPr>
        <w:t>%градског буџета за културу</w:t>
      </w:r>
      <w:r w:rsidR="00F97F75">
        <w:rPr>
          <w:rFonts w:ascii="Times New Roman" w:hAnsi="Times New Roman" w:cs="Times New Roman"/>
          <w:noProof/>
          <w:sz w:val="24"/>
          <w:szCs w:val="24"/>
          <w:lang w:val="sr-Cyrl-CS"/>
        </w:rPr>
        <w:t xml:space="preserve"> (64</w:t>
      </w:r>
      <w:r w:rsidR="007F7511">
        <w:rPr>
          <w:rFonts w:ascii="Times New Roman" w:hAnsi="Times New Roman" w:cs="Times New Roman"/>
          <w:noProof/>
          <w:sz w:val="24"/>
          <w:szCs w:val="24"/>
          <w:lang w:val="sr-Cyrl-CS"/>
        </w:rPr>
        <w:t>.124.000,00 динара)</w:t>
      </w:r>
      <w:r w:rsidR="00F97F75">
        <w:rPr>
          <w:rFonts w:ascii="Times New Roman" w:hAnsi="Times New Roman" w:cs="Times New Roman"/>
          <w:noProof/>
          <w:sz w:val="24"/>
          <w:szCs w:val="24"/>
          <w:lang w:val="sr-Cyrl-CS"/>
        </w:rPr>
        <w:t xml:space="preserve">. </w:t>
      </w:r>
      <w:r w:rsidR="00F97F75" w:rsidRPr="00F97F75">
        <w:rPr>
          <w:rFonts w:ascii="Times New Roman" w:hAnsi="Times New Roman" w:cs="Times New Roman"/>
          <w:noProof/>
          <w:sz w:val="24"/>
          <w:szCs w:val="24"/>
          <w:lang w:val="sr-Cyrl-CS"/>
        </w:rPr>
        <w:t>За конкурсе удружењима грађана у 2019. години издвојено је 4,1% градског буџета, односно 10.000.000,00 динара (Графикон 2)</w:t>
      </w:r>
      <w:r w:rsidR="00C20895" w:rsidRPr="00C20895">
        <w:rPr>
          <w:rFonts w:ascii="Times New Roman" w:hAnsi="Times New Roman" w:cs="Times New Roman"/>
          <w:noProof/>
          <w:sz w:val="24"/>
          <w:szCs w:val="24"/>
          <w:lang w:val="sr-Cyrl-CS"/>
        </w:rPr>
        <w:t xml:space="preserve">. </w:t>
      </w:r>
      <w:r w:rsidR="00302CEC">
        <w:rPr>
          <w:rFonts w:ascii="Times New Roman" w:hAnsi="Times New Roman" w:cs="Times New Roman"/>
          <w:noProof/>
          <w:sz w:val="24"/>
          <w:szCs w:val="24"/>
          <w:lang w:val="sr-Cyrl-CS"/>
        </w:rPr>
        <w:t>Важно је напоменути</w:t>
      </w:r>
      <w:r w:rsidR="001861AF">
        <w:rPr>
          <w:rFonts w:ascii="Times New Roman" w:hAnsi="Times New Roman" w:cs="Times New Roman"/>
          <w:noProof/>
          <w:sz w:val="24"/>
          <w:szCs w:val="24"/>
          <w:lang w:val="sr-Cyrl-CS"/>
        </w:rPr>
        <w:t xml:space="preserve">, да се у култури, </w:t>
      </w:r>
      <w:r w:rsidR="00302CEC">
        <w:rPr>
          <w:rFonts w:ascii="Times New Roman" w:hAnsi="Times New Roman" w:cs="Times New Roman"/>
          <w:noProof/>
          <w:sz w:val="24"/>
          <w:szCs w:val="24"/>
          <w:lang w:val="sr-Cyrl-CS"/>
        </w:rPr>
        <w:t>уколико се сагледа целокупни буџет Града</w:t>
      </w:r>
      <w:r w:rsidR="001861AF">
        <w:rPr>
          <w:rFonts w:ascii="Times New Roman" w:hAnsi="Times New Roman" w:cs="Times New Roman"/>
          <w:noProof/>
          <w:sz w:val="24"/>
          <w:szCs w:val="24"/>
          <w:lang w:val="sr-Cyrl-CS"/>
        </w:rPr>
        <w:t xml:space="preserve">, највише издваја за материјалне трошкове и то за зграде и грађевинске објекте, машине и опрему. Такође, за програме и пројекте средства се обезбеђују и путем сопствених прихода и од </w:t>
      </w:r>
      <w:r w:rsidR="00376606">
        <w:rPr>
          <w:rFonts w:ascii="Times New Roman" w:hAnsi="Times New Roman" w:cs="Times New Roman"/>
          <w:noProof/>
          <w:sz w:val="24"/>
          <w:szCs w:val="24"/>
          <w:lang w:val="sr-Cyrl-CS"/>
        </w:rPr>
        <w:t xml:space="preserve">осталих нивоа власти. </w:t>
      </w:r>
    </w:p>
    <w:p w:rsidR="007F7511" w:rsidRPr="007F7511" w:rsidRDefault="007F7511" w:rsidP="007F7511">
      <w:pPr>
        <w:spacing w:after="0" w:line="276" w:lineRule="auto"/>
        <w:jc w:val="both"/>
        <w:rPr>
          <w:rFonts w:ascii="Times New Roman" w:hAnsi="Times New Roman" w:cs="Times New Roman"/>
          <w:b/>
          <w:noProof/>
          <w:sz w:val="24"/>
          <w:szCs w:val="24"/>
          <w:lang w:val="sr-Cyrl-CS"/>
        </w:rPr>
      </w:pPr>
      <w:r w:rsidRPr="007F7511">
        <w:rPr>
          <w:rFonts w:ascii="Times New Roman" w:hAnsi="Times New Roman" w:cs="Times New Roman"/>
          <w:b/>
          <w:noProof/>
          <w:sz w:val="24"/>
          <w:szCs w:val="24"/>
          <w:lang w:val="sr-Cyrl-CS"/>
        </w:rPr>
        <w:t xml:space="preserve">Графикон 2: Структура расподеле средстава </w:t>
      </w:r>
      <w:r>
        <w:rPr>
          <w:rFonts w:ascii="Times New Roman" w:hAnsi="Times New Roman" w:cs="Times New Roman"/>
          <w:b/>
          <w:noProof/>
          <w:sz w:val="24"/>
          <w:szCs w:val="24"/>
          <w:lang w:val="sr-Cyrl-CS"/>
        </w:rPr>
        <w:t>градског буџета за културу, 2019</w:t>
      </w:r>
      <w:r w:rsidRPr="007F7511">
        <w:rPr>
          <w:rFonts w:ascii="Times New Roman" w:hAnsi="Times New Roman" w:cs="Times New Roman"/>
          <w:b/>
          <w:noProof/>
          <w:sz w:val="24"/>
          <w:szCs w:val="24"/>
          <w:lang w:val="sr-Cyrl-CS"/>
        </w:rPr>
        <w:t>. година</w:t>
      </w:r>
    </w:p>
    <w:p w:rsidR="007F7511" w:rsidRDefault="007F7511" w:rsidP="00685AFC">
      <w:pPr>
        <w:spacing w:line="276" w:lineRule="auto"/>
        <w:jc w:val="both"/>
        <w:rPr>
          <w:rFonts w:ascii="Times New Roman" w:hAnsi="Times New Roman" w:cs="Times New Roman"/>
          <w:noProof/>
          <w:sz w:val="24"/>
          <w:szCs w:val="24"/>
          <w:lang w:val="sr-Cyrl-CS"/>
        </w:rPr>
      </w:pPr>
      <w:r>
        <w:rPr>
          <w:rFonts w:ascii="Times New Roman" w:hAnsi="Times New Roman" w:cs="Times New Roman"/>
          <w:noProof/>
          <w:sz w:val="24"/>
          <w:szCs w:val="24"/>
        </w:rPr>
        <w:drawing>
          <wp:inline distT="0" distB="0" distL="0" distR="0">
            <wp:extent cx="5705475" cy="96202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6983" w:rsidRPr="00CA6983" w:rsidRDefault="00CA6983" w:rsidP="0099762F">
      <w:pPr>
        <w:spacing w:line="276"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Из градског буџета издвајају се средства за плате, текуће трошкове и прогр</w:t>
      </w:r>
      <w:r w:rsidR="0078431C">
        <w:rPr>
          <w:rFonts w:ascii="Times New Roman" w:hAnsi="Times New Roman" w:cs="Times New Roman"/>
          <w:noProof/>
          <w:sz w:val="24"/>
          <w:szCs w:val="24"/>
          <w:lang w:val="sr-Cyrl-CS"/>
        </w:rPr>
        <w:t>аме шест</w:t>
      </w:r>
      <w:r w:rsidR="003B6EBA">
        <w:rPr>
          <w:rFonts w:ascii="Times New Roman" w:hAnsi="Times New Roman" w:cs="Times New Roman"/>
          <w:noProof/>
          <w:sz w:val="24"/>
          <w:szCs w:val="24"/>
          <w:lang w:val="sr-Cyrl-CS"/>
        </w:rPr>
        <w:t xml:space="preserve"> установа културе</w:t>
      </w:r>
      <w:r>
        <w:rPr>
          <w:rFonts w:ascii="Times New Roman" w:hAnsi="Times New Roman" w:cs="Times New Roman"/>
          <w:noProof/>
          <w:sz w:val="24"/>
          <w:szCs w:val="24"/>
          <w:lang w:val="sr-Cyrl-CS"/>
        </w:rPr>
        <w:t xml:space="preserve">. </w:t>
      </w:r>
    </w:p>
    <w:p w:rsidR="007F7511" w:rsidRPr="007F7511" w:rsidRDefault="003B6EBA" w:rsidP="007F7511">
      <w:pPr>
        <w:spacing w:after="0" w:line="276" w:lineRule="auto"/>
        <w:jc w:val="both"/>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Табела 2</w:t>
      </w:r>
      <w:r w:rsidR="007F7511" w:rsidRPr="007F7511">
        <w:rPr>
          <w:rFonts w:ascii="Times New Roman" w:hAnsi="Times New Roman" w:cs="Times New Roman"/>
          <w:b/>
          <w:noProof/>
          <w:sz w:val="24"/>
          <w:szCs w:val="24"/>
          <w:lang w:val="sr-Cyrl-CS"/>
        </w:rPr>
        <w:t xml:space="preserve">: </w:t>
      </w:r>
      <w:r w:rsidR="00BB4353">
        <w:rPr>
          <w:rFonts w:ascii="Times New Roman" w:hAnsi="Times New Roman" w:cs="Times New Roman"/>
          <w:b/>
          <w:noProof/>
          <w:sz w:val="24"/>
          <w:szCs w:val="24"/>
          <w:lang w:val="sr-Cyrl-CS"/>
        </w:rPr>
        <w:t>Буџет установа</w:t>
      </w:r>
      <w:r w:rsidR="007F7511" w:rsidRPr="007F7511">
        <w:rPr>
          <w:rFonts w:ascii="Times New Roman" w:hAnsi="Times New Roman" w:cs="Times New Roman"/>
          <w:b/>
          <w:noProof/>
          <w:sz w:val="24"/>
          <w:szCs w:val="24"/>
          <w:lang w:val="sr-Cyrl-CS"/>
        </w:rPr>
        <w:t xml:space="preserve"> културе у Сомбору</w:t>
      </w:r>
      <w:r w:rsidR="00BB4353">
        <w:rPr>
          <w:rFonts w:ascii="Times New Roman" w:hAnsi="Times New Roman" w:cs="Times New Roman"/>
          <w:b/>
          <w:noProof/>
          <w:sz w:val="24"/>
          <w:szCs w:val="24"/>
          <w:lang w:val="sr-Cyrl-CS"/>
        </w:rPr>
        <w:t xml:space="preserve">, </w:t>
      </w:r>
      <w:r w:rsidR="00CA6983">
        <w:rPr>
          <w:rFonts w:ascii="Times New Roman" w:hAnsi="Times New Roman" w:cs="Times New Roman"/>
          <w:b/>
          <w:noProof/>
          <w:sz w:val="24"/>
          <w:szCs w:val="24"/>
          <w:lang w:val="sr-Cyrl-CS"/>
        </w:rPr>
        <w:t>2019. година</w:t>
      </w:r>
    </w:p>
    <w:tbl>
      <w:tblPr>
        <w:tblStyle w:val="GridTable4-Accent11"/>
        <w:tblW w:w="9498" w:type="dxa"/>
        <w:jc w:val="center"/>
        <w:tblLook w:val="01E0"/>
      </w:tblPr>
      <w:tblGrid>
        <w:gridCol w:w="426"/>
        <w:gridCol w:w="3827"/>
        <w:gridCol w:w="2551"/>
        <w:gridCol w:w="2694"/>
      </w:tblGrid>
      <w:tr w:rsidR="007F7511" w:rsidRPr="007F7511" w:rsidTr="0099762F">
        <w:trPr>
          <w:cnfStyle w:val="100000000000"/>
          <w:trHeight w:val="520"/>
          <w:jc w:val="center"/>
        </w:trPr>
        <w:tc>
          <w:tcPr>
            <w:cnfStyle w:val="001000000000"/>
            <w:tcW w:w="4253" w:type="dxa"/>
            <w:gridSpan w:val="2"/>
            <w:vAlign w:val="center"/>
          </w:tcPr>
          <w:p w:rsidR="007F7511" w:rsidRPr="007F7511" w:rsidRDefault="007F7511" w:rsidP="00D33C02">
            <w:pPr>
              <w:jc w:val="center"/>
              <w:rPr>
                <w:noProof/>
              </w:rPr>
            </w:pPr>
            <w:r w:rsidRPr="007F7511">
              <w:rPr>
                <w:noProof/>
              </w:rPr>
              <w:t>Назив установе</w:t>
            </w:r>
          </w:p>
        </w:tc>
        <w:tc>
          <w:tcPr>
            <w:cnfStyle w:val="000010000000"/>
            <w:tcW w:w="2551" w:type="dxa"/>
            <w:vAlign w:val="center"/>
          </w:tcPr>
          <w:p w:rsidR="007F7511" w:rsidRPr="007F7511" w:rsidRDefault="007F7511" w:rsidP="00D33C02">
            <w:pPr>
              <w:jc w:val="center"/>
              <w:rPr>
                <w:noProof/>
              </w:rPr>
            </w:pPr>
            <w:r w:rsidRPr="007F7511">
              <w:rPr>
                <w:noProof/>
              </w:rPr>
              <w:t>Средства која се издвајају из градског буџета у динарима</w:t>
            </w:r>
          </w:p>
        </w:tc>
        <w:tc>
          <w:tcPr>
            <w:cnfStyle w:val="000100000000"/>
            <w:tcW w:w="2694" w:type="dxa"/>
            <w:vAlign w:val="center"/>
          </w:tcPr>
          <w:p w:rsidR="007F7511" w:rsidRPr="007F7511" w:rsidRDefault="007F7511" w:rsidP="00D33C02">
            <w:pPr>
              <w:jc w:val="center"/>
              <w:rPr>
                <w:noProof/>
              </w:rPr>
            </w:pPr>
            <w:r w:rsidRPr="007F7511">
              <w:rPr>
                <w:noProof/>
              </w:rPr>
              <w:t>Проценат у односу на градски буџет за културу</w:t>
            </w:r>
          </w:p>
        </w:tc>
      </w:tr>
      <w:tr w:rsidR="007F7511" w:rsidRPr="007F7511" w:rsidTr="00D33C02">
        <w:trPr>
          <w:cnfStyle w:val="000000100000"/>
          <w:trHeight w:val="227"/>
          <w:jc w:val="center"/>
        </w:trPr>
        <w:tc>
          <w:tcPr>
            <w:cnfStyle w:val="001000000000"/>
            <w:tcW w:w="426" w:type="dxa"/>
            <w:vAlign w:val="center"/>
          </w:tcPr>
          <w:p w:rsidR="007F7511" w:rsidRPr="00D33C02" w:rsidRDefault="007F7511" w:rsidP="00D33C02">
            <w:pPr>
              <w:jc w:val="both"/>
              <w:rPr>
                <w:noProof/>
              </w:rPr>
            </w:pPr>
            <w:r w:rsidRPr="00D33C02">
              <w:rPr>
                <w:noProof/>
              </w:rPr>
              <w:t>1</w:t>
            </w:r>
          </w:p>
        </w:tc>
        <w:tc>
          <w:tcPr>
            <w:cnfStyle w:val="000010000000"/>
            <w:tcW w:w="3827" w:type="dxa"/>
            <w:vAlign w:val="center"/>
          </w:tcPr>
          <w:p w:rsidR="007F7511" w:rsidRPr="007F7511" w:rsidRDefault="0099762F" w:rsidP="00D33C02">
            <w:pPr>
              <w:jc w:val="center"/>
              <w:rPr>
                <w:noProof/>
              </w:rPr>
            </w:pPr>
            <w:r>
              <w:rPr>
                <w:noProof/>
              </w:rPr>
              <w:t>Народно позориште Сомбор</w:t>
            </w:r>
          </w:p>
        </w:tc>
        <w:tc>
          <w:tcPr>
            <w:tcW w:w="2551" w:type="dxa"/>
            <w:vAlign w:val="center"/>
          </w:tcPr>
          <w:p w:rsidR="007F7511" w:rsidRPr="007F7511" w:rsidRDefault="00CA6983" w:rsidP="00D33C02">
            <w:pPr>
              <w:jc w:val="center"/>
              <w:cnfStyle w:val="000000100000"/>
              <w:rPr>
                <w:noProof/>
              </w:rPr>
            </w:pPr>
            <w:r>
              <w:rPr>
                <w:noProof/>
              </w:rPr>
              <w:t>86.457</w:t>
            </w:r>
            <w:r w:rsidR="007F7511" w:rsidRPr="007F7511">
              <w:rPr>
                <w:noProof/>
              </w:rPr>
              <w:t>.000</w:t>
            </w:r>
          </w:p>
        </w:tc>
        <w:tc>
          <w:tcPr>
            <w:cnfStyle w:val="000100000000"/>
            <w:tcW w:w="2694" w:type="dxa"/>
            <w:vAlign w:val="center"/>
          </w:tcPr>
          <w:p w:rsidR="007F7511" w:rsidRPr="007F7511" w:rsidRDefault="00CA6983" w:rsidP="00D33C02">
            <w:pPr>
              <w:jc w:val="center"/>
              <w:rPr>
                <w:noProof/>
              </w:rPr>
            </w:pPr>
            <w:r>
              <w:rPr>
                <w:noProof/>
              </w:rPr>
              <w:t>35,53</w:t>
            </w:r>
            <w:r w:rsidR="007F7511" w:rsidRPr="007F7511">
              <w:rPr>
                <w:noProof/>
              </w:rPr>
              <w:t>%</w:t>
            </w:r>
          </w:p>
        </w:tc>
      </w:tr>
      <w:tr w:rsidR="007F7511" w:rsidRPr="007F7511" w:rsidTr="00D33C02">
        <w:trPr>
          <w:trHeight w:val="227"/>
          <w:jc w:val="center"/>
        </w:trPr>
        <w:tc>
          <w:tcPr>
            <w:cnfStyle w:val="001000000000"/>
            <w:tcW w:w="426" w:type="dxa"/>
            <w:vAlign w:val="center"/>
          </w:tcPr>
          <w:p w:rsidR="007F7511" w:rsidRPr="00D33C02" w:rsidRDefault="007F7511" w:rsidP="00D33C02">
            <w:pPr>
              <w:jc w:val="both"/>
              <w:rPr>
                <w:noProof/>
              </w:rPr>
            </w:pPr>
            <w:r w:rsidRPr="00D33C02">
              <w:rPr>
                <w:noProof/>
              </w:rPr>
              <w:t>2</w:t>
            </w:r>
          </w:p>
        </w:tc>
        <w:tc>
          <w:tcPr>
            <w:cnfStyle w:val="000010000000"/>
            <w:tcW w:w="3827" w:type="dxa"/>
            <w:shd w:val="clear" w:color="auto" w:fill="auto"/>
            <w:vAlign w:val="center"/>
          </w:tcPr>
          <w:p w:rsidR="007F7511" w:rsidRPr="007F7511" w:rsidRDefault="007F7511" w:rsidP="00D33C02">
            <w:pPr>
              <w:jc w:val="center"/>
              <w:rPr>
                <w:noProof/>
              </w:rPr>
            </w:pPr>
            <w:r w:rsidRPr="007F7511">
              <w:rPr>
                <w:noProof/>
              </w:rPr>
              <w:t>Градска библиотека „Карло Бијелицки“</w:t>
            </w:r>
          </w:p>
        </w:tc>
        <w:tc>
          <w:tcPr>
            <w:tcW w:w="2551" w:type="dxa"/>
            <w:vAlign w:val="center"/>
          </w:tcPr>
          <w:p w:rsidR="007F7511" w:rsidRPr="007F7511" w:rsidRDefault="00CA6983" w:rsidP="00D33C02">
            <w:pPr>
              <w:jc w:val="center"/>
              <w:cnfStyle w:val="000000000000"/>
              <w:rPr>
                <w:noProof/>
              </w:rPr>
            </w:pPr>
            <w:r>
              <w:rPr>
                <w:noProof/>
              </w:rPr>
              <w:t>56.872.000</w:t>
            </w:r>
          </w:p>
        </w:tc>
        <w:tc>
          <w:tcPr>
            <w:cnfStyle w:val="000100000000"/>
            <w:tcW w:w="2694" w:type="dxa"/>
            <w:vAlign w:val="center"/>
          </w:tcPr>
          <w:p w:rsidR="007F7511" w:rsidRPr="007F7511" w:rsidRDefault="00CA6983" w:rsidP="00D33C02">
            <w:pPr>
              <w:jc w:val="center"/>
              <w:rPr>
                <w:noProof/>
              </w:rPr>
            </w:pPr>
            <w:r>
              <w:rPr>
                <w:noProof/>
              </w:rPr>
              <w:t>23,37</w:t>
            </w:r>
            <w:r w:rsidR="007F7511" w:rsidRPr="007F7511">
              <w:rPr>
                <w:noProof/>
              </w:rPr>
              <w:t>%</w:t>
            </w:r>
          </w:p>
        </w:tc>
      </w:tr>
      <w:tr w:rsidR="007F7511" w:rsidRPr="007F7511" w:rsidTr="00D33C02">
        <w:trPr>
          <w:cnfStyle w:val="000000100000"/>
          <w:trHeight w:val="227"/>
          <w:jc w:val="center"/>
        </w:trPr>
        <w:tc>
          <w:tcPr>
            <w:cnfStyle w:val="001000000000"/>
            <w:tcW w:w="426" w:type="dxa"/>
            <w:vAlign w:val="center"/>
          </w:tcPr>
          <w:p w:rsidR="007F7511" w:rsidRPr="00D33C02" w:rsidRDefault="007F7511" w:rsidP="00D33C02">
            <w:pPr>
              <w:jc w:val="both"/>
              <w:rPr>
                <w:noProof/>
              </w:rPr>
            </w:pPr>
            <w:r w:rsidRPr="00D33C02">
              <w:rPr>
                <w:noProof/>
              </w:rPr>
              <w:t>3</w:t>
            </w:r>
          </w:p>
        </w:tc>
        <w:tc>
          <w:tcPr>
            <w:cnfStyle w:val="000010000000"/>
            <w:tcW w:w="3827" w:type="dxa"/>
            <w:vAlign w:val="center"/>
          </w:tcPr>
          <w:p w:rsidR="007F7511" w:rsidRPr="007F7511" w:rsidRDefault="007F7511" w:rsidP="00D33C02">
            <w:pPr>
              <w:jc w:val="center"/>
              <w:rPr>
                <w:noProof/>
              </w:rPr>
            </w:pPr>
            <w:r>
              <w:rPr>
                <w:noProof/>
              </w:rPr>
              <w:t>Градски музеј Сомбор</w:t>
            </w:r>
          </w:p>
        </w:tc>
        <w:tc>
          <w:tcPr>
            <w:tcW w:w="2551" w:type="dxa"/>
            <w:vAlign w:val="center"/>
          </w:tcPr>
          <w:p w:rsidR="007F7511" w:rsidRPr="007F7511" w:rsidRDefault="00CA6983" w:rsidP="00D33C02">
            <w:pPr>
              <w:jc w:val="center"/>
              <w:cnfStyle w:val="000000100000"/>
              <w:rPr>
                <w:noProof/>
              </w:rPr>
            </w:pPr>
            <w:r>
              <w:rPr>
                <w:noProof/>
              </w:rPr>
              <w:t>26.930.</w:t>
            </w:r>
            <w:r w:rsidR="007F7511" w:rsidRPr="007F7511">
              <w:rPr>
                <w:noProof/>
              </w:rPr>
              <w:t>000</w:t>
            </w:r>
          </w:p>
        </w:tc>
        <w:tc>
          <w:tcPr>
            <w:cnfStyle w:val="000100000000"/>
            <w:tcW w:w="2694" w:type="dxa"/>
            <w:vAlign w:val="center"/>
          </w:tcPr>
          <w:p w:rsidR="007F7511" w:rsidRPr="007F7511" w:rsidRDefault="00CA6983" w:rsidP="00D33C02">
            <w:pPr>
              <w:jc w:val="center"/>
              <w:rPr>
                <w:noProof/>
              </w:rPr>
            </w:pPr>
            <w:r>
              <w:rPr>
                <w:noProof/>
              </w:rPr>
              <w:t>11,07</w:t>
            </w:r>
            <w:r w:rsidR="007F7511" w:rsidRPr="007F7511">
              <w:rPr>
                <w:noProof/>
              </w:rPr>
              <w:t>%</w:t>
            </w:r>
          </w:p>
        </w:tc>
      </w:tr>
      <w:tr w:rsidR="007F7511" w:rsidRPr="007F7511" w:rsidTr="00D33C02">
        <w:trPr>
          <w:trHeight w:val="227"/>
          <w:jc w:val="center"/>
        </w:trPr>
        <w:tc>
          <w:tcPr>
            <w:cnfStyle w:val="001000000000"/>
            <w:tcW w:w="426" w:type="dxa"/>
            <w:tcBorders>
              <w:bottom w:val="single" w:sz="4" w:space="0" w:color="9CC2E5" w:themeColor="accent1" w:themeTint="99"/>
            </w:tcBorders>
            <w:vAlign w:val="center"/>
          </w:tcPr>
          <w:p w:rsidR="007F7511" w:rsidRPr="00D33C02" w:rsidRDefault="007F7511" w:rsidP="00D33C02">
            <w:pPr>
              <w:jc w:val="both"/>
              <w:rPr>
                <w:noProof/>
              </w:rPr>
            </w:pPr>
            <w:r w:rsidRPr="00D33C02">
              <w:rPr>
                <w:noProof/>
              </w:rPr>
              <w:t>4</w:t>
            </w:r>
          </w:p>
        </w:tc>
        <w:tc>
          <w:tcPr>
            <w:cnfStyle w:val="000010000000"/>
            <w:tcW w:w="3827" w:type="dxa"/>
            <w:tcBorders>
              <w:bottom w:val="single" w:sz="4" w:space="0" w:color="9CC2E5" w:themeColor="accent1" w:themeTint="99"/>
            </w:tcBorders>
            <w:shd w:val="clear" w:color="auto" w:fill="auto"/>
            <w:vAlign w:val="center"/>
          </w:tcPr>
          <w:p w:rsidR="007F7511" w:rsidRPr="007F7511" w:rsidRDefault="007F7511" w:rsidP="00D33C02">
            <w:pPr>
              <w:jc w:val="center"/>
              <w:rPr>
                <w:noProof/>
              </w:rPr>
            </w:pPr>
            <w:r w:rsidRPr="007F7511">
              <w:rPr>
                <w:noProof/>
              </w:rPr>
              <w:t>Историјски архив Сомбор</w:t>
            </w:r>
          </w:p>
        </w:tc>
        <w:tc>
          <w:tcPr>
            <w:tcW w:w="2551" w:type="dxa"/>
            <w:tcBorders>
              <w:bottom w:val="single" w:sz="4" w:space="0" w:color="9CC2E5" w:themeColor="accent1" w:themeTint="99"/>
            </w:tcBorders>
            <w:vAlign w:val="center"/>
          </w:tcPr>
          <w:p w:rsidR="007F7511" w:rsidRPr="007F7511" w:rsidRDefault="00CA6983" w:rsidP="00D33C02">
            <w:pPr>
              <w:jc w:val="center"/>
              <w:cnfStyle w:val="000000000000"/>
              <w:rPr>
                <w:noProof/>
              </w:rPr>
            </w:pPr>
            <w:r>
              <w:rPr>
                <w:noProof/>
              </w:rPr>
              <w:t>16.547</w:t>
            </w:r>
            <w:r w:rsidR="007F7511" w:rsidRPr="007F7511">
              <w:rPr>
                <w:noProof/>
              </w:rPr>
              <w:t>.000</w:t>
            </w:r>
          </w:p>
        </w:tc>
        <w:tc>
          <w:tcPr>
            <w:cnfStyle w:val="000100000000"/>
            <w:tcW w:w="2694" w:type="dxa"/>
            <w:tcBorders>
              <w:bottom w:val="single" w:sz="4" w:space="0" w:color="9CC2E5" w:themeColor="accent1" w:themeTint="99"/>
            </w:tcBorders>
            <w:vAlign w:val="center"/>
          </w:tcPr>
          <w:p w:rsidR="007F7511" w:rsidRPr="007F7511" w:rsidRDefault="00CA6983" w:rsidP="00D33C02">
            <w:pPr>
              <w:jc w:val="center"/>
              <w:rPr>
                <w:noProof/>
              </w:rPr>
            </w:pPr>
            <w:r>
              <w:rPr>
                <w:noProof/>
              </w:rPr>
              <w:t>6,80</w:t>
            </w:r>
            <w:r w:rsidR="007F7511" w:rsidRPr="007F7511">
              <w:rPr>
                <w:noProof/>
              </w:rPr>
              <w:t>%</w:t>
            </w:r>
          </w:p>
        </w:tc>
      </w:tr>
      <w:tr w:rsidR="007F7511" w:rsidRPr="007F7511" w:rsidTr="00D33C02">
        <w:trPr>
          <w:cnfStyle w:val="000000100000"/>
          <w:trHeight w:val="227"/>
          <w:jc w:val="center"/>
        </w:trPr>
        <w:tc>
          <w:tcPr>
            <w:cnfStyle w:val="001000000000"/>
            <w:tcW w:w="426" w:type="dxa"/>
            <w:tcBorders>
              <w:bottom w:val="single" w:sz="4" w:space="0" w:color="9CC2E5" w:themeColor="accent1" w:themeTint="99"/>
            </w:tcBorders>
            <w:vAlign w:val="center"/>
          </w:tcPr>
          <w:p w:rsidR="007F7511" w:rsidRPr="00D33C02" w:rsidRDefault="007F7511" w:rsidP="00D33C02">
            <w:pPr>
              <w:jc w:val="both"/>
              <w:rPr>
                <w:noProof/>
              </w:rPr>
            </w:pPr>
            <w:r w:rsidRPr="00D33C02">
              <w:rPr>
                <w:noProof/>
              </w:rPr>
              <w:t>5</w:t>
            </w:r>
          </w:p>
        </w:tc>
        <w:tc>
          <w:tcPr>
            <w:cnfStyle w:val="000010000000"/>
            <w:tcW w:w="3827" w:type="dxa"/>
            <w:tcBorders>
              <w:bottom w:val="single" w:sz="4" w:space="0" w:color="9CC2E5" w:themeColor="accent1" w:themeTint="99"/>
            </w:tcBorders>
            <w:vAlign w:val="center"/>
          </w:tcPr>
          <w:p w:rsidR="007F7511" w:rsidRPr="007F7511" w:rsidRDefault="007F7511" w:rsidP="00D33C02">
            <w:pPr>
              <w:jc w:val="center"/>
              <w:rPr>
                <w:noProof/>
              </w:rPr>
            </w:pPr>
            <w:r w:rsidRPr="007F7511">
              <w:rPr>
                <w:noProof/>
              </w:rPr>
              <w:t>Галерија „Милан Коњовић“</w:t>
            </w:r>
          </w:p>
        </w:tc>
        <w:tc>
          <w:tcPr>
            <w:tcW w:w="2551" w:type="dxa"/>
            <w:tcBorders>
              <w:bottom w:val="single" w:sz="4" w:space="0" w:color="9CC2E5" w:themeColor="accent1" w:themeTint="99"/>
            </w:tcBorders>
            <w:vAlign w:val="center"/>
          </w:tcPr>
          <w:p w:rsidR="007F7511" w:rsidRPr="007F7511" w:rsidRDefault="00CA6983" w:rsidP="00D33C02">
            <w:pPr>
              <w:jc w:val="center"/>
              <w:cnfStyle w:val="000000100000"/>
              <w:rPr>
                <w:noProof/>
              </w:rPr>
            </w:pPr>
            <w:r>
              <w:rPr>
                <w:noProof/>
              </w:rPr>
              <w:t>10.702.</w:t>
            </w:r>
            <w:r w:rsidR="007F7511" w:rsidRPr="007F7511">
              <w:rPr>
                <w:noProof/>
              </w:rPr>
              <w:t>000</w:t>
            </w:r>
          </w:p>
        </w:tc>
        <w:tc>
          <w:tcPr>
            <w:cnfStyle w:val="000100000000"/>
            <w:tcW w:w="2694" w:type="dxa"/>
            <w:tcBorders>
              <w:bottom w:val="single" w:sz="4" w:space="0" w:color="9CC2E5" w:themeColor="accent1" w:themeTint="99"/>
            </w:tcBorders>
            <w:vAlign w:val="center"/>
          </w:tcPr>
          <w:p w:rsidR="007F7511" w:rsidRPr="007F7511" w:rsidRDefault="00CA6983" w:rsidP="00D33C02">
            <w:pPr>
              <w:jc w:val="center"/>
              <w:rPr>
                <w:noProof/>
              </w:rPr>
            </w:pPr>
            <w:r>
              <w:rPr>
                <w:noProof/>
              </w:rPr>
              <w:t>4,40</w:t>
            </w:r>
            <w:r w:rsidR="007F7511" w:rsidRPr="007F7511">
              <w:rPr>
                <w:noProof/>
              </w:rPr>
              <w:t>%</w:t>
            </w:r>
          </w:p>
        </w:tc>
      </w:tr>
      <w:tr w:rsidR="007F7511" w:rsidRPr="007F7511" w:rsidTr="00D33C02">
        <w:trPr>
          <w:cnfStyle w:val="010000000000"/>
          <w:trHeight w:val="227"/>
          <w:jc w:val="center"/>
        </w:trPr>
        <w:tc>
          <w:tcPr>
            <w:cnfStyle w:val="001000000000"/>
            <w:tcW w:w="426" w:type="dxa"/>
            <w:tcBorders>
              <w:top w:val="single" w:sz="4" w:space="0" w:color="9CC2E5" w:themeColor="accent1" w:themeTint="99"/>
            </w:tcBorders>
            <w:vAlign w:val="center"/>
          </w:tcPr>
          <w:p w:rsidR="007F7511" w:rsidRPr="00D33C02" w:rsidRDefault="007F7511" w:rsidP="00D33C02">
            <w:pPr>
              <w:jc w:val="both"/>
              <w:rPr>
                <w:noProof/>
              </w:rPr>
            </w:pPr>
            <w:r w:rsidRPr="00D33C02">
              <w:rPr>
                <w:noProof/>
              </w:rPr>
              <w:t>6</w:t>
            </w:r>
          </w:p>
        </w:tc>
        <w:tc>
          <w:tcPr>
            <w:cnfStyle w:val="000010000000"/>
            <w:tcW w:w="3827" w:type="dxa"/>
            <w:tcBorders>
              <w:top w:val="single" w:sz="4" w:space="0" w:color="9CC2E5" w:themeColor="accent1" w:themeTint="99"/>
            </w:tcBorders>
            <w:shd w:val="clear" w:color="auto" w:fill="auto"/>
            <w:vAlign w:val="center"/>
          </w:tcPr>
          <w:p w:rsidR="007F7511" w:rsidRPr="0099762F" w:rsidRDefault="007F7511" w:rsidP="00D33C02">
            <w:pPr>
              <w:jc w:val="center"/>
              <w:rPr>
                <w:b w:val="0"/>
                <w:noProof/>
              </w:rPr>
            </w:pPr>
            <w:r w:rsidRPr="0099762F">
              <w:rPr>
                <w:b w:val="0"/>
                <w:noProof/>
              </w:rPr>
              <w:t>Културни центар „Лаза Костић“</w:t>
            </w:r>
          </w:p>
        </w:tc>
        <w:tc>
          <w:tcPr>
            <w:tcW w:w="2551" w:type="dxa"/>
            <w:tcBorders>
              <w:top w:val="single" w:sz="4" w:space="0" w:color="9CC2E5" w:themeColor="accent1" w:themeTint="99"/>
            </w:tcBorders>
            <w:vAlign w:val="center"/>
          </w:tcPr>
          <w:p w:rsidR="007F7511" w:rsidRPr="0099762F" w:rsidRDefault="00CA6983" w:rsidP="00D33C02">
            <w:pPr>
              <w:jc w:val="center"/>
              <w:cnfStyle w:val="010000000000"/>
              <w:rPr>
                <w:b w:val="0"/>
                <w:noProof/>
              </w:rPr>
            </w:pPr>
            <w:r w:rsidRPr="0099762F">
              <w:rPr>
                <w:b w:val="0"/>
                <w:noProof/>
              </w:rPr>
              <w:t>36.790.000</w:t>
            </w:r>
          </w:p>
        </w:tc>
        <w:tc>
          <w:tcPr>
            <w:cnfStyle w:val="000100000000"/>
            <w:tcW w:w="2694" w:type="dxa"/>
            <w:tcBorders>
              <w:top w:val="single" w:sz="4" w:space="0" w:color="9CC2E5" w:themeColor="accent1" w:themeTint="99"/>
            </w:tcBorders>
            <w:vAlign w:val="center"/>
          </w:tcPr>
          <w:p w:rsidR="007F7511" w:rsidRPr="007F7511" w:rsidRDefault="00CA6983" w:rsidP="00D33C02">
            <w:pPr>
              <w:jc w:val="center"/>
              <w:rPr>
                <w:noProof/>
              </w:rPr>
            </w:pPr>
            <w:r>
              <w:rPr>
                <w:noProof/>
              </w:rPr>
              <w:t>15,12</w:t>
            </w:r>
            <w:r w:rsidR="007F7511" w:rsidRPr="007F7511">
              <w:rPr>
                <w:noProof/>
              </w:rPr>
              <w:t>%</w:t>
            </w:r>
          </w:p>
        </w:tc>
      </w:tr>
    </w:tbl>
    <w:p w:rsidR="00D33C02" w:rsidRDefault="00D33C02" w:rsidP="00D33C02">
      <w:pPr>
        <w:spacing w:after="0" w:line="276" w:lineRule="auto"/>
        <w:jc w:val="both"/>
        <w:rPr>
          <w:rFonts w:ascii="Times New Roman" w:hAnsi="Times New Roman" w:cs="Times New Roman"/>
          <w:noProof/>
          <w:sz w:val="24"/>
          <w:szCs w:val="24"/>
          <w:lang w:val="sr-Cyrl-CS"/>
        </w:rPr>
      </w:pPr>
    </w:p>
    <w:p w:rsidR="00A33C9B" w:rsidRDefault="00D33C02" w:rsidP="00D33C02">
      <w:pPr>
        <w:spacing w:line="276" w:lineRule="auto"/>
        <w:ind w:firstLine="720"/>
        <w:jc w:val="both"/>
        <w:rPr>
          <w:rFonts w:ascii="Times New Roman" w:hAnsi="Times New Roman" w:cs="Times New Roman"/>
          <w:noProof/>
          <w:sz w:val="24"/>
          <w:szCs w:val="24"/>
          <w:lang w:val="sr-Cyrl-CS"/>
        </w:rPr>
      </w:pPr>
      <w:r>
        <w:rPr>
          <w:rFonts w:ascii="Times New Roman" w:hAnsi="Times New Roman" w:cs="Times New Roman"/>
          <w:noProof/>
          <w:sz w:val="24"/>
          <w:szCs w:val="24"/>
          <w:lang w:val="sr-Cyrl-CS"/>
        </w:rPr>
        <w:t>Установе културе највећи део буџета издвајају за плате и доприносе запослених, изузев Културног центра „Лаза Костић“ који 73,6% свог буџета издваја за ре</w:t>
      </w:r>
      <w:r w:rsidR="00296F54">
        <w:rPr>
          <w:rFonts w:ascii="Times New Roman" w:hAnsi="Times New Roman" w:cs="Times New Roman"/>
          <w:noProof/>
          <w:sz w:val="24"/>
          <w:szCs w:val="24"/>
          <w:lang w:val="sr-Cyrl-CS"/>
        </w:rPr>
        <w:t>ализацију пројеката и  програма.</w:t>
      </w:r>
    </w:p>
    <w:p w:rsidR="00D33C02" w:rsidRPr="00CD52A3" w:rsidRDefault="00D33C02" w:rsidP="00D33C02">
      <w:pPr>
        <w:spacing w:after="0" w:line="240" w:lineRule="auto"/>
        <w:jc w:val="both"/>
        <w:rPr>
          <w:rFonts w:ascii="Times New Roman" w:hAnsi="Times New Roman" w:cs="Times New Roman"/>
          <w:b/>
          <w:noProof/>
          <w:sz w:val="24"/>
          <w:szCs w:val="24"/>
          <w:lang w:val="sr-Cyrl-CS"/>
        </w:rPr>
      </w:pPr>
      <w:r>
        <w:rPr>
          <w:rFonts w:ascii="Times New Roman" w:hAnsi="Times New Roman" w:cs="Times New Roman"/>
          <w:b/>
          <w:noProof/>
          <w:sz w:val="24"/>
          <w:szCs w:val="24"/>
          <w:lang w:val="sr-Cyrl-CS"/>
        </w:rPr>
        <w:t>Табела 3</w:t>
      </w:r>
      <w:r w:rsidRPr="00CD52A3">
        <w:rPr>
          <w:rFonts w:ascii="Times New Roman" w:hAnsi="Times New Roman" w:cs="Times New Roman"/>
          <w:b/>
          <w:noProof/>
          <w:sz w:val="24"/>
          <w:szCs w:val="24"/>
          <w:lang w:val="sr-Cyrl-CS"/>
        </w:rPr>
        <w:t>: Структура буџета градских установа културе у Сомбору према врсти трошкова (у % у односу на укупан буџет установе)</w:t>
      </w:r>
      <w:r>
        <w:rPr>
          <w:rFonts w:ascii="Times New Roman" w:hAnsi="Times New Roman" w:cs="Times New Roman"/>
          <w:b/>
          <w:noProof/>
          <w:sz w:val="24"/>
          <w:szCs w:val="24"/>
          <w:lang w:val="sr-Cyrl-CS"/>
        </w:rPr>
        <w:t>, 2019. година</w:t>
      </w:r>
    </w:p>
    <w:tbl>
      <w:tblPr>
        <w:tblStyle w:val="GridTable4-Accent11"/>
        <w:tblW w:w="0" w:type="auto"/>
        <w:tblLook w:val="04A0"/>
      </w:tblPr>
      <w:tblGrid>
        <w:gridCol w:w="3539"/>
        <w:gridCol w:w="1843"/>
        <w:gridCol w:w="1984"/>
        <w:gridCol w:w="1959"/>
      </w:tblGrid>
      <w:tr w:rsidR="00D33C02" w:rsidRPr="00C142DF" w:rsidTr="00D33C02">
        <w:trPr>
          <w:cnfStyle w:val="100000000000"/>
          <w:trHeight w:val="126"/>
        </w:trPr>
        <w:tc>
          <w:tcPr>
            <w:cnfStyle w:val="001000000000"/>
            <w:tcW w:w="3539" w:type="dxa"/>
            <w:vMerge w:val="restart"/>
            <w:vAlign w:val="center"/>
          </w:tcPr>
          <w:p w:rsidR="00D33C02" w:rsidRPr="00C142DF" w:rsidRDefault="00D33C02" w:rsidP="00D33C02">
            <w:pPr>
              <w:jc w:val="center"/>
              <w:rPr>
                <w:b w:val="0"/>
                <w:sz w:val="18"/>
                <w:szCs w:val="18"/>
                <w:highlight w:val="yellow"/>
              </w:rPr>
            </w:pPr>
            <w:r w:rsidRPr="00C142DF">
              <w:rPr>
                <w:b w:val="0"/>
                <w:sz w:val="18"/>
                <w:szCs w:val="18"/>
              </w:rPr>
              <w:t>Назив установе</w:t>
            </w:r>
          </w:p>
        </w:tc>
        <w:tc>
          <w:tcPr>
            <w:tcW w:w="5786" w:type="dxa"/>
            <w:gridSpan w:val="3"/>
            <w:vAlign w:val="center"/>
          </w:tcPr>
          <w:p w:rsidR="00D33C02" w:rsidRPr="00C142DF" w:rsidRDefault="00D33C02" w:rsidP="00D33C02">
            <w:pPr>
              <w:jc w:val="center"/>
              <w:cnfStyle w:val="100000000000"/>
              <w:rPr>
                <w:b w:val="0"/>
                <w:sz w:val="18"/>
                <w:szCs w:val="18"/>
              </w:rPr>
            </w:pPr>
            <w:r w:rsidRPr="00C142DF">
              <w:rPr>
                <w:b w:val="0"/>
                <w:sz w:val="18"/>
                <w:szCs w:val="18"/>
              </w:rPr>
              <w:t>Врста трошкова</w:t>
            </w:r>
          </w:p>
        </w:tc>
      </w:tr>
      <w:tr w:rsidR="00D33C02" w:rsidRPr="00C142DF" w:rsidTr="00D33C02">
        <w:trPr>
          <w:cnfStyle w:val="000000100000"/>
          <w:trHeight w:val="283"/>
        </w:trPr>
        <w:tc>
          <w:tcPr>
            <w:cnfStyle w:val="001000000000"/>
            <w:tcW w:w="3539" w:type="dxa"/>
            <w:vMerge/>
            <w:vAlign w:val="center"/>
          </w:tcPr>
          <w:p w:rsidR="00D33C02" w:rsidRPr="00C142DF" w:rsidRDefault="00D33C02" w:rsidP="00D33C02">
            <w:pPr>
              <w:jc w:val="center"/>
              <w:rPr>
                <w:sz w:val="18"/>
                <w:szCs w:val="18"/>
                <w:highlight w:val="yellow"/>
              </w:rPr>
            </w:pPr>
          </w:p>
        </w:tc>
        <w:tc>
          <w:tcPr>
            <w:tcW w:w="1843" w:type="dxa"/>
            <w:vAlign w:val="center"/>
          </w:tcPr>
          <w:p w:rsidR="00D33C02" w:rsidRPr="00C142DF" w:rsidRDefault="00D33C02" w:rsidP="00D33C02">
            <w:pPr>
              <w:jc w:val="center"/>
              <w:cnfStyle w:val="000000100000"/>
              <w:rPr>
                <w:sz w:val="18"/>
                <w:szCs w:val="18"/>
                <w:highlight w:val="yellow"/>
              </w:rPr>
            </w:pPr>
            <w:r w:rsidRPr="00C142DF">
              <w:rPr>
                <w:b/>
                <w:sz w:val="18"/>
                <w:szCs w:val="18"/>
              </w:rPr>
              <w:t>Плате и доприноси</w:t>
            </w:r>
          </w:p>
        </w:tc>
        <w:tc>
          <w:tcPr>
            <w:tcW w:w="1984" w:type="dxa"/>
            <w:vAlign w:val="center"/>
          </w:tcPr>
          <w:p w:rsidR="00D33C02" w:rsidRPr="00C142DF" w:rsidRDefault="00D33C02" w:rsidP="00D33C02">
            <w:pPr>
              <w:jc w:val="center"/>
              <w:cnfStyle w:val="000000100000"/>
              <w:rPr>
                <w:sz w:val="18"/>
                <w:szCs w:val="18"/>
                <w:highlight w:val="yellow"/>
              </w:rPr>
            </w:pPr>
            <w:r w:rsidRPr="00C142DF">
              <w:rPr>
                <w:b/>
                <w:sz w:val="18"/>
                <w:szCs w:val="18"/>
              </w:rPr>
              <w:t>Материјални трошкови</w:t>
            </w:r>
          </w:p>
        </w:tc>
        <w:tc>
          <w:tcPr>
            <w:tcW w:w="1959" w:type="dxa"/>
            <w:vAlign w:val="center"/>
          </w:tcPr>
          <w:p w:rsidR="00D33C02" w:rsidRPr="00C142DF" w:rsidRDefault="00D33C02" w:rsidP="00D33C02">
            <w:pPr>
              <w:jc w:val="center"/>
              <w:cnfStyle w:val="000000100000"/>
              <w:rPr>
                <w:sz w:val="18"/>
                <w:szCs w:val="18"/>
                <w:highlight w:val="yellow"/>
              </w:rPr>
            </w:pPr>
            <w:r w:rsidRPr="00C142DF">
              <w:rPr>
                <w:b/>
                <w:sz w:val="18"/>
                <w:szCs w:val="18"/>
              </w:rPr>
              <w:t>Програми и пројекти</w:t>
            </w:r>
          </w:p>
        </w:tc>
      </w:tr>
      <w:tr w:rsidR="00D33C02" w:rsidRPr="00C142DF" w:rsidTr="00D33C02">
        <w:trPr>
          <w:trHeight w:val="227"/>
        </w:trPr>
        <w:tc>
          <w:tcPr>
            <w:cnfStyle w:val="001000000000"/>
            <w:tcW w:w="3539" w:type="dxa"/>
          </w:tcPr>
          <w:p w:rsidR="00D33C02" w:rsidRPr="00C142DF" w:rsidRDefault="00D33C02" w:rsidP="00D33C02">
            <w:pPr>
              <w:jc w:val="center"/>
              <w:rPr>
                <w:sz w:val="18"/>
                <w:szCs w:val="18"/>
                <w:highlight w:val="yellow"/>
              </w:rPr>
            </w:pPr>
            <w:r w:rsidRPr="00C142DF">
              <w:rPr>
                <w:sz w:val="18"/>
                <w:szCs w:val="18"/>
              </w:rPr>
              <w:t>Градска библиотека „Карло Бијелицки“</w:t>
            </w:r>
          </w:p>
        </w:tc>
        <w:tc>
          <w:tcPr>
            <w:tcW w:w="1843" w:type="dxa"/>
          </w:tcPr>
          <w:p w:rsidR="00D33C02" w:rsidRPr="00B6030D" w:rsidRDefault="00D33C02" w:rsidP="00D33C02">
            <w:pPr>
              <w:spacing w:line="276" w:lineRule="auto"/>
              <w:jc w:val="center"/>
              <w:cnfStyle w:val="000000000000"/>
              <w:rPr>
                <w:sz w:val="18"/>
                <w:szCs w:val="18"/>
              </w:rPr>
            </w:pPr>
            <w:r>
              <w:rPr>
                <w:sz w:val="18"/>
                <w:szCs w:val="18"/>
              </w:rPr>
              <w:t>57,8</w:t>
            </w:r>
            <w:r w:rsidRPr="00B6030D">
              <w:rPr>
                <w:sz w:val="18"/>
                <w:szCs w:val="18"/>
              </w:rPr>
              <w:t>%</w:t>
            </w:r>
          </w:p>
        </w:tc>
        <w:tc>
          <w:tcPr>
            <w:tcW w:w="1984" w:type="dxa"/>
          </w:tcPr>
          <w:p w:rsidR="00D33C02" w:rsidRPr="00B6030D" w:rsidRDefault="00D33C02" w:rsidP="00D33C02">
            <w:pPr>
              <w:spacing w:line="276" w:lineRule="auto"/>
              <w:jc w:val="center"/>
              <w:cnfStyle w:val="000000000000"/>
              <w:rPr>
                <w:sz w:val="18"/>
                <w:szCs w:val="18"/>
              </w:rPr>
            </w:pPr>
            <w:r w:rsidRPr="00B6030D">
              <w:rPr>
                <w:sz w:val="18"/>
                <w:szCs w:val="18"/>
              </w:rPr>
              <w:t>3</w:t>
            </w:r>
            <w:r>
              <w:rPr>
                <w:sz w:val="18"/>
                <w:szCs w:val="18"/>
              </w:rPr>
              <w:t>7,1</w:t>
            </w:r>
            <w:r w:rsidRPr="00B6030D">
              <w:rPr>
                <w:sz w:val="18"/>
                <w:szCs w:val="18"/>
              </w:rPr>
              <w:t>%</w:t>
            </w:r>
          </w:p>
        </w:tc>
        <w:tc>
          <w:tcPr>
            <w:tcW w:w="1959" w:type="dxa"/>
          </w:tcPr>
          <w:p w:rsidR="00D33C02" w:rsidRPr="00B6030D" w:rsidRDefault="00D33C02" w:rsidP="00D33C02">
            <w:pPr>
              <w:spacing w:line="276" w:lineRule="auto"/>
              <w:jc w:val="center"/>
              <w:cnfStyle w:val="000000000000"/>
              <w:rPr>
                <w:sz w:val="18"/>
                <w:szCs w:val="18"/>
              </w:rPr>
            </w:pPr>
            <w:r>
              <w:rPr>
                <w:sz w:val="18"/>
                <w:szCs w:val="18"/>
              </w:rPr>
              <w:t>5,1</w:t>
            </w:r>
            <w:r w:rsidRPr="00B6030D">
              <w:rPr>
                <w:sz w:val="18"/>
                <w:szCs w:val="18"/>
              </w:rPr>
              <w:t>%</w:t>
            </w:r>
          </w:p>
        </w:tc>
      </w:tr>
      <w:tr w:rsidR="00D33C02" w:rsidRPr="00C142DF" w:rsidTr="00D33C02">
        <w:trPr>
          <w:cnfStyle w:val="000000100000"/>
          <w:trHeight w:val="227"/>
        </w:trPr>
        <w:tc>
          <w:tcPr>
            <w:cnfStyle w:val="001000000000"/>
            <w:tcW w:w="3539" w:type="dxa"/>
          </w:tcPr>
          <w:p w:rsidR="00D33C02" w:rsidRPr="00C142DF" w:rsidRDefault="00D33C02" w:rsidP="00D33C02">
            <w:pPr>
              <w:jc w:val="center"/>
              <w:rPr>
                <w:sz w:val="18"/>
                <w:szCs w:val="18"/>
                <w:highlight w:val="yellow"/>
              </w:rPr>
            </w:pPr>
            <w:r w:rsidRPr="00C142DF">
              <w:rPr>
                <w:sz w:val="18"/>
                <w:szCs w:val="18"/>
              </w:rPr>
              <w:t>Градски музеј Сомбор</w:t>
            </w:r>
          </w:p>
        </w:tc>
        <w:tc>
          <w:tcPr>
            <w:tcW w:w="1843" w:type="dxa"/>
          </w:tcPr>
          <w:p w:rsidR="00D33C02" w:rsidRPr="00B6030D" w:rsidRDefault="00D33C02" w:rsidP="00D33C02">
            <w:pPr>
              <w:spacing w:line="276" w:lineRule="auto"/>
              <w:jc w:val="center"/>
              <w:cnfStyle w:val="000000100000"/>
              <w:rPr>
                <w:sz w:val="18"/>
                <w:szCs w:val="18"/>
              </w:rPr>
            </w:pPr>
            <w:r>
              <w:rPr>
                <w:sz w:val="18"/>
                <w:szCs w:val="18"/>
              </w:rPr>
              <w:t>56,2</w:t>
            </w:r>
            <w:r w:rsidRPr="00B6030D">
              <w:rPr>
                <w:sz w:val="18"/>
                <w:szCs w:val="18"/>
              </w:rPr>
              <w:t>%</w:t>
            </w:r>
          </w:p>
        </w:tc>
        <w:tc>
          <w:tcPr>
            <w:tcW w:w="1984" w:type="dxa"/>
          </w:tcPr>
          <w:p w:rsidR="00D33C02" w:rsidRPr="00B6030D" w:rsidRDefault="00D33C02" w:rsidP="00D33C02">
            <w:pPr>
              <w:spacing w:line="276" w:lineRule="auto"/>
              <w:jc w:val="center"/>
              <w:cnfStyle w:val="000000100000"/>
              <w:rPr>
                <w:sz w:val="18"/>
                <w:szCs w:val="18"/>
              </w:rPr>
            </w:pPr>
            <w:r>
              <w:rPr>
                <w:sz w:val="18"/>
                <w:szCs w:val="18"/>
              </w:rPr>
              <w:t>19,9</w:t>
            </w:r>
            <w:r w:rsidRPr="00B6030D">
              <w:rPr>
                <w:sz w:val="18"/>
                <w:szCs w:val="18"/>
              </w:rPr>
              <w:t>%</w:t>
            </w:r>
          </w:p>
        </w:tc>
        <w:tc>
          <w:tcPr>
            <w:tcW w:w="1959" w:type="dxa"/>
          </w:tcPr>
          <w:p w:rsidR="00D33C02" w:rsidRPr="00B6030D" w:rsidRDefault="00D33C02" w:rsidP="00D33C02">
            <w:pPr>
              <w:spacing w:line="276" w:lineRule="auto"/>
              <w:jc w:val="center"/>
              <w:cnfStyle w:val="000000100000"/>
              <w:rPr>
                <w:sz w:val="18"/>
                <w:szCs w:val="18"/>
              </w:rPr>
            </w:pPr>
            <w:r>
              <w:rPr>
                <w:sz w:val="18"/>
                <w:szCs w:val="18"/>
              </w:rPr>
              <w:t>23,9</w:t>
            </w:r>
            <w:r w:rsidRPr="00B6030D">
              <w:rPr>
                <w:sz w:val="18"/>
                <w:szCs w:val="18"/>
              </w:rPr>
              <w:t>%</w:t>
            </w:r>
          </w:p>
        </w:tc>
      </w:tr>
      <w:tr w:rsidR="00D33C02" w:rsidRPr="00C142DF" w:rsidTr="00D33C02">
        <w:trPr>
          <w:trHeight w:val="227"/>
        </w:trPr>
        <w:tc>
          <w:tcPr>
            <w:cnfStyle w:val="001000000000"/>
            <w:tcW w:w="3539" w:type="dxa"/>
          </w:tcPr>
          <w:p w:rsidR="00D33C02" w:rsidRPr="00C142DF" w:rsidRDefault="00D33C02" w:rsidP="00D33C02">
            <w:pPr>
              <w:jc w:val="center"/>
              <w:rPr>
                <w:sz w:val="18"/>
                <w:szCs w:val="18"/>
                <w:highlight w:val="yellow"/>
              </w:rPr>
            </w:pPr>
            <w:r w:rsidRPr="00C142DF">
              <w:rPr>
                <w:sz w:val="18"/>
                <w:szCs w:val="18"/>
              </w:rPr>
              <w:t>Историјски архив Сомбор</w:t>
            </w:r>
          </w:p>
        </w:tc>
        <w:tc>
          <w:tcPr>
            <w:tcW w:w="1843" w:type="dxa"/>
          </w:tcPr>
          <w:p w:rsidR="00D33C02" w:rsidRPr="00B6030D" w:rsidRDefault="00D33C02" w:rsidP="00D33C02">
            <w:pPr>
              <w:spacing w:line="276" w:lineRule="auto"/>
              <w:jc w:val="center"/>
              <w:cnfStyle w:val="000000000000"/>
              <w:rPr>
                <w:sz w:val="18"/>
                <w:szCs w:val="18"/>
              </w:rPr>
            </w:pPr>
            <w:r>
              <w:rPr>
                <w:sz w:val="18"/>
                <w:szCs w:val="18"/>
              </w:rPr>
              <w:t>73,4</w:t>
            </w:r>
            <w:r w:rsidRPr="00B6030D">
              <w:rPr>
                <w:sz w:val="18"/>
                <w:szCs w:val="18"/>
              </w:rPr>
              <w:t>%</w:t>
            </w:r>
          </w:p>
        </w:tc>
        <w:tc>
          <w:tcPr>
            <w:tcW w:w="1984" w:type="dxa"/>
          </w:tcPr>
          <w:p w:rsidR="00D33C02" w:rsidRPr="00B6030D" w:rsidRDefault="00D33C02" w:rsidP="00D33C02">
            <w:pPr>
              <w:spacing w:line="276" w:lineRule="auto"/>
              <w:jc w:val="center"/>
              <w:cnfStyle w:val="000000000000"/>
              <w:rPr>
                <w:sz w:val="18"/>
                <w:szCs w:val="18"/>
              </w:rPr>
            </w:pPr>
            <w:r>
              <w:rPr>
                <w:sz w:val="18"/>
                <w:szCs w:val="18"/>
              </w:rPr>
              <w:t>20,3</w:t>
            </w:r>
            <w:r w:rsidRPr="00B6030D">
              <w:rPr>
                <w:sz w:val="18"/>
                <w:szCs w:val="18"/>
              </w:rPr>
              <w:t>%</w:t>
            </w:r>
          </w:p>
        </w:tc>
        <w:tc>
          <w:tcPr>
            <w:tcW w:w="1959" w:type="dxa"/>
          </w:tcPr>
          <w:p w:rsidR="00D33C02" w:rsidRPr="00B6030D" w:rsidRDefault="00D33C02" w:rsidP="00D33C02">
            <w:pPr>
              <w:spacing w:line="276" w:lineRule="auto"/>
              <w:jc w:val="center"/>
              <w:cnfStyle w:val="000000000000"/>
              <w:rPr>
                <w:sz w:val="18"/>
                <w:szCs w:val="18"/>
              </w:rPr>
            </w:pPr>
            <w:r>
              <w:rPr>
                <w:sz w:val="18"/>
                <w:szCs w:val="18"/>
              </w:rPr>
              <w:t>6,3%</w:t>
            </w:r>
          </w:p>
        </w:tc>
      </w:tr>
      <w:tr w:rsidR="00D33C02" w:rsidRPr="00C142DF" w:rsidTr="00D33C02">
        <w:trPr>
          <w:cnfStyle w:val="000000100000"/>
          <w:trHeight w:val="227"/>
        </w:trPr>
        <w:tc>
          <w:tcPr>
            <w:cnfStyle w:val="001000000000"/>
            <w:tcW w:w="3539" w:type="dxa"/>
          </w:tcPr>
          <w:p w:rsidR="00D33C02" w:rsidRPr="00C142DF" w:rsidRDefault="00D33C02" w:rsidP="00D33C02">
            <w:pPr>
              <w:jc w:val="center"/>
              <w:rPr>
                <w:sz w:val="18"/>
                <w:szCs w:val="18"/>
                <w:highlight w:val="yellow"/>
              </w:rPr>
            </w:pPr>
            <w:r w:rsidRPr="00C142DF">
              <w:rPr>
                <w:sz w:val="18"/>
                <w:szCs w:val="18"/>
              </w:rPr>
              <w:t>Галерија „Милан Коњовић“</w:t>
            </w:r>
          </w:p>
        </w:tc>
        <w:tc>
          <w:tcPr>
            <w:tcW w:w="1843" w:type="dxa"/>
          </w:tcPr>
          <w:p w:rsidR="00D33C02" w:rsidRPr="00C142DF" w:rsidRDefault="00D33C02" w:rsidP="00D33C02">
            <w:pPr>
              <w:spacing w:line="276" w:lineRule="auto"/>
              <w:jc w:val="center"/>
              <w:cnfStyle w:val="000000100000"/>
              <w:rPr>
                <w:sz w:val="18"/>
                <w:szCs w:val="18"/>
              </w:rPr>
            </w:pPr>
            <w:r>
              <w:rPr>
                <w:sz w:val="18"/>
                <w:szCs w:val="18"/>
              </w:rPr>
              <w:t>53,7%</w:t>
            </w:r>
          </w:p>
        </w:tc>
        <w:tc>
          <w:tcPr>
            <w:tcW w:w="1984" w:type="dxa"/>
          </w:tcPr>
          <w:p w:rsidR="00D33C02" w:rsidRPr="00C142DF" w:rsidRDefault="00D33C02" w:rsidP="00D33C02">
            <w:pPr>
              <w:spacing w:line="276" w:lineRule="auto"/>
              <w:jc w:val="center"/>
              <w:cnfStyle w:val="000000100000"/>
              <w:rPr>
                <w:sz w:val="18"/>
                <w:szCs w:val="18"/>
              </w:rPr>
            </w:pPr>
            <w:r>
              <w:rPr>
                <w:sz w:val="18"/>
                <w:szCs w:val="18"/>
              </w:rPr>
              <w:t>29,4%</w:t>
            </w:r>
          </w:p>
        </w:tc>
        <w:tc>
          <w:tcPr>
            <w:tcW w:w="1959" w:type="dxa"/>
          </w:tcPr>
          <w:p w:rsidR="00D33C02" w:rsidRPr="00C142DF" w:rsidRDefault="00D33C02" w:rsidP="00D33C02">
            <w:pPr>
              <w:spacing w:line="276" w:lineRule="auto"/>
              <w:jc w:val="center"/>
              <w:cnfStyle w:val="000000100000"/>
              <w:rPr>
                <w:sz w:val="18"/>
                <w:szCs w:val="18"/>
              </w:rPr>
            </w:pPr>
            <w:r>
              <w:rPr>
                <w:sz w:val="18"/>
                <w:szCs w:val="18"/>
              </w:rPr>
              <w:t>16,9%</w:t>
            </w:r>
          </w:p>
        </w:tc>
      </w:tr>
      <w:tr w:rsidR="00D33C02" w:rsidRPr="00C142DF" w:rsidTr="00D33C02">
        <w:trPr>
          <w:trHeight w:val="227"/>
        </w:trPr>
        <w:tc>
          <w:tcPr>
            <w:cnfStyle w:val="001000000000"/>
            <w:tcW w:w="3539" w:type="dxa"/>
          </w:tcPr>
          <w:p w:rsidR="00D33C02" w:rsidRPr="00C142DF" w:rsidRDefault="00D33C02" w:rsidP="00D33C02">
            <w:pPr>
              <w:jc w:val="center"/>
              <w:rPr>
                <w:sz w:val="18"/>
                <w:szCs w:val="18"/>
                <w:highlight w:val="yellow"/>
              </w:rPr>
            </w:pPr>
            <w:r w:rsidRPr="00C142DF">
              <w:rPr>
                <w:sz w:val="18"/>
                <w:szCs w:val="18"/>
              </w:rPr>
              <w:lastRenderedPageBreak/>
              <w:t>Културни центар „Лаза Костић“</w:t>
            </w:r>
          </w:p>
        </w:tc>
        <w:tc>
          <w:tcPr>
            <w:tcW w:w="1843" w:type="dxa"/>
          </w:tcPr>
          <w:p w:rsidR="00D33C02" w:rsidRPr="00C142DF" w:rsidRDefault="00D33C02" w:rsidP="00D33C02">
            <w:pPr>
              <w:spacing w:line="276" w:lineRule="auto"/>
              <w:jc w:val="center"/>
              <w:cnfStyle w:val="000000000000"/>
              <w:rPr>
                <w:sz w:val="18"/>
                <w:szCs w:val="18"/>
              </w:rPr>
            </w:pPr>
            <w:r>
              <w:rPr>
                <w:sz w:val="18"/>
                <w:szCs w:val="18"/>
              </w:rPr>
              <w:t>16,6%</w:t>
            </w:r>
          </w:p>
        </w:tc>
        <w:tc>
          <w:tcPr>
            <w:tcW w:w="1984" w:type="dxa"/>
          </w:tcPr>
          <w:p w:rsidR="00D33C02" w:rsidRPr="00C142DF" w:rsidRDefault="00D33C02" w:rsidP="00D33C02">
            <w:pPr>
              <w:spacing w:line="276" w:lineRule="auto"/>
              <w:jc w:val="center"/>
              <w:cnfStyle w:val="000000000000"/>
              <w:rPr>
                <w:sz w:val="18"/>
                <w:szCs w:val="18"/>
              </w:rPr>
            </w:pPr>
            <w:r w:rsidRPr="00C142DF">
              <w:rPr>
                <w:sz w:val="18"/>
                <w:szCs w:val="18"/>
              </w:rPr>
              <w:t>9,8</w:t>
            </w:r>
            <w:r>
              <w:rPr>
                <w:sz w:val="18"/>
                <w:szCs w:val="18"/>
              </w:rPr>
              <w:t>%</w:t>
            </w:r>
          </w:p>
        </w:tc>
        <w:tc>
          <w:tcPr>
            <w:tcW w:w="1959" w:type="dxa"/>
          </w:tcPr>
          <w:p w:rsidR="00D33C02" w:rsidRPr="00C142DF" w:rsidRDefault="00D33C02" w:rsidP="00D33C02">
            <w:pPr>
              <w:spacing w:line="276" w:lineRule="auto"/>
              <w:jc w:val="center"/>
              <w:cnfStyle w:val="000000000000"/>
              <w:rPr>
                <w:sz w:val="18"/>
                <w:szCs w:val="18"/>
              </w:rPr>
            </w:pPr>
            <w:r>
              <w:rPr>
                <w:sz w:val="18"/>
                <w:szCs w:val="18"/>
              </w:rPr>
              <w:t>73,6%</w:t>
            </w:r>
          </w:p>
        </w:tc>
      </w:tr>
      <w:tr w:rsidR="00D33C02" w:rsidRPr="00C142DF" w:rsidTr="00D33C02">
        <w:trPr>
          <w:cnfStyle w:val="000000100000"/>
          <w:trHeight w:val="227"/>
        </w:trPr>
        <w:tc>
          <w:tcPr>
            <w:cnfStyle w:val="001000000000"/>
            <w:tcW w:w="3539" w:type="dxa"/>
          </w:tcPr>
          <w:p w:rsidR="00D33C02" w:rsidRPr="00C142DF" w:rsidRDefault="00D33C02" w:rsidP="00D33C02">
            <w:pPr>
              <w:jc w:val="center"/>
              <w:rPr>
                <w:sz w:val="18"/>
                <w:szCs w:val="18"/>
                <w:highlight w:val="yellow"/>
              </w:rPr>
            </w:pPr>
            <w:r>
              <w:rPr>
                <w:sz w:val="18"/>
                <w:szCs w:val="18"/>
              </w:rPr>
              <w:t>Народно позориште Сомбор</w:t>
            </w:r>
          </w:p>
        </w:tc>
        <w:tc>
          <w:tcPr>
            <w:tcW w:w="1843" w:type="dxa"/>
          </w:tcPr>
          <w:p w:rsidR="00D33C02" w:rsidRPr="00C142DF" w:rsidRDefault="00D33C02" w:rsidP="00D33C02">
            <w:pPr>
              <w:spacing w:line="276" w:lineRule="auto"/>
              <w:jc w:val="center"/>
              <w:cnfStyle w:val="000000100000"/>
              <w:rPr>
                <w:sz w:val="18"/>
                <w:szCs w:val="18"/>
              </w:rPr>
            </w:pPr>
            <w:r>
              <w:rPr>
                <w:sz w:val="18"/>
                <w:szCs w:val="18"/>
              </w:rPr>
              <w:t>60%</w:t>
            </w:r>
          </w:p>
        </w:tc>
        <w:tc>
          <w:tcPr>
            <w:tcW w:w="1984" w:type="dxa"/>
          </w:tcPr>
          <w:p w:rsidR="00D33C02" w:rsidRPr="00C142DF" w:rsidRDefault="00D33C02" w:rsidP="00D33C02">
            <w:pPr>
              <w:spacing w:line="276" w:lineRule="auto"/>
              <w:jc w:val="center"/>
              <w:cnfStyle w:val="000000100000"/>
              <w:rPr>
                <w:sz w:val="18"/>
                <w:szCs w:val="18"/>
              </w:rPr>
            </w:pPr>
            <w:r>
              <w:rPr>
                <w:sz w:val="18"/>
                <w:szCs w:val="18"/>
              </w:rPr>
              <w:t>22</w:t>
            </w:r>
            <w:r w:rsidRPr="00C142DF">
              <w:rPr>
                <w:sz w:val="18"/>
                <w:szCs w:val="18"/>
              </w:rPr>
              <w:t>,8</w:t>
            </w:r>
            <w:r>
              <w:rPr>
                <w:sz w:val="18"/>
                <w:szCs w:val="18"/>
              </w:rPr>
              <w:t>%</w:t>
            </w:r>
          </w:p>
        </w:tc>
        <w:tc>
          <w:tcPr>
            <w:tcW w:w="1959" w:type="dxa"/>
          </w:tcPr>
          <w:p w:rsidR="00D33C02" w:rsidRPr="00C142DF" w:rsidRDefault="00D33C02" w:rsidP="00D33C02">
            <w:pPr>
              <w:spacing w:line="276" w:lineRule="auto"/>
              <w:jc w:val="center"/>
              <w:cnfStyle w:val="000000100000"/>
              <w:rPr>
                <w:sz w:val="18"/>
                <w:szCs w:val="18"/>
              </w:rPr>
            </w:pPr>
            <w:r>
              <w:rPr>
                <w:sz w:val="18"/>
                <w:szCs w:val="18"/>
              </w:rPr>
              <w:t>17,2%</w:t>
            </w:r>
          </w:p>
        </w:tc>
      </w:tr>
    </w:tbl>
    <w:p w:rsidR="00BB4353" w:rsidRDefault="001333E9" w:rsidP="00D33C02">
      <w:pPr>
        <w:spacing w:line="276" w:lineRule="auto"/>
        <w:ind w:firstLine="720"/>
        <w:jc w:val="both"/>
        <w:rPr>
          <w:rFonts w:ascii="Times New Roman" w:hAnsi="Times New Roman" w:cs="Times New Roman"/>
          <w:noProof/>
          <w:sz w:val="24"/>
          <w:szCs w:val="24"/>
          <w:lang w:val="sr-Cyrl-CS"/>
        </w:rPr>
      </w:pPr>
      <w:r w:rsidRPr="00D13C95">
        <w:rPr>
          <w:rFonts w:ascii="Times New Roman" w:hAnsi="Times New Roman" w:cs="Times New Roman"/>
          <w:noProof/>
          <w:sz w:val="24"/>
          <w:szCs w:val="24"/>
          <w:lang w:val="sr-Cyrl-CS"/>
        </w:rPr>
        <w:t xml:space="preserve">Према финансијским извештајима установа културе примећује се да  последњих пет година није дошло до </w:t>
      </w:r>
      <w:r w:rsidR="00335B82" w:rsidRPr="00D13C95">
        <w:rPr>
          <w:rFonts w:ascii="Times New Roman" w:hAnsi="Times New Roman" w:cs="Times New Roman"/>
          <w:noProof/>
          <w:sz w:val="24"/>
          <w:szCs w:val="24"/>
          <w:lang w:val="sr-Cyrl-CS"/>
        </w:rPr>
        <w:t>значајнијих</w:t>
      </w:r>
      <w:r w:rsidRPr="00D13C95">
        <w:rPr>
          <w:rFonts w:ascii="Times New Roman" w:hAnsi="Times New Roman" w:cs="Times New Roman"/>
          <w:noProof/>
          <w:sz w:val="24"/>
          <w:szCs w:val="24"/>
          <w:lang w:val="sr-Cyrl-CS"/>
        </w:rPr>
        <w:t xml:space="preserve"> промена у расподели </w:t>
      </w:r>
      <w:r w:rsidR="00335B82" w:rsidRPr="00D13C95">
        <w:rPr>
          <w:rFonts w:ascii="Times New Roman" w:hAnsi="Times New Roman" w:cs="Times New Roman"/>
          <w:noProof/>
          <w:sz w:val="24"/>
          <w:szCs w:val="24"/>
          <w:lang w:val="sr-Cyrl-CS"/>
        </w:rPr>
        <w:t>трошкова установа културе, односно издвајања за плате запослених, материјалних трошкова и програма установа</w:t>
      </w:r>
      <w:r w:rsidR="00376606" w:rsidRPr="00D13C95">
        <w:rPr>
          <w:rFonts w:ascii="Times New Roman" w:hAnsi="Times New Roman" w:cs="Times New Roman"/>
          <w:noProof/>
          <w:sz w:val="24"/>
          <w:szCs w:val="24"/>
          <w:lang w:val="sr-Cyrl-CS"/>
        </w:rPr>
        <w:t>.</w:t>
      </w:r>
      <w:r w:rsidR="00376606">
        <w:rPr>
          <w:rFonts w:ascii="Times New Roman" w:hAnsi="Times New Roman" w:cs="Times New Roman"/>
          <w:noProof/>
          <w:sz w:val="24"/>
          <w:szCs w:val="24"/>
          <w:lang w:val="sr-Cyrl-CS"/>
        </w:rPr>
        <w:t xml:space="preserve"> </w:t>
      </w:r>
    </w:p>
    <w:p w:rsidR="00FC2B21" w:rsidRPr="00FC2B21" w:rsidRDefault="00CD52A3" w:rsidP="0099762F">
      <w:pPr>
        <w:spacing w:line="276" w:lineRule="auto"/>
        <w:ind w:firstLine="720"/>
        <w:jc w:val="both"/>
        <w:rPr>
          <w:rFonts w:ascii="Times New Roman" w:hAnsi="Times New Roman" w:cs="Times New Roman"/>
          <w:sz w:val="24"/>
          <w:szCs w:val="24"/>
        </w:rPr>
      </w:pPr>
      <w:r w:rsidRPr="00B6147F">
        <w:rPr>
          <w:rFonts w:ascii="Times New Roman" w:hAnsi="Times New Roman" w:cs="Times New Roman"/>
          <w:sz w:val="24"/>
          <w:szCs w:val="24"/>
        </w:rPr>
        <w:t>У погледу извора финансирања, Град је основни извор</w:t>
      </w:r>
      <w:r w:rsidR="0078431C">
        <w:rPr>
          <w:rFonts w:ascii="Times New Roman" w:hAnsi="Times New Roman" w:cs="Times New Roman"/>
          <w:sz w:val="24"/>
          <w:szCs w:val="24"/>
        </w:rPr>
        <w:t>,</w:t>
      </w:r>
      <w:r w:rsidRPr="00B6147F">
        <w:rPr>
          <w:rFonts w:ascii="Times New Roman" w:hAnsi="Times New Roman" w:cs="Times New Roman"/>
          <w:sz w:val="24"/>
          <w:szCs w:val="24"/>
        </w:rPr>
        <w:t xml:space="preserve"> који у просеку учествује са око 90% у буџетима установа. Већина установе културе у Сомбору настоји да средства обезбеди и путем конкурса Министарства културе и информисања и Покрајинског секретаријата за културу, јавно информисање и односе с верским заједницама. Тако су се у последње две године овим фондовима обраћале све установе изузев Историјског архива. </w:t>
      </w:r>
      <w:r w:rsidR="002B257D" w:rsidRPr="00B6147F">
        <w:rPr>
          <w:rFonts w:ascii="Times New Roman" w:hAnsi="Times New Roman" w:cs="Times New Roman"/>
          <w:sz w:val="24"/>
          <w:szCs w:val="24"/>
        </w:rPr>
        <w:t xml:space="preserve">Градска управа Сомбор је у 2018. години успела да буџет града увећа у циљу развоја културе, преко конкурса Министарства културе и информисања </w:t>
      </w:r>
      <w:r w:rsidR="002B257D" w:rsidRPr="00B6147F">
        <w:rPr>
          <w:rFonts w:ascii="Times New Roman" w:hAnsi="Times New Roman" w:cs="Times New Roman"/>
          <w:i/>
          <w:sz w:val="24"/>
          <w:szCs w:val="24"/>
        </w:rPr>
        <w:t>Градови у фокусу</w:t>
      </w:r>
      <w:r w:rsidR="002B257D" w:rsidRPr="00B6147F">
        <w:rPr>
          <w:rFonts w:ascii="Times New Roman" w:hAnsi="Times New Roman" w:cs="Times New Roman"/>
          <w:sz w:val="24"/>
          <w:szCs w:val="24"/>
        </w:rPr>
        <w:t xml:space="preserve"> са пројектом </w:t>
      </w:r>
      <w:r w:rsidR="002B257D" w:rsidRPr="00B6147F">
        <w:rPr>
          <w:rFonts w:ascii="Times New Roman" w:hAnsi="Times New Roman" w:cs="Times New Roman"/>
          <w:i/>
          <w:sz w:val="24"/>
          <w:szCs w:val="24"/>
        </w:rPr>
        <w:t>Сомнибус – палата културе</w:t>
      </w:r>
      <w:r w:rsidR="002B257D" w:rsidRPr="00B6147F">
        <w:rPr>
          <w:rFonts w:ascii="Times New Roman" w:hAnsi="Times New Roman" w:cs="Times New Roman"/>
          <w:sz w:val="24"/>
          <w:szCs w:val="24"/>
        </w:rPr>
        <w:t>. Наиме, на тај начин добијена су средства од 8.000.000,00 динара за реконструкцију и ревитализацију Грашалковићеве палате. У 2019. години за а</w:t>
      </w:r>
      <w:r w:rsidR="0078431C">
        <w:rPr>
          <w:rFonts w:ascii="Times New Roman" w:hAnsi="Times New Roman" w:cs="Times New Roman"/>
          <w:sz w:val="24"/>
          <w:szCs w:val="24"/>
        </w:rPr>
        <w:t xml:space="preserve">даптацију Грашалковићеве палате </w:t>
      </w:r>
      <w:r w:rsidR="002B257D" w:rsidRPr="00B6147F">
        <w:rPr>
          <w:rFonts w:ascii="Times New Roman" w:hAnsi="Times New Roman" w:cs="Times New Roman"/>
          <w:sz w:val="24"/>
          <w:szCs w:val="24"/>
        </w:rPr>
        <w:t>7.000.000,00 динара је обезбеђено</w:t>
      </w:r>
      <w:r w:rsidR="002B257D" w:rsidRPr="002B257D">
        <w:rPr>
          <w:rFonts w:ascii="Times New Roman" w:hAnsi="Times New Roman" w:cs="Times New Roman"/>
          <w:sz w:val="24"/>
          <w:szCs w:val="24"/>
        </w:rPr>
        <w:t xml:space="preserve"> од Министарства привреде. </w:t>
      </w:r>
      <w:r w:rsidR="00FC2B21" w:rsidRPr="00FC2B21">
        <w:rPr>
          <w:rFonts w:ascii="Times New Roman" w:hAnsi="Times New Roman" w:cs="Times New Roman"/>
          <w:sz w:val="24"/>
          <w:szCs w:val="24"/>
        </w:rPr>
        <w:t>Са друге стране, конкурисање код међународних фондова, фондација и актера је веома ретко. Већа искоришћеност могућности за добијање међународне подршке, препозната је и као један од циљева у Стратегији одрживог развоја града, а и запослени у установама културе су у најмањој мери задовољни додатним финансирањем програма установа (средња оцена 2,79).</w:t>
      </w:r>
    </w:p>
    <w:p w:rsidR="007567AD" w:rsidRPr="007567AD" w:rsidRDefault="003B6EBA" w:rsidP="009976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Табела 4</w:t>
      </w:r>
      <w:r w:rsidR="007567AD" w:rsidRPr="007567AD">
        <w:rPr>
          <w:rFonts w:ascii="Times New Roman" w:hAnsi="Times New Roman" w:cs="Times New Roman"/>
          <w:b/>
          <w:sz w:val="24"/>
          <w:szCs w:val="24"/>
        </w:rPr>
        <w:t>: Структура буџета градских установа културе у Сомбору према изворима финансирања (у % у односу на укупан буџет установе)</w:t>
      </w:r>
      <w:r w:rsidR="007567AD">
        <w:rPr>
          <w:rFonts w:ascii="Times New Roman" w:hAnsi="Times New Roman" w:cs="Times New Roman"/>
          <w:b/>
          <w:sz w:val="24"/>
          <w:szCs w:val="24"/>
        </w:rPr>
        <w:t>, 2017. година</w:t>
      </w:r>
      <w:r w:rsidR="007567AD">
        <w:rPr>
          <w:rStyle w:val="FootnoteReference"/>
          <w:rFonts w:ascii="Times New Roman" w:hAnsi="Times New Roman" w:cs="Times New Roman"/>
          <w:b/>
          <w:sz w:val="24"/>
          <w:szCs w:val="24"/>
        </w:rPr>
        <w:footnoteReference w:id="26"/>
      </w:r>
    </w:p>
    <w:tbl>
      <w:tblPr>
        <w:tblStyle w:val="GridTable4-Accent11"/>
        <w:tblW w:w="9351" w:type="dxa"/>
        <w:tblLayout w:type="fixed"/>
        <w:tblLook w:val="04A0"/>
      </w:tblPr>
      <w:tblGrid>
        <w:gridCol w:w="2122"/>
        <w:gridCol w:w="903"/>
        <w:gridCol w:w="904"/>
        <w:gridCol w:w="903"/>
        <w:gridCol w:w="904"/>
        <w:gridCol w:w="904"/>
        <w:gridCol w:w="903"/>
        <w:gridCol w:w="904"/>
        <w:gridCol w:w="904"/>
      </w:tblGrid>
      <w:tr w:rsidR="007567AD" w:rsidRPr="00FB0BD3" w:rsidTr="000606DF">
        <w:trPr>
          <w:cnfStyle w:val="100000000000"/>
          <w:trHeight w:val="222"/>
        </w:trPr>
        <w:tc>
          <w:tcPr>
            <w:cnfStyle w:val="001000000000"/>
            <w:tcW w:w="2122" w:type="dxa"/>
            <w:vAlign w:val="center"/>
          </w:tcPr>
          <w:p w:rsidR="007567AD" w:rsidRPr="00FB0BD3" w:rsidRDefault="007567AD" w:rsidP="007567AD">
            <w:pPr>
              <w:jc w:val="center"/>
              <w:rPr>
                <w:b w:val="0"/>
              </w:rPr>
            </w:pPr>
            <w:r w:rsidRPr="00FB0BD3">
              <w:rPr>
                <w:b w:val="0"/>
              </w:rPr>
              <w:t>Назив установе</w:t>
            </w:r>
          </w:p>
        </w:tc>
        <w:tc>
          <w:tcPr>
            <w:tcW w:w="903" w:type="dxa"/>
            <w:vAlign w:val="center"/>
          </w:tcPr>
          <w:p w:rsidR="007567AD" w:rsidRPr="00AA2628" w:rsidRDefault="007567AD" w:rsidP="007567AD">
            <w:pPr>
              <w:jc w:val="center"/>
              <w:cnfStyle w:val="100000000000"/>
              <w:rPr>
                <w:sz w:val="17"/>
                <w:szCs w:val="17"/>
              </w:rPr>
            </w:pPr>
            <w:r w:rsidRPr="00AA2628">
              <w:rPr>
                <w:sz w:val="17"/>
                <w:szCs w:val="17"/>
              </w:rPr>
              <w:t>Република</w:t>
            </w:r>
          </w:p>
        </w:tc>
        <w:tc>
          <w:tcPr>
            <w:tcW w:w="904" w:type="dxa"/>
            <w:vAlign w:val="center"/>
          </w:tcPr>
          <w:p w:rsidR="007567AD" w:rsidRPr="00AA2628" w:rsidRDefault="007567AD" w:rsidP="007567AD">
            <w:pPr>
              <w:jc w:val="center"/>
              <w:cnfStyle w:val="100000000000"/>
              <w:rPr>
                <w:sz w:val="17"/>
                <w:szCs w:val="17"/>
              </w:rPr>
            </w:pPr>
            <w:r w:rsidRPr="00AA2628">
              <w:rPr>
                <w:sz w:val="17"/>
                <w:szCs w:val="17"/>
              </w:rPr>
              <w:t>АПВ</w:t>
            </w:r>
          </w:p>
        </w:tc>
        <w:tc>
          <w:tcPr>
            <w:tcW w:w="903" w:type="dxa"/>
            <w:vAlign w:val="center"/>
          </w:tcPr>
          <w:p w:rsidR="007567AD" w:rsidRPr="00AA2628" w:rsidRDefault="007567AD" w:rsidP="007567AD">
            <w:pPr>
              <w:jc w:val="center"/>
              <w:cnfStyle w:val="100000000000"/>
              <w:rPr>
                <w:sz w:val="17"/>
                <w:szCs w:val="17"/>
              </w:rPr>
            </w:pPr>
            <w:r w:rsidRPr="00AA2628">
              <w:rPr>
                <w:sz w:val="17"/>
                <w:szCs w:val="17"/>
              </w:rPr>
              <w:t>Град</w:t>
            </w:r>
          </w:p>
        </w:tc>
        <w:tc>
          <w:tcPr>
            <w:tcW w:w="904" w:type="dxa"/>
            <w:vAlign w:val="center"/>
          </w:tcPr>
          <w:p w:rsidR="007567AD" w:rsidRPr="00AA2628" w:rsidRDefault="007567AD" w:rsidP="007567AD">
            <w:pPr>
              <w:jc w:val="center"/>
              <w:cnfStyle w:val="100000000000"/>
              <w:rPr>
                <w:sz w:val="17"/>
                <w:szCs w:val="17"/>
              </w:rPr>
            </w:pPr>
            <w:r w:rsidRPr="00AA2628">
              <w:rPr>
                <w:sz w:val="17"/>
                <w:szCs w:val="17"/>
              </w:rPr>
              <w:t>Приходи</w:t>
            </w:r>
          </w:p>
        </w:tc>
        <w:tc>
          <w:tcPr>
            <w:tcW w:w="904" w:type="dxa"/>
            <w:vAlign w:val="center"/>
          </w:tcPr>
          <w:p w:rsidR="007567AD" w:rsidRPr="00AA2628" w:rsidRDefault="007567AD" w:rsidP="007567AD">
            <w:pPr>
              <w:jc w:val="center"/>
              <w:cnfStyle w:val="100000000000"/>
              <w:rPr>
                <w:sz w:val="17"/>
                <w:szCs w:val="17"/>
              </w:rPr>
            </w:pPr>
            <w:r w:rsidRPr="00AA2628">
              <w:rPr>
                <w:sz w:val="17"/>
                <w:szCs w:val="17"/>
              </w:rPr>
              <w:t>Конкурси</w:t>
            </w:r>
          </w:p>
        </w:tc>
        <w:tc>
          <w:tcPr>
            <w:tcW w:w="903" w:type="dxa"/>
            <w:vAlign w:val="center"/>
          </w:tcPr>
          <w:p w:rsidR="007567AD" w:rsidRPr="00AA2628" w:rsidRDefault="007567AD" w:rsidP="007567AD">
            <w:pPr>
              <w:jc w:val="center"/>
              <w:cnfStyle w:val="100000000000"/>
              <w:rPr>
                <w:sz w:val="17"/>
                <w:szCs w:val="17"/>
              </w:rPr>
            </w:pPr>
            <w:r w:rsidRPr="00AA2628">
              <w:rPr>
                <w:sz w:val="17"/>
                <w:szCs w:val="17"/>
              </w:rPr>
              <w:t>Спонзори</w:t>
            </w:r>
          </w:p>
        </w:tc>
        <w:tc>
          <w:tcPr>
            <w:tcW w:w="904" w:type="dxa"/>
            <w:vAlign w:val="center"/>
          </w:tcPr>
          <w:p w:rsidR="007567AD" w:rsidRPr="00AA2628" w:rsidRDefault="007567AD" w:rsidP="007567AD">
            <w:pPr>
              <w:jc w:val="center"/>
              <w:cnfStyle w:val="100000000000"/>
              <w:rPr>
                <w:sz w:val="17"/>
                <w:szCs w:val="17"/>
              </w:rPr>
            </w:pPr>
            <w:r w:rsidRPr="00AA2628">
              <w:rPr>
                <w:noProof/>
                <w:sz w:val="17"/>
                <w:szCs w:val="17"/>
                <w:lang w:val="sr-Cyrl-CS"/>
              </w:rPr>
              <w:t>Донациј</w:t>
            </w:r>
            <w:r w:rsidRPr="00AA2628">
              <w:rPr>
                <w:sz w:val="17"/>
                <w:szCs w:val="17"/>
                <w:lang w:val="sr-Cyrl-CS"/>
              </w:rPr>
              <w:t>е</w:t>
            </w:r>
          </w:p>
        </w:tc>
        <w:tc>
          <w:tcPr>
            <w:tcW w:w="904" w:type="dxa"/>
            <w:vAlign w:val="center"/>
          </w:tcPr>
          <w:p w:rsidR="007567AD" w:rsidRPr="00AA2628" w:rsidRDefault="007567AD" w:rsidP="007567AD">
            <w:pPr>
              <w:jc w:val="center"/>
              <w:cnfStyle w:val="100000000000"/>
              <w:rPr>
                <w:sz w:val="17"/>
                <w:szCs w:val="17"/>
              </w:rPr>
            </w:pPr>
            <w:r w:rsidRPr="00AA2628">
              <w:rPr>
                <w:sz w:val="17"/>
                <w:szCs w:val="17"/>
              </w:rPr>
              <w:t>Остало</w:t>
            </w:r>
          </w:p>
        </w:tc>
      </w:tr>
      <w:tr w:rsidR="007567AD" w:rsidRPr="00FB0BD3" w:rsidTr="000606DF">
        <w:trPr>
          <w:cnfStyle w:val="000000100000"/>
          <w:trHeight w:val="460"/>
        </w:trPr>
        <w:tc>
          <w:tcPr>
            <w:cnfStyle w:val="001000000000"/>
            <w:tcW w:w="2122" w:type="dxa"/>
            <w:vAlign w:val="center"/>
          </w:tcPr>
          <w:p w:rsidR="007567AD" w:rsidRPr="00FB0BD3" w:rsidRDefault="007567AD" w:rsidP="007567AD">
            <w:pPr>
              <w:jc w:val="center"/>
            </w:pPr>
            <w:r w:rsidRPr="00FB0BD3">
              <w:t>Градска библиотека „Карло Бијелицки“</w:t>
            </w:r>
          </w:p>
        </w:tc>
        <w:tc>
          <w:tcPr>
            <w:tcW w:w="903" w:type="dxa"/>
            <w:vAlign w:val="center"/>
          </w:tcPr>
          <w:p w:rsidR="007567AD" w:rsidRPr="00FB0BD3" w:rsidRDefault="007567AD" w:rsidP="007567AD">
            <w:pPr>
              <w:spacing w:line="276" w:lineRule="auto"/>
              <w:jc w:val="center"/>
              <w:cnfStyle w:val="000000100000"/>
            </w:pPr>
            <w:r>
              <w:t>1</w:t>
            </w:r>
          </w:p>
        </w:tc>
        <w:tc>
          <w:tcPr>
            <w:tcW w:w="904" w:type="dxa"/>
            <w:vAlign w:val="center"/>
          </w:tcPr>
          <w:p w:rsidR="007567AD" w:rsidRPr="00FB0BD3" w:rsidRDefault="007567AD" w:rsidP="007567AD">
            <w:pPr>
              <w:spacing w:line="276" w:lineRule="auto"/>
              <w:jc w:val="center"/>
              <w:cnfStyle w:val="000000100000"/>
            </w:pPr>
            <w:r>
              <w:t>2</w:t>
            </w:r>
          </w:p>
        </w:tc>
        <w:tc>
          <w:tcPr>
            <w:tcW w:w="903" w:type="dxa"/>
            <w:vAlign w:val="center"/>
          </w:tcPr>
          <w:p w:rsidR="007567AD" w:rsidRPr="00FB0BD3" w:rsidRDefault="007567AD" w:rsidP="007567AD">
            <w:pPr>
              <w:spacing w:line="276" w:lineRule="auto"/>
              <w:jc w:val="center"/>
              <w:cnfStyle w:val="000000100000"/>
            </w:pPr>
            <w:r>
              <w:t>93</w:t>
            </w:r>
          </w:p>
        </w:tc>
        <w:tc>
          <w:tcPr>
            <w:tcW w:w="904" w:type="dxa"/>
            <w:vAlign w:val="center"/>
          </w:tcPr>
          <w:p w:rsidR="007567AD" w:rsidRPr="00FB0BD3" w:rsidRDefault="007567AD" w:rsidP="007567AD">
            <w:pPr>
              <w:spacing w:line="276" w:lineRule="auto"/>
              <w:jc w:val="center"/>
              <w:cnfStyle w:val="000000100000"/>
            </w:pPr>
            <w:r>
              <w:t>4</w:t>
            </w:r>
          </w:p>
        </w:tc>
        <w:tc>
          <w:tcPr>
            <w:tcW w:w="904" w:type="dxa"/>
            <w:vAlign w:val="center"/>
          </w:tcPr>
          <w:p w:rsidR="007567AD" w:rsidRPr="00FB0BD3" w:rsidRDefault="007567AD" w:rsidP="007567AD">
            <w:pPr>
              <w:spacing w:line="276" w:lineRule="auto"/>
              <w:jc w:val="center"/>
              <w:cnfStyle w:val="000000100000"/>
            </w:pPr>
            <w:r>
              <w:t>/</w:t>
            </w:r>
          </w:p>
        </w:tc>
        <w:tc>
          <w:tcPr>
            <w:tcW w:w="903" w:type="dxa"/>
            <w:vAlign w:val="center"/>
          </w:tcPr>
          <w:p w:rsidR="007567AD" w:rsidRPr="00FB0BD3" w:rsidRDefault="007567AD" w:rsidP="007567AD">
            <w:pPr>
              <w:spacing w:line="276" w:lineRule="auto"/>
              <w:jc w:val="center"/>
              <w:cnfStyle w:val="000000100000"/>
            </w:pPr>
            <w:r>
              <w:t>/</w:t>
            </w:r>
          </w:p>
        </w:tc>
        <w:tc>
          <w:tcPr>
            <w:tcW w:w="904" w:type="dxa"/>
            <w:vAlign w:val="center"/>
          </w:tcPr>
          <w:p w:rsidR="007567AD" w:rsidRPr="00FB0BD3" w:rsidRDefault="007567AD" w:rsidP="007567AD">
            <w:pPr>
              <w:spacing w:line="276" w:lineRule="auto"/>
              <w:jc w:val="center"/>
              <w:cnfStyle w:val="000000100000"/>
            </w:pPr>
            <w:r>
              <w:t>/</w:t>
            </w:r>
          </w:p>
        </w:tc>
        <w:tc>
          <w:tcPr>
            <w:tcW w:w="904" w:type="dxa"/>
            <w:vAlign w:val="center"/>
          </w:tcPr>
          <w:p w:rsidR="007567AD" w:rsidRPr="00FB0BD3" w:rsidRDefault="007567AD" w:rsidP="007567AD">
            <w:pPr>
              <w:spacing w:line="276" w:lineRule="auto"/>
              <w:jc w:val="center"/>
              <w:cnfStyle w:val="000000100000"/>
            </w:pPr>
            <w:r>
              <w:t>/</w:t>
            </w:r>
          </w:p>
        </w:tc>
      </w:tr>
      <w:tr w:rsidR="007567AD" w:rsidRPr="00FB0BD3" w:rsidTr="000606DF">
        <w:trPr>
          <w:trHeight w:val="445"/>
        </w:trPr>
        <w:tc>
          <w:tcPr>
            <w:cnfStyle w:val="001000000000"/>
            <w:tcW w:w="2122" w:type="dxa"/>
            <w:vAlign w:val="center"/>
          </w:tcPr>
          <w:p w:rsidR="007567AD" w:rsidRPr="00FB0BD3" w:rsidRDefault="007567AD" w:rsidP="007567AD">
            <w:pPr>
              <w:jc w:val="center"/>
            </w:pPr>
            <w:r w:rsidRPr="00FB0BD3">
              <w:t>Градски музеј Сомбор</w:t>
            </w:r>
          </w:p>
        </w:tc>
        <w:tc>
          <w:tcPr>
            <w:tcW w:w="903" w:type="dxa"/>
            <w:vAlign w:val="center"/>
          </w:tcPr>
          <w:p w:rsidR="007567AD" w:rsidRPr="00021230" w:rsidRDefault="007567AD" w:rsidP="007567AD">
            <w:pPr>
              <w:spacing w:line="276" w:lineRule="auto"/>
              <w:jc w:val="center"/>
              <w:cnfStyle w:val="000000000000"/>
            </w:pPr>
            <w:r>
              <w:t>/</w:t>
            </w:r>
          </w:p>
        </w:tc>
        <w:tc>
          <w:tcPr>
            <w:tcW w:w="904" w:type="dxa"/>
            <w:vAlign w:val="center"/>
          </w:tcPr>
          <w:p w:rsidR="007567AD" w:rsidRPr="00021230" w:rsidRDefault="007567AD" w:rsidP="007567AD">
            <w:pPr>
              <w:spacing w:line="276" w:lineRule="auto"/>
              <w:jc w:val="center"/>
              <w:cnfStyle w:val="000000000000"/>
            </w:pPr>
            <w:r>
              <w:t>/</w:t>
            </w:r>
          </w:p>
        </w:tc>
        <w:tc>
          <w:tcPr>
            <w:tcW w:w="903" w:type="dxa"/>
            <w:vAlign w:val="center"/>
          </w:tcPr>
          <w:p w:rsidR="007567AD" w:rsidRPr="00021230" w:rsidRDefault="007567AD" w:rsidP="007567AD">
            <w:pPr>
              <w:spacing w:line="276" w:lineRule="auto"/>
              <w:jc w:val="center"/>
              <w:cnfStyle w:val="000000000000"/>
            </w:pPr>
            <w:r>
              <w:t>98,1</w:t>
            </w:r>
          </w:p>
        </w:tc>
        <w:tc>
          <w:tcPr>
            <w:tcW w:w="904" w:type="dxa"/>
            <w:vAlign w:val="center"/>
          </w:tcPr>
          <w:p w:rsidR="007567AD" w:rsidRPr="00021230" w:rsidRDefault="007567AD" w:rsidP="007567AD">
            <w:pPr>
              <w:spacing w:line="276" w:lineRule="auto"/>
              <w:jc w:val="center"/>
              <w:cnfStyle w:val="000000000000"/>
            </w:pPr>
            <w:r>
              <w:t>0,9</w:t>
            </w:r>
          </w:p>
        </w:tc>
        <w:tc>
          <w:tcPr>
            <w:tcW w:w="904" w:type="dxa"/>
            <w:vAlign w:val="center"/>
          </w:tcPr>
          <w:p w:rsidR="007567AD" w:rsidRPr="00021230" w:rsidRDefault="007567AD" w:rsidP="007567AD">
            <w:pPr>
              <w:spacing w:line="276" w:lineRule="auto"/>
              <w:jc w:val="center"/>
              <w:cnfStyle w:val="000000000000"/>
            </w:pPr>
            <w:r>
              <w:t>/</w:t>
            </w:r>
          </w:p>
        </w:tc>
        <w:tc>
          <w:tcPr>
            <w:tcW w:w="903" w:type="dxa"/>
            <w:vAlign w:val="center"/>
          </w:tcPr>
          <w:p w:rsidR="007567AD" w:rsidRPr="00021230" w:rsidRDefault="007567AD" w:rsidP="007567AD">
            <w:pPr>
              <w:spacing w:line="276" w:lineRule="auto"/>
              <w:jc w:val="center"/>
              <w:cnfStyle w:val="000000000000"/>
            </w:pPr>
            <w:r>
              <w:t>/</w:t>
            </w:r>
          </w:p>
        </w:tc>
        <w:tc>
          <w:tcPr>
            <w:tcW w:w="904" w:type="dxa"/>
            <w:vAlign w:val="center"/>
          </w:tcPr>
          <w:p w:rsidR="007567AD" w:rsidRPr="00021230" w:rsidRDefault="007567AD" w:rsidP="007567AD">
            <w:pPr>
              <w:spacing w:line="276" w:lineRule="auto"/>
              <w:jc w:val="center"/>
              <w:cnfStyle w:val="000000000000"/>
            </w:pPr>
            <w:r>
              <w:t>/</w:t>
            </w:r>
          </w:p>
        </w:tc>
        <w:tc>
          <w:tcPr>
            <w:tcW w:w="904" w:type="dxa"/>
            <w:vAlign w:val="center"/>
          </w:tcPr>
          <w:p w:rsidR="007567AD" w:rsidRPr="00021230" w:rsidRDefault="007567AD" w:rsidP="007567AD">
            <w:pPr>
              <w:spacing w:line="276" w:lineRule="auto"/>
              <w:jc w:val="center"/>
              <w:cnfStyle w:val="000000000000"/>
            </w:pPr>
            <w:r>
              <w:t>1</w:t>
            </w:r>
          </w:p>
        </w:tc>
      </w:tr>
      <w:tr w:rsidR="007567AD" w:rsidRPr="00FB0BD3" w:rsidTr="000606DF">
        <w:trPr>
          <w:cnfStyle w:val="000000100000"/>
          <w:trHeight w:val="445"/>
        </w:trPr>
        <w:tc>
          <w:tcPr>
            <w:cnfStyle w:val="001000000000"/>
            <w:tcW w:w="2122" w:type="dxa"/>
            <w:vAlign w:val="center"/>
          </w:tcPr>
          <w:p w:rsidR="007567AD" w:rsidRPr="00FB0BD3" w:rsidRDefault="007567AD" w:rsidP="007567AD">
            <w:pPr>
              <w:jc w:val="center"/>
            </w:pPr>
            <w:r w:rsidRPr="00FB0BD3">
              <w:t>Историјски архив Сомбор</w:t>
            </w:r>
          </w:p>
        </w:tc>
        <w:tc>
          <w:tcPr>
            <w:tcW w:w="903" w:type="dxa"/>
            <w:vAlign w:val="center"/>
          </w:tcPr>
          <w:p w:rsidR="007567AD" w:rsidRPr="00021230" w:rsidRDefault="007567AD" w:rsidP="007567AD">
            <w:pPr>
              <w:spacing w:line="276" w:lineRule="auto"/>
              <w:jc w:val="center"/>
              <w:cnfStyle w:val="000000100000"/>
            </w:pPr>
            <w:r w:rsidRPr="00021230">
              <w:t>4</w:t>
            </w:r>
          </w:p>
        </w:tc>
        <w:tc>
          <w:tcPr>
            <w:tcW w:w="904" w:type="dxa"/>
            <w:vAlign w:val="center"/>
          </w:tcPr>
          <w:p w:rsidR="007567AD" w:rsidRPr="00021230" w:rsidRDefault="007567AD" w:rsidP="007567AD">
            <w:pPr>
              <w:spacing w:line="276" w:lineRule="auto"/>
              <w:jc w:val="center"/>
              <w:cnfStyle w:val="000000100000"/>
            </w:pPr>
            <w:r>
              <w:t>/</w:t>
            </w:r>
          </w:p>
        </w:tc>
        <w:tc>
          <w:tcPr>
            <w:tcW w:w="903" w:type="dxa"/>
            <w:vAlign w:val="center"/>
          </w:tcPr>
          <w:p w:rsidR="007567AD" w:rsidRPr="00021230" w:rsidRDefault="007567AD" w:rsidP="007567AD">
            <w:pPr>
              <w:spacing w:line="276" w:lineRule="auto"/>
              <w:jc w:val="center"/>
              <w:cnfStyle w:val="000000100000"/>
            </w:pPr>
            <w:r w:rsidRPr="00021230">
              <w:t>87</w:t>
            </w:r>
          </w:p>
        </w:tc>
        <w:tc>
          <w:tcPr>
            <w:tcW w:w="904" w:type="dxa"/>
            <w:vAlign w:val="center"/>
          </w:tcPr>
          <w:p w:rsidR="007567AD" w:rsidRPr="00021230" w:rsidRDefault="007567AD" w:rsidP="007567AD">
            <w:pPr>
              <w:spacing w:line="276" w:lineRule="auto"/>
              <w:jc w:val="center"/>
              <w:cnfStyle w:val="000000100000"/>
            </w:pPr>
            <w:r w:rsidRPr="00EE51A6">
              <w:t>7,8</w:t>
            </w:r>
          </w:p>
        </w:tc>
        <w:tc>
          <w:tcPr>
            <w:tcW w:w="904" w:type="dxa"/>
            <w:vAlign w:val="center"/>
          </w:tcPr>
          <w:p w:rsidR="007567AD" w:rsidRPr="00021230" w:rsidRDefault="007567AD" w:rsidP="007567AD">
            <w:pPr>
              <w:spacing w:line="276" w:lineRule="auto"/>
              <w:jc w:val="center"/>
              <w:cnfStyle w:val="000000100000"/>
            </w:pPr>
            <w:r w:rsidRPr="00021230">
              <w:t>/</w:t>
            </w:r>
          </w:p>
        </w:tc>
        <w:tc>
          <w:tcPr>
            <w:tcW w:w="903" w:type="dxa"/>
            <w:vAlign w:val="center"/>
          </w:tcPr>
          <w:p w:rsidR="007567AD" w:rsidRPr="00021230" w:rsidRDefault="007567AD" w:rsidP="007567AD">
            <w:pPr>
              <w:spacing w:line="276" w:lineRule="auto"/>
              <w:jc w:val="center"/>
              <w:cnfStyle w:val="000000100000"/>
            </w:pPr>
            <w:r w:rsidRPr="00021230">
              <w:t>/</w:t>
            </w:r>
          </w:p>
        </w:tc>
        <w:tc>
          <w:tcPr>
            <w:tcW w:w="904" w:type="dxa"/>
            <w:vAlign w:val="center"/>
          </w:tcPr>
          <w:p w:rsidR="007567AD" w:rsidRPr="00021230" w:rsidRDefault="007567AD" w:rsidP="007567AD">
            <w:pPr>
              <w:spacing w:line="276" w:lineRule="auto"/>
              <w:jc w:val="center"/>
              <w:cnfStyle w:val="000000100000"/>
            </w:pPr>
            <w:r w:rsidRPr="00021230">
              <w:t>/</w:t>
            </w:r>
          </w:p>
        </w:tc>
        <w:tc>
          <w:tcPr>
            <w:tcW w:w="904" w:type="dxa"/>
            <w:vAlign w:val="center"/>
          </w:tcPr>
          <w:p w:rsidR="007567AD" w:rsidRPr="00021230" w:rsidRDefault="007567AD" w:rsidP="007567AD">
            <w:pPr>
              <w:spacing w:line="276" w:lineRule="auto"/>
              <w:jc w:val="center"/>
              <w:cnfStyle w:val="000000100000"/>
            </w:pPr>
            <w:r>
              <w:t>1,2</w:t>
            </w:r>
          </w:p>
        </w:tc>
      </w:tr>
      <w:tr w:rsidR="007567AD" w:rsidRPr="00FB0BD3" w:rsidTr="000606DF">
        <w:trPr>
          <w:trHeight w:val="460"/>
        </w:trPr>
        <w:tc>
          <w:tcPr>
            <w:cnfStyle w:val="001000000000"/>
            <w:tcW w:w="2122" w:type="dxa"/>
            <w:vAlign w:val="center"/>
          </w:tcPr>
          <w:p w:rsidR="007567AD" w:rsidRPr="00FB0BD3" w:rsidRDefault="007567AD" w:rsidP="007567AD">
            <w:pPr>
              <w:jc w:val="center"/>
            </w:pPr>
            <w:r w:rsidRPr="00FB0BD3">
              <w:t>Галерија „Милан Коњовић“</w:t>
            </w:r>
          </w:p>
        </w:tc>
        <w:tc>
          <w:tcPr>
            <w:tcW w:w="903" w:type="dxa"/>
            <w:vAlign w:val="center"/>
          </w:tcPr>
          <w:p w:rsidR="007567AD" w:rsidRPr="00FB0BD3" w:rsidRDefault="007567AD" w:rsidP="007567AD">
            <w:pPr>
              <w:spacing w:line="276" w:lineRule="auto"/>
              <w:jc w:val="center"/>
              <w:cnfStyle w:val="000000000000"/>
            </w:pPr>
            <w:r>
              <w:t>5</w:t>
            </w:r>
          </w:p>
        </w:tc>
        <w:tc>
          <w:tcPr>
            <w:tcW w:w="904" w:type="dxa"/>
            <w:vAlign w:val="center"/>
          </w:tcPr>
          <w:p w:rsidR="007567AD" w:rsidRPr="00FB0BD3" w:rsidRDefault="007567AD" w:rsidP="007567AD">
            <w:pPr>
              <w:spacing w:line="276" w:lineRule="auto"/>
              <w:jc w:val="center"/>
              <w:cnfStyle w:val="000000000000"/>
            </w:pPr>
            <w:r>
              <w:t>2</w:t>
            </w:r>
          </w:p>
        </w:tc>
        <w:tc>
          <w:tcPr>
            <w:tcW w:w="903" w:type="dxa"/>
            <w:vAlign w:val="center"/>
          </w:tcPr>
          <w:p w:rsidR="007567AD" w:rsidRPr="00FB0BD3" w:rsidRDefault="007567AD" w:rsidP="007567AD">
            <w:pPr>
              <w:spacing w:line="276" w:lineRule="auto"/>
              <w:jc w:val="center"/>
              <w:cnfStyle w:val="000000000000"/>
            </w:pPr>
            <w:r>
              <w:t>78</w:t>
            </w:r>
          </w:p>
        </w:tc>
        <w:tc>
          <w:tcPr>
            <w:tcW w:w="904" w:type="dxa"/>
            <w:vAlign w:val="center"/>
          </w:tcPr>
          <w:p w:rsidR="007567AD" w:rsidRPr="00FB0BD3" w:rsidRDefault="007567AD" w:rsidP="007567AD">
            <w:pPr>
              <w:spacing w:line="276" w:lineRule="auto"/>
              <w:jc w:val="center"/>
              <w:cnfStyle w:val="000000000000"/>
            </w:pPr>
            <w:r>
              <w:t>5</w:t>
            </w:r>
          </w:p>
        </w:tc>
        <w:tc>
          <w:tcPr>
            <w:tcW w:w="904" w:type="dxa"/>
            <w:vAlign w:val="center"/>
          </w:tcPr>
          <w:p w:rsidR="007567AD" w:rsidRPr="00FB0BD3" w:rsidRDefault="007567AD" w:rsidP="007567AD">
            <w:pPr>
              <w:spacing w:line="276" w:lineRule="auto"/>
              <w:jc w:val="center"/>
              <w:cnfStyle w:val="000000000000"/>
            </w:pPr>
            <w:r>
              <w:t>10</w:t>
            </w:r>
          </w:p>
        </w:tc>
        <w:tc>
          <w:tcPr>
            <w:tcW w:w="903" w:type="dxa"/>
            <w:vAlign w:val="center"/>
          </w:tcPr>
          <w:p w:rsidR="007567AD" w:rsidRPr="00FB0BD3" w:rsidRDefault="007567AD" w:rsidP="007567AD">
            <w:pPr>
              <w:spacing w:line="276" w:lineRule="auto"/>
              <w:jc w:val="center"/>
              <w:cnfStyle w:val="000000000000"/>
            </w:pPr>
            <w:r>
              <w:t>/</w:t>
            </w:r>
          </w:p>
        </w:tc>
        <w:tc>
          <w:tcPr>
            <w:tcW w:w="904" w:type="dxa"/>
            <w:vAlign w:val="center"/>
          </w:tcPr>
          <w:p w:rsidR="007567AD" w:rsidRPr="00FB0BD3" w:rsidRDefault="007567AD" w:rsidP="007567AD">
            <w:pPr>
              <w:spacing w:line="276" w:lineRule="auto"/>
              <w:jc w:val="center"/>
              <w:cnfStyle w:val="000000000000"/>
            </w:pPr>
            <w:r>
              <w:t>/</w:t>
            </w:r>
          </w:p>
        </w:tc>
        <w:tc>
          <w:tcPr>
            <w:tcW w:w="904" w:type="dxa"/>
            <w:vAlign w:val="center"/>
          </w:tcPr>
          <w:p w:rsidR="007567AD" w:rsidRPr="00FB0BD3" w:rsidRDefault="007567AD" w:rsidP="007567AD">
            <w:pPr>
              <w:spacing w:line="276" w:lineRule="auto"/>
              <w:jc w:val="center"/>
              <w:cnfStyle w:val="000000000000"/>
            </w:pPr>
            <w:r>
              <w:t>/</w:t>
            </w:r>
          </w:p>
        </w:tc>
      </w:tr>
      <w:tr w:rsidR="007567AD" w:rsidRPr="00FB0BD3" w:rsidTr="000606DF">
        <w:trPr>
          <w:cnfStyle w:val="000000100000"/>
          <w:trHeight w:val="445"/>
        </w:trPr>
        <w:tc>
          <w:tcPr>
            <w:cnfStyle w:val="001000000000"/>
            <w:tcW w:w="2122" w:type="dxa"/>
            <w:vAlign w:val="center"/>
          </w:tcPr>
          <w:p w:rsidR="007567AD" w:rsidRPr="00FB0BD3" w:rsidRDefault="007567AD" w:rsidP="007567AD">
            <w:pPr>
              <w:jc w:val="center"/>
            </w:pPr>
            <w:r w:rsidRPr="00FB0BD3">
              <w:t>Културни центар „Лаза Костић“</w:t>
            </w:r>
          </w:p>
        </w:tc>
        <w:tc>
          <w:tcPr>
            <w:tcW w:w="903" w:type="dxa"/>
            <w:vAlign w:val="center"/>
          </w:tcPr>
          <w:p w:rsidR="007567AD" w:rsidRPr="00FB0BD3" w:rsidRDefault="007567AD" w:rsidP="007567AD">
            <w:pPr>
              <w:spacing w:line="276" w:lineRule="auto"/>
              <w:jc w:val="center"/>
              <w:cnfStyle w:val="000000100000"/>
            </w:pPr>
            <w:r>
              <w:t>3,5</w:t>
            </w:r>
          </w:p>
        </w:tc>
        <w:tc>
          <w:tcPr>
            <w:tcW w:w="904" w:type="dxa"/>
            <w:vAlign w:val="center"/>
          </w:tcPr>
          <w:p w:rsidR="007567AD" w:rsidRPr="00FB0BD3" w:rsidRDefault="007567AD" w:rsidP="007567AD">
            <w:pPr>
              <w:spacing w:line="276" w:lineRule="auto"/>
              <w:jc w:val="center"/>
              <w:cnfStyle w:val="000000100000"/>
            </w:pPr>
            <w:r>
              <w:t>1,4</w:t>
            </w:r>
          </w:p>
        </w:tc>
        <w:tc>
          <w:tcPr>
            <w:tcW w:w="903" w:type="dxa"/>
            <w:vAlign w:val="center"/>
          </w:tcPr>
          <w:p w:rsidR="007567AD" w:rsidRPr="00FB0BD3" w:rsidRDefault="007567AD" w:rsidP="007567AD">
            <w:pPr>
              <w:spacing w:line="276" w:lineRule="auto"/>
              <w:jc w:val="center"/>
              <w:cnfStyle w:val="000000100000"/>
            </w:pPr>
            <w:r>
              <w:t>92,9</w:t>
            </w:r>
          </w:p>
        </w:tc>
        <w:tc>
          <w:tcPr>
            <w:tcW w:w="904" w:type="dxa"/>
            <w:vAlign w:val="center"/>
          </w:tcPr>
          <w:p w:rsidR="007567AD" w:rsidRPr="00FB0BD3" w:rsidRDefault="007567AD" w:rsidP="007567AD">
            <w:pPr>
              <w:spacing w:line="276" w:lineRule="auto"/>
              <w:jc w:val="center"/>
              <w:cnfStyle w:val="000000100000"/>
            </w:pPr>
            <w:r>
              <w:t>2,3</w:t>
            </w:r>
          </w:p>
        </w:tc>
        <w:tc>
          <w:tcPr>
            <w:tcW w:w="904" w:type="dxa"/>
            <w:vAlign w:val="center"/>
          </w:tcPr>
          <w:p w:rsidR="007567AD" w:rsidRPr="00FB0BD3" w:rsidRDefault="007567AD" w:rsidP="007567AD">
            <w:pPr>
              <w:spacing w:line="276" w:lineRule="auto"/>
              <w:jc w:val="center"/>
              <w:cnfStyle w:val="000000100000"/>
            </w:pPr>
            <w:r>
              <w:t>/</w:t>
            </w:r>
          </w:p>
        </w:tc>
        <w:tc>
          <w:tcPr>
            <w:tcW w:w="903" w:type="dxa"/>
            <w:vAlign w:val="center"/>
          </w:tcPr>
          <w:p w:rsidR="007567AD" w:rsidRPr="00FB0BD3" w:rsidRDefault="007567AD" w:rsidP="007567AD">
            <w:pPr>
              <w:spacing w:line="276" w:lineRule="auto"/>
              <w:jc w:val="center"/>
              <w:cnfStyle w:val="000000100000"/>
            </w:pPr>
            <w:r>
              <w:t>/</w:t>
            </w:r>
          </w:p>
        </w:tc>
        <w:tc>
          <w:tcPr>
            <w:tcW w:w="904" w:type="dxa"/>
            <w:vAlign w:val="center"/>
          </w:tcPr>
          <w:p w:rsidR="007567AD" w:rsidRPr="00FB0BD3" w:rsidRDefault="007567AD" w:rsidP="007567AD">
            <w:pPr>
              <w:spacing w:line="276" w:lineRule="auto"/>
              <w:jc w:val="center"/>
              <w:cnfStyle w:val="000000100000"/>
            </w:pPr>
            <w:r>
              <w:t>/</w:t>
            </w:r>
          </w:p>
        </w:tc>
        <w:tc>
          <w:tcPr>
            <w:tcW w:w="904" w:type="dxa"/>
            <w:vAlign w:val="center"/>
          </w:tcPr>
          <w:p w:rsidR="007567AD" w:rsidRPr="00FB0BD3" w:rsidRDefault="007567AD" w:rsidP="007567AD">
            <w:pPr>
              <w:spacing w:line="276" w:lineRule="auto"/>
              <w:jc w:val="center"/>
              <w:cnfStyle w:val="000000100000"/>
            </w:pPr>
            <w:r>
              <w:t>/</w:t>
            </w:r>
          </w:p>
        </w:tc>
      </w:tr>
    </w:tbl>
    <w:p w:rsidR="007567AD" w:rsidRDefault="007567AD" w:rsidP="00D33C02">
      <w:pPr>
        <w:spacing w:after="0"/>
        <w:jc w:val="both"/>
        <w:rPr>
          <w:rFonts w:ascii="Times New Roman" w:hAnsi="Times New Roman" w:cs="Times New Roman"/>
          <w:sz w:val="24"/>
          <w:szCs w:val="24"/>
        </w:rPr>
      </w:pPr>
    </w:p>
    <w:p w:rsidR="00D60732" w:rsidRDefault="007C6F3E" w:rsidP="0099762F">
      <w:pPr>
        <w:ind w:firstLine="720"/>
        <w:jc w:val="both"/>
        <w:rPr>
          <w:rFonts w:ascii="Times New Roman" w:hAnsi="Times New Roman" w:cs="Times New Roman"/>
          <w:sz w:val="24"/>
          <w:szCs w:val="24"/>
        </w:rPr>
      </w:pPr>
      <w:r w:rsidRPr="00B6147F">
        <w:rPr>
          <w:rFonts w:ascii="Times New Roman" w:hAnsi="Times New Roman" w:cs="Times New Roman"/>
          <w:sz w:val="24"/>
          <w:szCs w:val="24"/>
        </w:rPr>
        <w:t>Град Сомбор низ година уназад финансира рад удружења у Сомбору, пре свега културно-уметничких друштава. За рад КУД-ова и остале видове аматеризма, у 2019. години опреде</w:t>
      </w:r>
      <w:r w:rsidR="00F97F75" w:rsidRPr="00B6147F">
        <w:rPr>
          <w:rFonts w:ascii="Times New Roman" w:hAnsi="Times New Roman" w:cs="Times New Roman"/>
          <w:sz w:val="24"/>
          <w:szCs w:val="24"/>
        </w:rPr>
        <w:t>љена је подршка у вредности од 10.000</w:t>
      </w:r>
      <w:r w:rsidRPr="00B6147F">
        <w:rPr>
          <w:rFonts w:ascii="Times New Roman" w:hAnsi="Times New Roman" w:cs="Times New Roman"/>
          <w:sz w:val="24"/>
          <w:szCs w:val="24"/>
        </w:rPr>
        <w:t>.000,00 динара</w:t>
      </w:r>
      <w:r w:rsidR="00F97F75" w:rsidRPr="00B6147F">
        <w:rPr>
          <w:rFonts w:ascii="Times New Roman" w:hAnsi="Times New Roman" w:cs="Times New Roman"/>
          <w:sz w:val="24"/>
          <w:szCs w:val="24"/>
        </w:rPr>
        <w:t xml:space="preserve">. </w:t>
      </w:r>
      <w:r w:rsidR="00B42610" w:rsidRPr="00B6147F">
        <w:rPr>
          <w:rFonts w:ascii="Times New Roman" w:hAnsi="Times New Roman" w:cs="Times New Roman"/>
          <w:sz w:val="24"/>
          <w:szCs w:val="24"/>
        </w:rPr>
        <w:t>Конкурс је подељен на 4</w:t>
      </w:r>
      <w:r w:rsidRPr="00B6147F">
        <w:rPr>
          <w:rFonts w:ascii="Times New Roman" w:hAnsi="Times New Roman" w:cs="Times New Roman"/>
          <w:sz w:val="24"/>
          <w:szCs w:val="24"/>
        </w:rPr>
        <w:t xml:space="preserve"> линија подршке: 1. аматерско културно-уметничко стваралаштво, изворно народно стваралаштво и очување нематеријалног културног наслеђа; 2. књижевност (стваралаштво и издаваштво); 3. музика (стваралаштво, продукција, интерпретација, хорови); 4. ликовне и визуелне</w:t>
      </w:r>
      <w:r w:rsidR="00B42610" w:rsidRPr="00B6147F">
        <w:rPr>
          <w:rFonts w:ascii="Times New Roman" w:hAnsi="Times New Roman" w:cs="Times New Roman"/>
          <w:sz w:val="24"/>
          <w:szCs w:val="24"/>
        </w:rPr>
        <w:t xml:space="preserve"> уметности. Највећи број пројеката и највећа средства издвојена су за подршку </w:t>
      </w:r>
      <w:r w:rsidR="00B42610" w:rsidRPr="00B6147F">
        <w:rPr>
          <w:rFonts w:ascii="Times New Roman" w:hAnsi="Times New Roman" w:cs="Times New Roman"/>
          <w:sz w:val="24"/>
          <w:szCs w:val="24"/>
        </w:rPr>
        <w:lastRenderedPageBreak/>
        <w:t>народном стваралаштву и очувању нематеријалног културног наслеђа у оквиру кога се суфинансира годишњи рад и програми културно – уметничких друштава свих народа који живе на територији Сомбора</w:t>
      </w:r>
      <w:r w:rsidR="00890E31" w:rsidRPr="00B6147F">
        <w:rPr>
          <w:rFonts w:ascii="Times New Roman" w:hAnsi="Times New Roman" w:cs="Times New Roman"/>
          <w:sz w:val="24"/>
          <w:szCs w:val="24"/>
        </w:rPr>
        <w:t xml:space="preserve"> (Графикон 3)</w:t>
      </w:r>
      <w:r w:rsidR="00B42610" w:rsidRPr="00B6147F">
        <w:rPr>
          <w:rFonts w:ascii="Times New Roman" w:hAnsi="Times New Roman" w:cs="Times New Roman"/>
          <w:sz w:val="24"/>
          <w:szCs w:val="24"/>
        </w:rPr>
        <w:t xml:space="preserve">. </w:t>
      </w:r>
      <w:r w:rsidR="00890E31" w:rsidRPr="00335B82">
        <w:rPr>
          <w:rFonts w:ascii="Times New Roman" w:hAnsi="Times New Roman" w:cs="Times New Roman"/>
          <w:sz w:val="24"/>
          <w:szCs w:val="24"/>
        </w:rPr>
        <w:t xml:space="preserve">Међутим, сви представници удружења грађана сматрају да резултати конкурса </w:t>
      </w:r>
      <w:r w:rsidR="00890E31" w:rsidRPr="00D13C95">
        <w:rPr>
          <w:rFonts w:ascii="Times New Roman" w:hAnsi="Times New Roman" w:cs="Times New Roman"/>
          <w:sz w:val="24"/>
          <w:szCs w:val="24"/>
        </w:rPr>
        <w:t>нису</w:t>
      </w:r>
      <w:r w:rsidR="00335B82" w:rsidRPr="00D13C95">
        <w:rPr>
          <w:rFonts w:ascii="Times New Roman" w:hAnsi="Times New Roman" w:cs="Times New Roman"/>
          <w:sz w:val="24"/>
          <w:szCs w:val="24"/>
          <w:lang/>
        </w:rPr>
        <w:t xml:space="preserve"> довољно</w:t>
      </w:r>
      <w:r w:rsidR="00890E31" w:rsidRPr="00D13C95">
        <w:rPr>
          <w:rFonts w:ascii="Times New Roman" w:hAnsi="Times New Roman" w:cs="Times New Roman"/>
          <w:sz w:val="24"/>
          <w:szCs w:val="24"/>
        </w:rPr>
        <w:t xml:space="preserve"> транспарентни</w:t>
      </w:r>
      <w:r w:rsidR="00890E31" w:rsidRPr="00335B82">
        <w:rPr>
          <w:rFonts w:ascii="Times New Roman" w:hAnsi="Times New Roman" w:cs="Times New Roman"/>
          <w:sz w:val="24"/>
          <w:szCs w:val="24"/>
        </w:rPr>
        <w:t xml:space="preserve">, да није могуће сазнати за које потребе удружења грађана добијају новац и на који начин га троше, као и да не постоји евалуација подржаних пројеката. </w:t>
      </w:r>
      <w:r w:rsidR="000C0CB2" w:rsidRPr="00335B82">
        <w:rPr>
          <w:rFonts w:ascii="Times New Roman" w:hAnsi="Times New Roman" w:cs="Times New Roman"/>
          <w:sz w:val="24"/>
          <w:szCs w:val="24"/>
        </w:rPr>
        <w:t>Важно</w:t>
      </w:r>
      <w:r w:rsidR="000C0CB2" w:rsidRPr="00B6147F">
        <w:rPr>
          <w:rFonts w:ascii="Times New Roman" w:hAnsi="Times New Roman" w:cs="Times New Roman"/>
          <w:sz w:val="24"/>
          <w:szCs w:val="24"/>
        </w:rPr>
        <w:t xml:space="preserve"> је нагласити да</w:t>
      </w:r>
      <w:r w:rsidR="000C0CB2">
        <w:rPr>
          <w:rFonts w:ascii="Times New Roman" w:hAnsi="Times New Roman" w:cs="Times New Roman"/>
          <w:sz w:val="24"/>
          <w:szCs w:val="24"/>
        </w:rPr>
        <w:t xml:space="preserve"> највећи број удружења грађана у култури потребна финансијска средства обезбеђује од Градске управе Сомбор, док су у финансирање удружења грађана</w:t>
      </w:r>
      <w:r w:rsidR="009B5332">
        <w:rPr>
          <w:rFonts w:ascii="Times New Roman" w:hAnsi="Times New Roman" w:cs="Times New Roman"/>
          <w:sz w:val="24"/>
          <w:szCs w:val="24"/>
        </w:rPr>
        <w:t xml:space="preserve"> која су</w:t>
      </w:r>
      <w:r w:rsidR="000C0CB2">
        <w:rPr>
          <w:rFonts w:ascii="Times New Roman" w:hAnsi="Times New Roman" w:cs="Times New Roman"/>
          <w:sz w:val="24"/>
          <w:szCs w:val="24"/>
        </w:rPr>
        <w:t xml:space="preserve"> посвећена очувању наслеђа и савременог стваралаштва националних мањина </w:t>
      </w:r>
      <w:r w:rsidR="009B5332">
        <w:rPr>
          <w:rFonts w:ascii="Times New Roman" w:hAnsi="Times New Roman" w:cs="Times New Roman"/>
          <w:sz w:val="24"/>
          <w:szCs w:val="24"/>
        </w:rPr>
        <w:t>укључене и матичне државе. Ипак, удружења грађана ређе обезбеђују потребна средства</w:t>
      </w:r>
      <w:r w:rsidR="00B6147F">
        <w:rPr>
          <w:rFonts w:ascii="Times New Roman" w:hAnsi="Times New Roman" w:cs="Times New Roman"/>
          <w:sz w:val="24"/>
          <w:szCs w:val="24"/>
        </w:rPr>
        <w:t xml:space="preserve"> из других извора,</w:t>
      </w:r>
      <w:r w:rsidR="004E14CA">
        <w:rPr>
          <w:rFonts w:ascii="Times New Roman" w:hAnsi="Times New Roman" w:cs="Times New Roman"/>
          <w:sz w:val="24"/>
          <w:szCs w:val="24"/>
        </w:rPr>
        <w:t xml:space="preserve"> јер немају довољно знања о начинима конкурисања, пројектном финансирању и писању пројеката за подршку М</w:t>
      </w:r>
      <w:r w:rsidR="009B5332">
        <w:rPr>
          <w:rFonts w:ascii="Times New Roman" w:hAnsi="Times New Roman" w:cs="Times New Roman"/>
          <w:sz w:val="24"/>
          <w:szCs w:val="24"/>
        </w:rPr>
        <w:t xml:space="preserve">инистарства културе и информисања, Покрајинског секретаријата за културу, </w:t>
      </w:r>
      <w:r w:rsidR="009B5332" w:rsidRPr="009B5332">
        <w:rPr>
          <w:rFonts w:ascii="Times New Roman" w:hAnsi="Times New Roman" w:cs="Times New Roman"/>
          <w:sz w:val="24"/>
          <w:szCs w:val="24"/>
        </w:rPr>
        <w:t>јавно информисање и односе с верским заједницама</w:t>
      </w:r>
      <w:r w:rsidR="009B5332">
        <w:rPr>
          <w:rFonts w:ascii="Times New Roman" w:hAnsi="Times New Roman" w:cs="Times New Roman"/>
          <w:sz w:val="24"/>
          <w:szCs w:val="24"/>
        </w:rPr>
        <w:t xml:space="preserve"> и</w:t>
      </w:r>
      <w:r w:rsidR="004E14CA">
        <w:rPr>
          <w:rFonts w:ascii="Times New Roman" w:hAnsi="Times New Roman" w:cs="Times New Roman"/>
          <w:sz w:val="24"/>
          <w:szCs w:val="24"/>
        </w:rPr>
        <w:t xml:space="preserve"> међународних финансијера. </w:t>
      </w:r>
    </w:p>
    <w:p w:rsidR="00B25D2C" w:rsidRPr="00B25D2C" w:rsidRDefault="00B25D2C" w:rsidP="00B25D2C">
      <w:pPr>
        <w:spacing w:after="0"/>
        <w:jc w:val="both"/>
        <w:rPr>
          <w:rFonts w:ascii="Times New Roman" w:hAnsi="Times New Roman" w:cs="Times New Roman"/>
          <w:b/>
          <w:sz w:val="24"/>
          <w:szCs w:val="24"/>
        </w:rPr>
      </w:pPr>
      <w:r w:rsidRPr="00B25D2C">
        <w:rPr>
          <w:rFonts w:ascii="Times New Roman" w:hAnsi="Times New Roman" w:cs="Times New Roman"/>
          <w:b/>
          <w:sz w:val="24"/>
          <w:szCs w:val="24"/>
        </w:rPr>
        <w:t>Графикон 3: Јавни конкурс Града Сомбора, 2019. година</w:t>
      </w:r>
    </w:p>
    <w:p w:rsidR="00B25D2C" w:rsidRDefault="00B25D2C" w:rsidP="008419CC">
      <w:pPr>
        <w:spacing w:after="0"/>
        <w:jc w:val="both"/>
        <w:rPr>
          <w:rFonts w:ascii="Times New Roman" w:hAnsi="Times New Roman" w:cs="Times New Roman"/>
          <w:sz w:val="24"/>
          <w:szCs w:val="24"/>
        </w:rPr>
      </w:pPr>
      <w:r w:rsidRPr="008419CC">
        <w:rPr>
          <w:rFonts w:ascii="Times New Roman" w:hAnsi="Times New Roman" w:cs="Times New Roman"/>
          <w:noProof/>
          <w:color w:val="FF0000"/>
          <w:sz w:val="24"/>
          <w:szCs w:val="24"/>
        </w:rPr>
        <w:drawing>
          <wp:inline distT="0" distB="0" distL="0" distR="0">
            <wp:extent cx="5905500" cy="19621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762F" w:rsidRDefault="0099762F" w:rsidP="00B6147F">
      <w:pPr>
        <w:spacing w:after="0"/>
        <w:jc w:val="both"/>
        <w:rPr>
          <w:rFonts w:ascii="Times New Roman" w:hAnsi="Times New Roman" w:cs="Times New Roman"/>
          <w:b/>
          <w:sz w:val="24"/>
          <w:szCs w:val="24"/>
        </w:rPr>
      </w:pPr>
    </w:p>
    <w:p w:rsidR="002B257D" w:rsidRPr="008419CC" w:rsidRDefault="002B257D" w:rsidP="00B03CD2">
      <w:pPr>
        <w:pStyle w:val="Heading2"/>
        <w:numPr>
          <w:ilvl w:val="1"/>
          <w:numId w:val="13"/>
        </w:numPr>
        <w:rPr>
          <w:b/>
        </w:rPr>
      </w:pPr>
      <w:bookmarkStart w:id="18" w:name="_Toc36072294"/>
      <w:r w:rsidRPr="008419CC">
        <w:rPr>
          <w:b/>
        </w:rPr>
        <w:t>Програми и публика</w:t>
      </w:r>
      <w:bookmarkEnd w:id="18"/>
    </w:p>
    <w:p w:rsidR="0099762F" w:rsidRPr="0099762F" w:rsidRDefault="0099762F" w:rsidP="0099762F">
      <w:pPr>
        <w:spacing w:after="0"/>
      </w:pPr>
    </w:p>
    <w:p w:rsidR="00EE471A" w:rsidRDefault="00330A5B" w:rsidP="0099762F">
      <w:pPr>
        <w:ind w:firstLine="720"/>
        <w:jc w:val="both"/>
        <w:rPr>
          <w:rFonts w:ascii="Times New Roman" w:hAnsi="Times New Roman" w:cs="Times New Roman"/>
          <w:sz w:val="24"/>
          <w:szCs w:val="24"/>
        </w:rPr>
      </w:pPr>
      <w:r>
        <w:rPr>
          <w:rFonts w:ascii="Times New Roman" w:hAnsi="Times New Roman" w:cs="Times New Roman"/>
          <w:sz w:val="24"/>
          <w:szCs w:val="24"/>
        </w:rPr>
        <w:t>Током консултативног процеса с</w:t>
      </w:r>
      <w:r w:rsidRPr="00330A5B">
        <w:rPr>
          <w:rFonts w:ascii="Times New Roman" w:hAnsi="Times New Roman" w:cs="Times New Roman"/>
          <w:sz w:val="24"/>
          <w:szCs w:val="24"/>
        </w:rPr>
        <w:t xml:space="preserve">ви учесници разговора </w:t>
      </w:r>
      <w:r w:rsidR="00B6147F">
        <w:rPr>
          <w:rFonts w:ascii="Times New Roman" w:hAnsi="Times New Roman" w:cs="Times New Roman"/>
          <w:sz w:val="24"/>
          <w:szCs w:val="24"/>
        </w:rPr>
        <w:t>одржаних</w:t>
      </w:r>
      <w:r w:rsidRPr="00330A5B">
        <w:rPr>
          <w:rFonts w:ascii="Times New Roman" w:hAnsi="Times New Roman" w:cs="Times New Roman"/>
          <w:sz w:val="24"/>
          <w:szCs w:val="24"/>
        </w:rPr>
        <w:t xml:space="preserve"> у Сомбору истакли су да је публика активна и едукована</w:t>
      </w:r>
      <w:r w:rsidR="006C3567">
        <w:rPr>
          <w:rFonts w:ascii="Times New Roman" w:hAnsi="Times New Roman" w:cs="Times New Roman"/>
          <w:sz w:val="24"/>
          <w:szCs w:val="24"/>
        </w:rPr>
        <w:t xml:space="preserve"> (Табела 5)</w:t>
      </w:r>
      <w:r w:rsidRPr="00330A5B">
        <w:rPr>
          <w:rFonts w:ascii="Times New Roman" w:hAnsi="Times New Roman" w:cs="Times New Roman"/>
          <w:sz w:val="24"/>
          <w:szCs w:val="24"/>
        </w:rPr>
        <w:t>, те да је ре</w:t>
      </w:r>
      <w:r w:rsidR="00657C07">
        <w:rPr>
          <w:rFonts w:ascii="Times New Roman" w:hAnsi="Times New Roman" w:cs="Times New Roman"/>
          <w:sz w:val="24"/>
          <w:szCs w:val="24"/>
        </w:rPr>
        <w:t xml:space="preserve">тко који садржај слабо посећен, због чега </w:t>
      </w:r>
      <w:r w:rsidR="00FE3CF3">
        <w:rPr>
          <w:rFonts w:ascii="Times New Roman" w:hAnsi="Times New Roman" w:cs="Times New Roman"/>
          <w:sz w:val="24"/>
          <w:szCs w:val="24"/>
        </w:rPr>
        <w:t>63,9</w:t>
      </w:r>
      <w:r w:rsidR="00657C07">
        <w:rPr>
          <w:rFonts w:ascii="Times New Roman" w:hAnsi="Times New Roman" w:cs="Times New Roman"/>
          <w:sz w:val="24"/>
          <w:szCs w:val="24"/>
        </w:rPr>
        <w:t xml:space="preserve">% анкетираних грађана сматра да културна понуда у Сомбору задовољава потребе публике. </w:t>
      </w:r>
      <w:r w:rsidR="00FA5633">
        <w:rPr>
          <w:rFonts w:ascii="Times New Roman" w:hAnsi="Times New Roman" w:cs="Times New Roman"/>
          <w:sz w:val="24"/>
          <w:szCs w:val="24"/>
        </w:rPr>
        <w:t>Међу запосленима у установама културе</w:t>
      </w:r>
      <w:r w:rsidR="00866C12">
        <w:rPr>
          <w:rFonts w:ascii="Times New Roman" w:hAnsi="Times New Roman" w:cs="Times New Roman"/>
          <w:sz w:val="24"/>
          <w:szCs w:val="24"/>
        </w:rPr>
        <w:t xml:space="preserve"> 58,1% је задовољно културном понудом у Сомбору, али, са друге стране 14% исказује своје незадовољство културном понудом у граду. </w:t>
      </w:r>
      <w:r w:rsidRPr="00330A5B">
        <w:rPr>
          <w:rFonts w:ascii="Times New Roman" w:hAnsi="Times New Roman" w:cs="Times New Roman"/>
          <w:sz w:val="24"/>
          <w:szCs w:val="24"/>
        </w:rPr>
        <w:t xml:space="preserve">Без обзира на етнички мешовито становништво Сомбора, односно на </w:t>
      </w:r>
      <w:r w:rsidR="0078431C">
        <w:rPr>
          <w:rFonts w:ascii="Times New Roman" w:hAnsi="Times New Roman" w:cs="Times New Roman"/>
          <w:sz w:val="24"/>
          <w:szCs w:val="24"/>
        </w:rPr>
        <w:t xml:space="preserve">етничку припадност посетилаца, </w:t>
      </w:r>
      <w:r w:rsidRPr="00330A5B">
        <w:rPr>
          <w:rFonts w:ascii="Times New Roman" w:hAnsi="Times New Roman" w:cs="Times New Roman"/>
          <w:sz w:val="24"/>
          <w:szCs w:val="24"/>
        </w:rPr>
        <w:t xml:space="preserve">публика није национално подвојена. </w:t>
      </w:r>
      <w:r w:rsidR="00FE3CF3">
        <w:rPr>
          <w:rFonts w:ascii="Times New Roman" w:hAnsi="Times New Roman" w:cs="Times New Roman"/>
          <w:sz w:val="24"/>
          <w:szCs w:val="24"/>
        </w:rPr>
        <w:t xml:space="preserve">Ипак, грађани готово у изједначеном проценту све програме установа оцењују или као занимљиве или увек исте, док су само програми Народног позоришта оцењени као занимљиви. </w:t>
      </w:r>
      <w:r w:rsidR="00F12C91">
        <w:rPr>
          <w:rFonts w:ascii="Times New Roman" w:hAnsi="Times New Roman" w:cs="Times New Roman"/>
          <w:sz w:val="24"/>
          <w:szCs w:val="24"/>
        </w:rPr>
        <w:t>Установе културе не спроводе истраживања потреба публике</w:t>
      </w:r>
      <w:r w:rsidR="000833BD">
        <w:rPr>
          <w:rStyle w:val="FootnoteReference"/>
          <w:rFonts w:ascii="Times New Roman" w:hAnsi="Times New Roman" w:cs="Times New Roman"/>
          <w:sz w:val="24"/>
          <w:szCs w:val="24"/>
        </w:rPr>
        <w:footnoteReference w:id="27"/>
      </w:r>
      <w:r w:rsidR="00F12C91">
        <w:rPr>
          <w:rFonts w:ascii="Times New Roman" w:hAnsi="Times New Roman" w:cs="Times New Roman"/>
          <w:sz w:val="24"/>
          <w:szCs w:val="24"/>
        </w:rPr>
        <w:t xml:space="preserve">, док </w:t>
      </w:r>
      <w:r w:rsidR="00A4088C">
        <w:rPr>
          <w:rFonts w:ascii="Times New Roman" w:hAnsi="Times New Roman" w:cs="Times New Roman"/>
          <w:sz w:val="24"/>
          <w:szCs w:val="24"/>
        </w:rPr>
        <w:t xml:space="preserve">је Градска управа 2015. и 2018. године спровела истраживања културних потреба и навика грађана, на мањем узорку, али се поставља питање колико су резултате тих анкета користиле </w:t>
      </w:r>
      <w:r w:rsidR="00A4088C">
        <w:rPr>
          <w:rFonts w:ascii="Times New Roman" w:hAnsi="Times New Roman" w:cs="Times New Roman"/>
          <w:sz w:val="24"/>
          <w:szCs w:val="24"/>
        </w:rPr>
        <w:lastRenderedPageBreak/>
        <w:t xml:space="preserve">установе културе и удружења грађана приликом креирања програма. Анкетирање грађана спроведено за потребе израде Стратегије развоја културе Града Сомбора је показало да </w:t>
      </w:r>
      <w:r w:rsidR="00796442">
        <w:rPr>
          <w:rFonts w:ascii="Times New Roman" w:hAnsi="Times New Roman" w:cs="Times New Roman"/>
          <w:sz w:val="24"/>
          <w:szCs w:val="24"/>
        </w:rPr>
        <w:t>испитаници сматрају да програми установа ку</w:t>
      </w:r>
      <w:r w:rsidR="000833BD">
        <w:rPr>
          <w:rFonts w:ascii="Times New Roman" w:hAnsi="Times New Roman" w:cs="Times New Roman"/>
          <w:sz w:val="24"/>
          <w:szCs w:val="24"/>
        </w:rPr>
        <w:t xml:space="preserve">лтуре нису модерни и иновативни, што би, према мишљењу запослених у установама културе, требало да буду једни од императива у програмској политици установа. </w:t>
      </w:r>
    </w:p>
    <w:p w:rsidR="00EE471A" w:rsidRPr="00EE471A" w:rsidRDefault="00EE471A" w:rsidP="00EE471A">
      <w:pPr>
        <w:spacing w:after="0"/>
        <w:rPr>
          <w:rFonts w:ascii="Times New Roman" w:hAnsi="Times New Roman" w:cs="Times New Roman"/>
          <w:b/>
          <w:sz w:val="24"/>
          <w:szCs w:val="24"/>
        </w:rPr>
      </w:pPr>
      <w:r w:rsidRPr="00EE471A">
        <w:rPr>
          <w:rFonts w:ascii="Times New Roman" w:hAnsi="Times New Roman" w:cs="Times New Roman"/>
          <w:b/>
          <w:sz w:val="24"/>
          <w:szCs w:val="24"/>
        </w:rPr>
        <w:t xml:space="preserve">Табела 5: Посећеност програма установа културе, </w:t>
      </w:r>
      <w:r w:rsidRPr="006C6FB5">
        <w:rPr>
          <w:rFonts w:ascii="Times New Roman" w:hAnsi="Times New Roman" w:cs="Times New Roman"/>
          <w:b/>
          <w:sz w:val="24"/>
          <w:szCs w:val="24"/>
        </w:rPr>
        <w:t>201</w:t>
      </w:r>
      <w:r w:rsidR="006C6FB5" w:rsidRPr="006C6FB5">
        <w:rPr>
          <w:rFonts w:ascii="Times New Roman" w:hAnsi="Times New Roman" w:cs="Times New Roman"/>
          <w:b/>
          <w:sz w:val="24"/>
          <w:szCs w:val="24"/>
          <w:lang/>
        </w:rPr>
        <w:t>9</w:t>
      </w:r>
      <w:r w:rsidRPr="006C6FB5">
        <w:rPr>
          <w:rFonts w:ascii="Times New Roman" w:hAnsi="Times New Roman" w:cs="Times New Roman"/>
          <w:b/>
          <w:sz w:val="24"/>
          <w:szCs w:val="24"/>
        </w:rPr>
        <w:t>. година</w:t>
      </w:r>
    </w:p>
    <w:tbl>
      <w:tblPr>
        <w:tblStyle w:val="GridTable4-Accent11"/>
        <w:tblW w:w="7650" w:type="dxa"/>
        <w:jc w:val="center"/>
        <w:tblLook w:val="04A0"/>
      </w:tblPr>
      <w:tblGrid>
        <w:gridCol w:w="4253"/>
        <w:gridCol w:w="3397"/>
      </w:tblGrid>
      <w:tr w:rsidR="00EE471A" w:rsidRPr="00EE471A" w:rsidTr="0099762F">
        <w:trPr>
          <w:cnfStyle w:val="100000000000"/>
          <w:trHeight w:val="361"/>
          <w:jc w:val="center"/>
        </w:trPr>
        <w:tc>
          <w:tcPr>
            <w:cnfStyle w:val="001000000000"/>
            <w:tcW w:w="4253" w:type="dxa"/>
            <w:vAlign w:val="center"/>
          </w:tcPr>
          <w:p w:rsidR="00EE471A" w:rsidRPr="00EE471A" w:rsidRDefault="0099762F" w:rsidP="0099762F">
            <w:pPr>
              <w:spacing w:line="259" w:lineRule="auto"/>
              <w:jc w:val="center"/>
            </w:pPr>
            <w:r>
              <w:t>У</w:t>
            </w:r>
            <w:r w:rsidR="00EE471A" w:rsidRPr="00EE471A">
              <w:t>станова културе</w:t>
            </w:r>
          </w:p>
        </w:tc>
        <w:tc>
          <w:tcPr>
            <w:tcW w:w="3397" w:type="dxa"/>
            <w:vAlign w:val="center"/>
          </w:tcPr>
          <w:p w:rsidR="00EE471A" w:rsidRPr="00EE471A" w:rsidRDefault="00EE471A" w:rsidP="006C6FB5">
            <w:pPr>
              <w:spacing w:line="259" w:lineRule="auto"/>
              <w:jc w:val="center"/>
              <w:cnfStyle w:val="100000000000"/>
            </w:pPr>
            <w:r w:rsidRPr="00EE471A">
              <w:t xml:space="preserve">Број посетилаца у </w:t>
            </w:r>
            <w:r w:rsidRPr="006C6FB5">
              <w:t>201</w:t>
            </w:r>
            <w:r w:rsidR="006C6FB5" w:rsidRPr="006C6FB5">
              <w:rPr>
                <w:lang/>
              </w:rPr>
              <w:t>9</w:t>
            </w:r>
            <w:r w:rsidRPr="006C6FB5">
              <w:t>.</w:t>
            </w:r>
            <w:r w:rsidRPr="00EE471A">
              <w:t xml:space="preserve"> години</w:t>
            </w:r>
          </w:p>
        </w:tc>
      </w:tr>
      <w:tr w:rsidR="00EE471A" w:rsidRPr="00EE471A" w:rsidTr="0099762F">
        <w:trPr>
          <w:cnfStyle w:val="000000100000"/>
          <w:trHeight w:val="242"/>
          <w:jc w:val="center"/>
        </w:trPr>
        <w:tc>
          <w:tcPr>
            <w:cnfStyle w:val="001000000000"/>
            <w:tcW w:w="4253" w:type="dxa"/>
            <w:vAlign w:val="center"/>
          </w:tcPr>
          <w:p w:rsidR="00EE471A" w:rsidRPr="00EE471A" w:rsidRDefault="00EE471A" w:rsidP="0099762F">
            <w:pPr>
              <w:spacing w:line="259" w:lineRule="auto"/>
              <w:jc w:val="center"/>
            </w:pPr>
            <w:r w:rsidRPr="00EE471A">
              <w:t>Народно позориште Сомбор</w:t>
            </w:r>
          </w:p>
        </w:tc>
        <w:tc>
          <w:tcPr>
            <w:tcW w:w="3397" w:type="dxa"/>
            <w:vAlign w:val="center"/>
          </w:tcPr>
          <w:p w:rsidR="00EE471A" w:rsidRPr="007065E6" w:rsidRDefault="007065E6" w:rsidP="0099762F">
            <w:pPr>
              <w:spacing w:line="259" w:lineRule="auto"/>
              <w:jc w:val="center"/>
              <w:cnfStyle w:val="000000100000"/>
              <w:rPr>
                <w:lang/>
              </w:rPr>
            </w:pPr>
            <w:r>
              <w:rPr>
                <w:lang/>
              </w:rPr>
              <w:t>29.371</w:t>
            </w:r>
          </w:p>
        </w:tc>
      </w:tr>
      <w:tr w:rsidR="00EE471A" w:rsidRPr="00EE471A" w:rsidTr="0099762F">
        <w:trPr>
          <w:trHeight w:val="242"/>
          <w:jc w:val="center"/>
        </w:trPr>
        <w:tc>
          <w:tcPr>
            <w:cnfStyle w:val="001000000000"/>
            <w:tcW w:w="4253" w:type="dxa"/>
            <w:vAlign w:val="center"/>
          </w:tcPr>
          <w:p w:rsidR="00EE471A" w:rsidRPr="00EE471A" w:rsidRDefault="00EE471A" w:rsidP="0099762F">
            <w:pPr>
              <w:spacing w:line="259" w:lineRule="auto"/>
              <w:jc w:val="center"/>
            </w:pPr>
            <w:r w:rsidRPr="00EE471A">
              <w:t>Градска библиотека „Карло Бијелицки“</w:t>
            </w:r>
          </w:p>
        </w:tc>
        <w:tc>
          <w:tcPr>
            <w:tcW w:w="3397" w:type="dxa"/>
            <w:vAlign w:val="center"/>
          </w:tcPr>
          <w:p w:rsidR="00EE471A" w:rsidRPr="00711A66" w:rsidRDefault="00711A66" w:rsidP="0099762F">
            <w:pPr>
              <w:spacing w:line="259" w:lineRule="auto"/>
              <w:jc w:val="center"/>
              <w:cnfStyle w:val="000000000000"/>
              <w:rPr>
                <w:lang/>
              </w:rPr>
            </w:pPr>
            <w:r>
              <w:rPr>
                <w:lang/>
              </w:rPr>
              <w:t>7.397</w:t>
            </w:r>
          </w:p>
        </w:tc>
      </w:tr>
      <w:tr w:rsidR="00EE471A" w:rsidRPr="00EE471A" w:rsidTr="0099762F">
        <w:trPr>
          <w:cnfStyle w:val="000000100000"/>
          <w:trHeight w:val="225"/>
          <w:jc w:val="center"/>
        </w:trPr>
        <w:tc>
          <w:tcPr>
            <w:cnfStyle w:val="001000000000"/>
            <w:tcW w:w="4253" w:type="dxa"/>
            <w:vAlign w:val="center"/>
          </w:tcPr>
          <w:p w:rsidR="00EE471A" w:rsidRPr="00EE471A" w:rsidRDefault="00EE471A" w:rsidP="0099762F">
            <w:pPr>
              <w:spacing w:line="259" w:lineRule="auto"/>
              <w:jc w:val="center"/>
            </w:pPr>
            <w:r w:rsidRPr="00EE471A">
              <w:t>Градски музеј Сомбор</w:t>
            </w:r>
          </w:p>
        </w:tc>
        <w:tc>
          <w:tcPr>
            <w:tcW w:w="3397" w:type="dxa"/>
            <w:vAlign w:val="center"/>
          </w:tcPr>
          <w:p w:rsidR="00EE471A" w:rsidRPr="00EE471A" w:rsidRDefault="00EE471A" w:rsidP="0099762F">
            <w:pPr>
              <w:spacing w:line="259" w:lineRule="auto"/>
              <w:jc w:val="center"/>
              <w:cnfStyle w:val="000000100000"/>
            </w:pPr>
            <w:r w:rsidRPr="00EE471A">
              <w:t>2.375</w:t>
            </w:r>
          </w:p>
        </w:tc>
      </w:tr>
      <w:tr w:rsidR="00EE471A" w:rsidRPr="00EE471A" w:rsidTr="0099762F">
        <w:trPr>
          <w:trHeight w:val="231"/>
          <w:jc w:val="center"/>
        </w:trPr>
        <w:tc>
          <w:tcPr>
            <w:cnfStyle w:val="001000000000"/>
            <w:tcW w:w="4253" w:type="dxa"/>
            <w:vAlign w:val="center"/>
          </w:tcPr>
          <w:p w:rsidR="00EE471A" w:rsidRPr="00EE471A" w:rsidRDefault="00EE471A" w:rsidP="0099762F">
            <w:pPr>
              <w:spacing w:line="259" w:lineRule="auto"/>
              <w:jc w:val="center"/>
            </w:pPr>
            <w:r w:rsidRPr="00EE471A">
              <w:t>Историјски архив Сомбор</w:t>
            </w:r>
          </w:p>
        </w:tc>
        <w:tc>
          <w:tcPr>
            <w:tcW w:w="3397" w:type="dxa"/>
            <w:vAlign w:val="center"/>
          </w:tcPr>
          <w:p w:rsidR="00EE471A" w:rsidRPr="00EE471A" w:rsidRDefault="00EE471A" w:rsidP="0099762F">
            <w:pPr>
              <w:spacing w:line="259" w:lineRule="auto"/>
              <w:jc w:val="center"/>
              <w:cnfStyle w:val="000000000000"/>
            </w:pPr>
            <w:r w:rsidRPr="00EE471A">
              <w:t>150</w:t>
            </w:r>
          </w:p>
        </w:tc>
      </w:tr>
      <w:tr w:rsidR="00EE471A" w:rsidRPr="00EE471A" w:rsidTr="0099762F">
        <w:trPr>
          <w:cnfStyle w:val="000000100000"/>
          <w:trHeight w:val="70"/>
          <w:jc w:val="center"/>
        </w:trPr>
        <w:tc>
          <w:tcPr>
            <w:cnfStyle w:val="001000000000"/>
            <w:tcW w:w="4253" w:type="dxa"/>
            <w:vAlign w:val="center"/>
          </w:tcPr>
          <w:p w:rsidR="00EE471A" w:rsidRPr="00EE471A" w:rsidRDefault="00EE471A" w:rsidP="0099762F">
            <w:pPr>
              <w:spacing w:line="259" w:lineRule="auto"/>
              <w:jc w:val="center"/>
            </w:pPr>
            <w:r w:rsidRPr="00EE471A">
              <w:t>Галерија „Милан Коњовић“</w:t>
            </w:r>
          </w:p>
        </w:tc>
        <w:tc>
          <w:tcPr>
            <w:tcW w:w="3397" w:type="dxa"/>
            <w:vAlign w:val="center"/>
          </w:tcPr>
          <w:p w:rsidR="00EE471A" w:rsidRPr="00EE471A" w:rsidRDefault="00EE471A" w:rsidP="0099762F">
            <w:pPr>
              <w:spacing w:line="259" w:lineRule="auto"/>
              <w:jc w:val="center"/>
              <w:cnfStyle w:val="000000100000"/>
            </w:pPr>
            <w:r w:rsidRPr="00EE471A">
              <w:t>12.000</w:t>
            </w:r>
          </w:p>
        </w:tc>
      </w:tr>
      <w:tr w:rsidR="00EE471A" w:rsidRPr="00EE471A" w:rsidTr="0099762F">
        <w:trPr>
          <w:trHeight w:val="242"/>
          <w:jc w:val="center"/>
        </w:trPr>
        <w:tc>
          <w:tcPr>
            <w:cnfStyle w:val="001000000000"/>
            <w:tcW w:w="4253" w:type="dxa"/>
            <w:vAlign w:val="center"/>
          </w:tcPr>
          <w:p w:rsidR="00EE471A" w:rsidRPr="00EE471A" w:rsidRDefault="00EE471A" w:rsidP="0099762F">
            <w:pPr>
              <w:spacing w:line="259" w:lineRule="auto"/>
              <w:jc w:val="center"/>
            </w:pPr>
            <w:r w:rsidRPr="00EE471A">
              <w:t>Културни центар „Лаза Костић“</w:t>
            </w:r>
          </w:p>
        </w:tc>
        <w:tc>
          <w:tcPr>
            <w:tcW w:w="3397" w:type="dxa"/>
            <w:vAlign w:val="center"/>
          </w:tcPr>
          <w:p w:rsidR="00EE471A" w:rsidRPr="00EE471A" w:rsidRDefault="00EE471A" w:rsidP="0099762F">
            <w:pPr>
              <w:spacing w:line="259" w:lineRule="auto"/>
              <w:jc w:val="center"/>
              <w:cnfStyle w:val="000000000000"/>
            </w:pPr>
            <w:r w:rsidRPr="00EE471A">
              <w:t>19.600</w:t>
            </w:r>
          </w:p>
        </w:tc>
      </w:tr>
    </w:tbl>
    <w:p w:rsidR="00EE471A" w:rsidRDefault="00EE471A" w:rsidP="00B6147F">
      <w:pPr>
        <w:spacing w:after="0"/>
        <w:jc w:val="both"/>
        <w:rPr>
          <w:rFonts w:ascii="Times New Roman" w:hAnsi="Times New Roman" w:cs="Times New Roman"/>
          <w:sz w:val="24"/>
          <w:szCs w:val="24"/>
        </w:rPr>
      </w:pPr>
    </w:p>
    <w:p w:rsidR="002102A2" w:rsidRDefault="00B6147F" w:rsidP="0099762F">
      <w:pPr>
        <w:ind w:firstLine="720"/>
        <w:jc w:val="both"/>
        <w:rPr>
          <w:rFonts w:ascii="Times New Roman" w:hAnsi="Times New Roman" w:cs="Times New Roman"/>
          <w:sz w:val="24"/>
          <w:szCs w:val="24"/>
        </w:rPr>
      </w:pPr>
      <w:r>
        <w:rPr>
          <w:rFonts w:ascii="Times New Roman" w:hAnsi="Times New Roman" w:cs="Times New Roman"/>
          <w:sz w:val="24"/>
          <w:szCs w:val="24"/>
        </w:rPr>
        <w:t>К</w:t>
      </w:r>
      <w:r w:rsidR="006C3567">
        <w:rPr>
          <w:rFonts w:ascii="Times New Roman" w:hAnsi="Times New Roman" w:cs="Times New Roman"/>
          <w:sz w:val="24"/>
          <w:szCs w:val="24"/>
        </w:rPr>
        <w:t xml:space="preserve">ултурном понудом су највише задовољни грађани који припадају средњој генерацији (од 31 до 49 година) – 41,7%, док свега петина младих сматра да у Сомбору има довољно културних програма који задовољавају њихове потребе (Графикон 4). Учесници фокус група су у консултативном процесу истакли да се највећи број програма реализује за грађане који имају више од 30 година. </w:t>
      </w:r>
      <w:r w:rsidR="00311D26">
        <w:rPr>
          <w:rFonts w:ascii="Times New Roman" w:hAnsi="Times New Roman" w:cs="Times New Roman"/>
          <w:sz w:val="24"/>
          <w:szCs w:val="24"/>
        </w:rPr>
        <w:t xml:space="preserve">Када је реч о младима, веома је важно нагласити да 32% младих не зна да ли у Сомбору постоји довољно културних програма који задовољавају њихове потребе, што наводи на закључак да </w:t>
      </w:r>
      <w:r w:rsidR="007E041B">
        <w:rPr>
          <w:rFonts w:ascii="Times New Roman" w:hAnsi="Times New Roman" w:cs="Times New Roman"/>
          <w:sz w:val="24"/>
          <w:szCs w:val="24"/>
        </w:rPr>
        <w:t>млади нису заинтересовани за програме из културе, те  се могу сматрати принудном публиком</w:t>
      </w:r>
      <w:r w:rsidR="007E041B">
        <w:rPr>
          <w:rStyle w:val="FootnoteReference"/>
          <w:rFonts w:ascii="Times New Roman" w:hAnsi="Times New Roman" w:cs="Times New Roman"/>
          <w:sz w:val="24"/>
          <w:szCs w:val="24"/>
        </w:rPr>
        <w:footnoteReference w:id="28"/>
      </w:r>
      <w:r w:rsidR="002102A2">
        <w:rPr>
          <w:rFonts w:ascii="Times New Roman" w:hAnsi="Times New Roman" w:cs="Times New Roman"/>
          <w:sz w:val="24"/>
          <w:szCs w:val="24"/>
        </w:rPr>
        <w:t xml:space="preserve">. </w:t>
      </w:r>
    </w:p>
    <w:p w:rsidR="002375D2" w:rsidRPr="002375D2" w:rsidRDefault="002375D2" w:rsidP="0099762F">
      <w:pPr>
        <w:spacing w:after="0"/>
        <w:jc w:val="both"/>
        <w:rPr>
          <w:rFonts w:ascii="Times New Roman" w:hAnsi="Times New Roman" w:cs="Times New Roman"/>
          <w:b/>
          <w:sz w:val="24"/>
          <w:szCs w:val="24"/>
        </w:rPr>
      </w:pPr>
      <w:r w:rsidRPr="002375D2">
        <w:rPr>
          <w:rFonts w:ascii="Times New Roman" w:hAnsi="Times New Roman" w:cs="Times New Roman"/>
          <w:b/>
          <w:sz w:val="24"/>
          <w:szCs w:val="24"/>
        </w:rPr>
        <w:t>Графикон 4: Задовољство грађана културном понудом у Сомбору</w:t>
      </w:r>
    </w:p>
    <w:p w:rsidR="002375D2" w:rsidRDefault="002375D2" w:rsidP="00330A5B">
      <w:pPr>
        <w:jc w:val="both"/>
        <w:rPr>
          <w:rFonts w:ascii="Times New Roman" w:hAnsi="Times New Roman" w:cs="Times New Roman"/>
          <w:sz w:val="24"/>
          <w:szCs w:val="24"/>
        </w:rPr>
      </w:pPr>
      <w:r w:rsidRPr="002375D2">
        <w:rPr>
          <w:rFonts w:ascii="Times New Roman" w:hAnsi="Times New Roman" w:cs="Times New Roman"/>
          <w:noProof/>
          <w:sz w:val="24"/>
          <w:szCs w:val="24"/>
          <w:shd w:val="clear" w:color="auto" w:fill="92D050"/>
        </w:rPr>
        <w:drawing>
          <wp:inline distT="0" distB="0" distL="0" distR="0">
            <wp:extent cx="5867400" cy="15525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1CB5" w:rsidRDefault="00A41CB5" w:rsidP="0099762F">
      <w:pPr>
        <w:ind w:firstLine="720"/>
        <w:jc w:val="both"/>
        <w:rPr>
          <w:rFonts w:ascii="Times New Roman" w:hAnsi="Times New Roman" w:cs="Times New Roman"/>
          <w:sz w:val="24"/>
          <w:szCs w:val="24"/>
        </w:rPr>
      </w:pPr>
      <w:r>
        <w:rPr>
          <w:rFonts w:ascii="Times New Roman" w:hAnsi="Times New Roman" w:cs="Times New Roman"/>
          <w:sz w:val="24"/>
          <w:szCs w:val="24"/>
        </w:rPr>
        <w:t>А</w:t>
      </w:r>
      <w:r w:rsidRPr="00A41CB5">
        <w:rPr>
          <w:rFonts w:ascii="Times New Roman" w:hAnsi="Times New Roman" w:cs="Times New Roman"/>
          <w:sz w:val="24"/>
          <w:szCs w:val="24"/>
        </w:rPr>
        <w:t>нкетирани у установама културе су највишом оценом оценили заступљеност програма за старије од 60 година, а затим за децу од 8 до 12 година, док је најниже оцењена заступљеност</w:t>
      </w:r>
      <w:r w:rsidR="00DA23DE">
        <w:rPr>
          <w:rFonts w:ascii="Times New Roman" w:hAnsi="Times New Roman" w:cs="Times New Roman"/>
          <w:sz w:val="24"/>
          <w:szCs w:val="24"/>
        </w:rPr>
        <w:t xml:space="preserve"> програма</w:t>
      </w:r>
      <w:r w:rsidRPr="00A41CB5">
        <w:rPr>
          <w:rFonts w:ascii="Times New Roman" w:hAnsi="Times New Roman" w:cs="Times New Roman"/>
          <w:sz w:val="24"/>
          <w:szCs w:val="24"/>
        </w:rPr>
        <w:t xml:space="preserve"> за тинејџере, социјално угрожене кате</w:t>
      </w:r>
      <w:r>
        <w:rPr>
          <w:rFonts w:ascii="Times New Roman" w:hAnsi="Times New Roman" w:cs="Times New Roman"/>
          <w:sz w:val="24"/>
          <w:szCs w:val="24"/>
        </w:rPr>
        <w:t>горије и особе са инвалидитетом</w:t>
      </w:r>
      <w:r>
        <w:rPr>
          <w:rStyle w:val="FootnoteReference"/>
          <w:rFonts w:ascii="Times New Roman" w:hAnsi="Times New Roman" w:cs="Times New Roman"/>
          <w:sz w:val="24"/>
          <w:szCs w:val="24"/>
        </w:rPr>
        <w:footnoteReference w:id="29"/>
      </w:r>
      <w:r w:rsidR="00103BA9">
        <w:rPr>
          <w:rFonts w:ascii="Times New Roman" w:hAnsi="Times New Roman" w:cs="Times New Roman"/>
          <w:sz w:val="24"/>
          <w:szCs w:val="24"/>
        </w:rPr>
        <w:t xml:space="preserve">. Да програми за особе са инвалидитетом нису довољно заступљени сматра  37,9% грађана. </w:t>
      </w:r>
      <w:r w:rsidR="00DA23DE">
        <w:rPr>
          <w:rFonts w:ascii="Times New Roman" w:hAnsi="Times New Roman" w:cs="Times New Roman"/>
          <w:sz w:val="24"/>
          <w:szCs w:val="24"/>
        </w:rPr>
        <w:t xml:space="preserve">Са ставом да у културној понуди нису довољно заступљени </w:t>
      </w:r>
      <w:r w:rsidR="00C4390F">
        <w:rPr>
          <w:rFonts w:ascii="Times New Roman" w:hAnsi="Times New Roman" w:cs="Times New Roman"/>
          <w:sz w:val="24"/>
          <w:szCs w:val="24"/>
        </w:rPr>
        <w:t xml:space="preserve">програми за младе слаже се 54,6% анкетираних грађана, односно 34,6% грађана који </w:t>
      </w:r>
      <w:r w:rsidR="00C4390F">
        <w:rPr>
          <w:rFonts w:ascii="Times New Roman" w:hAnsi="Times New Roman" w:cs="Times New Roman"/>
          <w:sz w:val="24"/>
          <w:szCs w:val="24"/>
        </w:rPr>
        <w:lastRenderedPageBreak/>
        <w:t>припадају млађој генерацији сматра да уопште не пост</w:t>
      </w:r>
      <w:r w:rsidR="00FE3CF3">
        <w:rPr>
          <w:rFonts w:ascii="Times New Roman" w:hAnsi="Times New Roman" w:cs="Times New Roman"/>
          <w:sz w:val="24"/>
          <w:szCs w:val="24"/>
        </w:rPr>
        <w:t>оје програми за младе у Сомбору, те је 66,7% младих веома незадовољно свеукупном културном понудом у Сомбору.</w:t>
      </w:r>
      <w:r w:rsidR="000833BD">
        <w:rPr>
          <w:rFonts w:ascii="Times New Roman" w:hAnsi="Times New Roman" w:cs="Times New Roman"/>
          <w:sz w:val="24"/>
          <w:szCs w:val="24"/>
        </w:rPr>
        <w:t>Запослени у установама културе су као први пр</w:t>
      </w:r>
      <w:r w:rsidR="00C96CB3">
        <w:rPr>
          <w:rFonts w:ascii="Times New Roman" w:hAnsi="Times New Roman" w:cs="Times New Roman"/>
          <w:sz w:val="24"/>
          <w:szCs w:val="24"/>
        </w:rPr>
        <w:t>и</w:t>
      </w:r>
      <w:r w:rsidR="000833BD">
        <w:rPr>
          <w:rFonts w:ascii="Times New Roman" w:hAnsi="Times New Roman" w:cs="Times New Roman"/>
          <w:sz w:val="24"/>
          <w:szCs w:val="24"/>
        </w:rPr>
        <w:t xml:space="preserve">оритет за унапређење програма управо истакли већи број програма за младе. </w:t>
      </w:r>
      <w:r w:rsidR="00196BBF">
        <w:rPr>
          <w:rFonts w:ascii="Times New Roman" w:hAnsi="Times New Roman" w:cs="Times New Roman"/>
          <w:sz w:val="24"/>
          <w:szCs w:val="24"/>
        </w:rPr>
        <w:t>Са друге стране, важно је још једном осврнути се на сарадњу установа културе и образовања. Наиме, управо наведени подаци потврђују да образовни систем игра велику улогу у развијању култ</w:t>
      </w:r>
      <w:r w:rsidR="00103BA9">
        <w:rPr>
          <w:rFonts w:ascii="Times New Roman" w:hAnsi="Times New Roman" w:cs="Times New Roman"/>
          <w:sz w:val="24"/>
          <w:szCs w:val="24"/>
        </w:rPr>
        <w:t xml:space="preserve">урних потреба и навика код деце, те 45,7% анкетираних грађана </w:t>
      </w:r>
      <w:r w:rsidR="00B6147F">
        <w:rPr>
          <w:rFonts w:ascii="Times New Roman" w:hAnsi="Times New Roman" w:cs="Times New Roman"/>
          <w:sz w:val="24"/>
          <w:szCs w:val="24"/>
        </w:rPr>
        <w:t xml:space="preserve">сматра </w:t>
      </w:r>
      <w:r w:rsidR="00103BA9">
        <w:rPr>
          <w:rFonts w:ascii="Times New Roman" w:hAnsi="Times New Roman" w:cs="Times New Roman"/>
          <w:sz w:val="24"/>
          <w:szCs w:val="24"/>
        </w:rPr>
        <w:t>да би сектор културе требало да развије бољу сарадњу са предшколским и школским установама. У</w:t>
      </w:r>
      <w:r w:rsidR="00196BBF">
        <w:rPr>
          <w:rFonts w:ascii="Times New Roman" w:hAnsi="Times New Roman" w:cs="Times New Roman"/>
          <w:sz w:val="24"/>
          <w:szCs w:val="24"/>
        </w:rPr>
        <w:t>чесници консултативног процеса</w:t>
      </w:r>
      <w:r w:rsidR="00103BA9">
        <w:rPr>
          <w:rFonts w:ascii="Times New Roman" w:hAnsi="Times New Roman" w:cs="Times New Roman"/>
          <w:sz w:val="24"/>
          <w:szCs w:val="24"/>
        </w:rPr>
        <w:t xml:space="preserve"> су посебно нагласили </w:t>
      </w:r>
      <w:r w:rsidR="00196BBF">
        <w:rPr>
          <w:rFonts w:ascii="Times New Roman" w:hAnsi="Times New Roman" w:cs="Times New Roman"/>
          <w:sz w:val="24"/>
          <w:szCs w:val="24"/>
        </w:rPr>
        <w:t>да</w:t>
      </w:r>
      <w:r w:rsidR="0018557E">
        <w:rPr>
          <w:rFonts w:ascii="Times New Roman" w:hAnsi="Times New Roman" w:cs="Times New Roman"/>
          <w:sz w:val="24"/>
          <w:szCs w:val="24"/>
        </w:rPr>
        <w:t xml:space="preserve"> сеу Сомбору не одржавају редовне позоришне представе за децу, јер не постоји дечија позоришна сцена, а Народно позориште Сомбор на свом репертоару нема овакве програме, већ само гостујуће. </w:t>
      </w:r>
    </w:p>
    <w:p w:rsidR="00103BA9" w:rsidRDefault="00103BA9" w:rsidP="0099762F">
      <w:pPr>
        <w:ind w:firstLine="720"/>
        <w:jc w:val="both"/>
        <w:rPr>
          <w:rFonts w:ascii="Times New Roman" w:hAnsi="Times New Roman" w:cs="Times New Roman"/>
          <w:sz w:val="24"/>
          <w:szCs w:val="24"/>
        </w:rPr>
      </w:pPr>
      <w:r>
        <w:rPr>
          <w:rFonts w:ascii="Times New Roman" w:hAnsi="Times New Roman" w:cs="Times New Roman"/>
          <w:sz w:val="24"/>
          <w:szCs w:val="24"/>
        </w:rPr>
        <w:t>Када је реч о програмима у руралном подручју</w:t>
      </w:r>
      <w:r w:rsidR="00887223">
        <w:rPr>
          <w:rFonts w:ascii="Times New Roman" w:hAnsi="Times New Roman" w:cs="Times New Roman"/>
          <w:sz w:val="24"/>
          <w:szCs w:val="24"/>
        </w:rPr>
        <w:t xml:space="preserve"> 75,3% испитаника сматра да се у насељеним местима ретко, односно понек</w:t>
      </w:r>
      <w:r w:rsidR="00DD78E5">
        <w:rPr>
          <w:rFonts w:ascii="Times New Roman" w:hAnsi="Times New Roman" w:cs="Times New Roman"/>
          <w:sz w:val="24"/>
          <w:szCs w:val="24"/>
        </w:rPr>
        <w:t xml:space="preserve">ад одржавају културни програми. Са овим ставом се слаже и 83,7% запослених у установама културе. </w:t>
      </w:r>
    </w:p>
    <w:p w:rsidR="0062777C" w:rsidRDefault="0062777C" w:rsidP="0099762F">
      <w:pPr>
        <w:ind w:firstLine="720"/>
        <w:jc w:val="both"/>
        <w:rPr>
          <w:rFonts w:ascii="Times New Roman" w:hAnsi="Times New Roman" w:cs="Times New Roman"/>
          <w:sz w:val="24"/>
          <w:szCs w:val="24"/>
        </w:rPr>
      </w:pPr>
      <w:r w:rsidRPr="0062777C">
        <w:rPr>
          <w:rFonts w:ascii="Times New Roman" w:hAnsi="Times New Roman" w:cs="Times New Roman"/>
          <w:sz w:val="24"/>
          <w:szCs w:val="24"/>
        </w:rPr>
        <w:t xml:space="preserve">Као разлог </w:t>
      </w:r>
      <w:r>
        <w:rPr>
          <w:rFonts w:ascii="Times New Roman" w:hAnsi="Times New Roman" w:cs="Times New Roman"/>
          <w:sz w:val="24"/>
          <w:szCs w:val="24"/>
        </w:rPr>
        <w:t>недовољне посећености и недовољног задовољства културном понудом</w:t>
      </w:r>
      <w:r w:rsidR="00335B82">
        <w:rPr>
          <w:rFonts w:ascii="Times New Roman" w:hAnsi="Times New Roman" w:cs="Times New Roman"/>
          <w:sz w:val="24"/>
          <w:szCs w:val="24"/>
          <w:lang/>
        </w:rPr>
        <w:t xml:space="preserve"> сви</w:t>
      </w:r>
      <w:r>
        <w:rPr>
          <w:rFonts w:ascii="Times New Roman" w:hAnsi="Times New Roman" w:cs="Times New Roman"/>
          <w:sz w:val="24"/>
          <w:szCs w:val="24"/>
        </w:rPr>
        <w:t xml:space="preserve"> учесници фокус група</w:t>
      </w:r>
      <w:r w:rsidRPr="0062777C">
        <w:rPr>
          <w:rFonts w:ascii="Times New Roman" w:hAnsi="Times New Roman" w:cs="Times New Roman"/>
          <w:sz w:val="24"/>
          <w:szCs w:val="24"/>
        </w:rPr>
        <w:t xml:space="preserve"> </w:t>
      </w:r>
      <w:r w:rsidRPr="00D13C95">
        <w:rPr>
          <w:rFonts w:ascii="Times New Roman" w:hAnsi="Times New Roman" w:cs="Times New Roman"/>
          <w:sz w:val="24"/>
          <w:szCs w:val="24"/>
        </w:rPr>
        <w:t xml:space="preserve">наводе </w:t>
      </w:r>
      <w:r w:rsidR="00335B82" w:rsidRPr="00D13C95">
        <w:rPr>
          <w:rFonts w:ascii="Times New Roman" w:hAnsi="Times New Roman" w:cs="Times New Roman"/>
          <w:sz w:val="24"/>
          <w:szCs w:val="24"/>
          <w:lang/>
        </w:rPr>
        <w:t>повремена</w:t>
      </w:r>
      <w:r w:rsidRPr="00D13C95">
        <w:rPr>
          <w:rFonts w:ascii="Times New Roman" w:hAnsi="Times New Roman" w:cs="Times New Roman"/>
          <w:sz w:val="24"/>
          <w:szCs w:val="24"/>
        </w:rPr>
        <w:t xml:space="preserve"> преклапања</w:t>
      </w:r>
      <w:r w:rsidRPr="0062777C">
        <w:rPr>
          <w:rFonts w:ascii="Times New Roman" w:hAnsi="Times New Roman" w:cs="Times New Roman"/>
          <w:sz w:val="24"/>
          <w:szCs w:val="24"/>
        </w:rPr>
        <w:t xml:space="preserve"> времена одржавања културних догађаја</w:t>
      </w:r>
      <w:r>
        <w:rPr>
          <w:rFonts w:ascii="Times New Roman" w:hAnsi="Times New Roman" w:cs="Times New Roman"/>
          <w:sz w:val="24"/>
          <w:szCs w:val="24"/>
        </w:rPr>
        <w:t xml:space="preserve">, </w:t>
      </w:r>
      <w:r w:rsidRPr="0062777C">
        <w:rPr>
          <w:rFonts w:ascii="Times New Roman" w:hAnsi="Times New Roman" w:cs="Times New Roman"/>
          <w:sz w:val="24"/>
          <w:szCs w:val="24"/>
        </w:rPr>
        <w:t>Недовољна посећеност повезана је и са недовољном сарадњом са медијима, нарочито он</w:t>
      </w:r>
      <w:r>
        <w:rPr>
          <w:rFonts w:ascii="Times New Roman" w:hAnsi="Times New Roman" w:cs="Times New Roman"/>
          <w:sz w:val="24"/>
          <w:szCs w:val="24"/>
        </w:rPr>
        <w:t xml:space="preserve">их са националном фреквенцијом. Грађани до информација о културним садржајима најчешће долазе преко друштвених мрежа, </w:t>
      </w:r>
      <w:r w:rsidR="00911B9B">
        <w:rPr>
          <w:rFonts w:ascii="Times New Roman" w:hAnsi="Times New Roman" w:cs="Times New Roman"/>
          <w:sz w:val="24"/>
          <w:szCs w:val="24"/>
        </w:rPr>
        <w:t xml:space="preserve">али наглашавају да промоција програма установа није адекватна и не одговара свим старосним групама потенцијалне публике. </w:t>
      </w:r>
    </w:p>
    <w:p w:rsidR="00657C07" w:rsidRDefault="00384725" w:rsidP="0099762F">
      <w:pPr>
        <w:ind w:firstLine="720"/>
        <w:jc w:val="both"/>
        <w:rPr>
          <w:rFonts w:ascii="Times New Roman" w:hAnsi="Times New Roman" w:cs="Times New Roman"/>
          <w:sz w:val="24"/>
          <w:szCs w:val="24"/>
        </w:rPr>
      </w:pPr>
      <w:r>
        <w:rPr>
          <w:rFonts w:ascii="Times New Roman" w:hAnsi="Times New Roman" w:cs="Times New Roman"/>
          <w:sz w:val="24"/>
          <w:szCs w:val="24"/>
        </w:rPr>
        <w:t xml:space="preserve">Поред редовних програма из културе у Сомбору се одржавају </w:t>
      </w:r>
      <w:r w:rsidR="00330A5B" w:rsidRPr="00384725">
        <w:rPr>
          <w:rFonts w:ascii="Times New Roman" w:hAnsi="Times New Roman" w:cs="Times New Roman"/>
          <w:sz w:val="24"/>
          <w:szCs w:val="24"/>
        </w:rPr>
        <w:t>манифестације са дугом традицијом („Позоришни маратон“, „Сомборске музичке свечаност</w:t>
      </w:r>
      <w:r w:rsidR="0062777C">
        <w:rPr>
          <w:rFonts w:ascii="Times New Roman" w:hAnsi="Times New Roman" w:cs="Times New Roman"/>
          <w:sz w:val="24"/>
          <w:szCs w:val="24"/>
        </w:rPr>
        <w:t>и“, „</w:t>
      </w:r>
      <w:r w:rsidR="00533D29">
        <w:rPr>
          <w:rFonts w:ascii="Times New Roman" w:hAnsi="Times New Roman" w:cs="Times New Roman"/>
          <w:sz w:val="24"/>
          <w:szCs w:val="24"/>
          <w:lang/>
        </w:rPr>
        <w:t>Ликовна јесен</w:t>
      </w:r>
      <w:r w:rsidR="0062777C">
        <w:rPr>
          <w:rFonts w:ascii="Times New Roman" w:hAnsi="Times New Roman" w:cs="Times New Roman"/>
          <w:sz w:val="24"/>
          <w:szCs w:val="24"/>
        </w:rPr>
        <w:t>“)</w:t>
      </w:r>
      <w:r w:rsidR="00330A5B" w:rsidRPr="00384725">
        <w:rPr>
          <w:rFonts w:ascii="Times New Roman" w:hAnsi="Times New Roman" w:cs="Times New Roman"/>
          <w:sz w:val="24"/>
          <w:szCs w:val="24"/>
        </w:rPr>
        <w:t>, али су и нови програми изузетно добро дочекани („Терминал фес</w:t>
      </w:r>
      <w:r>
        <w:rPr>
          <w:rFonts w:ascii="Times New Roman" w:hAnsi="Times New Roman" w:cs="Times New Roman"/>
          <w:sz w:val="24"/>
          <w:szCs w:val="24"/>
        </w:rPr>
        <w:t xml:space="preserve">тивал“, Green Town Jazz Fest). Све манифестације се финансирају преко Туристичке организације Сомбор, установа културе или удружења грађана. Ипак, на нивоу града не постоји одлука о манифестацијама од посебног значаја за град </w:t>
      </w:r>
      <w:r w:rsidR="0062777C">
        <w:rPr>
          <w:rFonts w:ascii="Times New Roman" w:hAnsi="Times New Roman" w:cs="Times New Roman"/>
          <w:sz w:val="24"/>
          <w:szCs w:val="24"/>
        </w:rPr>
        <w:t xml:space="preserve">којом би био дефинисан и идентитет града. </w:t>
      </w:r>
      <w:r w:rsidR="00D5725B">
        <w:rPr>
          <w:rFonts w:ascii="Times New Roman" w:hAnsi="Times New Roman" w:cs="Times New Roman"/>
          <w:sz w:val="24"/>
          <w:szCs w:val="24"/>
        </w:rPr>
        <w:t xml:space="preserve">Манифестације у Сомбору се промовишу тренутно на два портала. Један портал води Туристичка организација Сомбор, а други Градска управа Сомбор, али ниједан од портала нема коначан списак свих манифестација које се одржавају на територији Сомбора. Поред тога, информације ни на једном од портала се не ажурирају редовно, што све грађане, али и посетиоце Сомбора збуњује. </w:t>
      </w:r>
    </w:p>
    <w:p w:rsidR="0099762F" w:rsidRDefault="0099762F" w:rsidP="00B03CD2">
      <w:pPr>
        <w:pStyle w:val="Heading1"/>
        <w:numPr>
          <w:ilvl w:val="0"/>
          <w:numId w:val="13"/>
        </w:numPr>
        <w:rPr>
          <w:b/>
        </w:rPr>
      </w:pPr>
      <w:bookmarkStart w:id="19" w:name="_Toc36072295"/>
      <w:r w:rsidRPr="0099762F">
        <w:rPr>
          <w:b/>
        </w:rPr>
        <w:t xml:space="preserve">Унапређење културе у Сомбору – </w:t>
      </w:r>
      <w:r>
        <w:rPr>
          <w:b/>
        </w:rPr>
        <w:t>визија</w:t>
      </w:r>
      <w:bookmarkEnd w:id="19"/>
    </w:p>
    <w:p w:rsidR="00D33C02" w:rsidRPr="00D33C02" w:rsidRDefault="00D33C02" w:rsidP="00D33C02">
      <w:pPr>
        <w:spacing w:after="0"/>
      </w:pPr>
    </w:p>
    <w:p w:rsidR="0099762F" w:rsidRPr="00DB2B02" w:rsidRDefault="0099762F" w:rsidP="00DB2B02">
      <w:pPr>
        <w:spacing w:after="0"/>
        <w:jc w:val="both"/>
        <w:rPr>
          <w:rFonts w:ascii="Times New Roman" w:hAnsi="Times New Roman" w:cs="Times New Roman"/>
          <w:sz w:val="24"/>
          <w:szCs w:val="24"/>
          <w:lang/>
        </w:rPr>
      </w:pPr>
      <w:r w:rsidRPr="0099762F">
        <w:rPr>
          <w:rFonts w:ascii="Times New Roman" w:hAnsi="Times New Roman" w:cs="Times New Roman"/>
          <w:sz w:val="24"/>
          <w:szCs w:val="24"/>
        </w:rPr>
        <w:tab/>
        <w:t>У складу са мултикултурном традицијом, слободарским духом града Сомбора и израженом уметничком цртом у прошлости</w:t>
      </w:r>
      <w:r w:rsidR="00DB2B02">
        <w:rPr>
          <w:rFonts w:ascii="Times New Roman" w:hAnsi="Times New Roman" w:cs="Times New Roman"/>
          <w:sz w:val="24"/>
          <w:szCs w:val="24"/>
        </w:rPr>
        <w:t>, чланови</w:t>
      </w:r>
      <w:r w:rsidRPr="0099762F">
        <w:rPr>
          <w:rFonts w:ascii="Times New Roman" w:hAnsi="Times New Roman" w:cs="Times New Roman"/>
          <w:sz w:val="24"/>
          <w:szCs w:val="24"/>
        </w:rPr>
        <w:t xml:space="preserve"> Радне групе за израду стратешког документа </w:t>
      </w:r>
      <w:r w:rsidR="00DB2B02">
        <w:rPr>
          <w:rFonts w:ascii="Times New Roman" w:hAnsi="Times New Roman" w:cs="Times New Roman"/>
          <w:sz w:val="24"/>
          <w:szCs w:val="24"/>
          <w:lang/>
        </w:rPr>
        <w:t xml:space="preserve">свој град доживљавају као динамичну космополитску сцену. </w:t>
      </w:r>
      <w:r w:rsidRPr="0099762F">
        <w:rPr>
          <w:rFonts w:ascii="Times New Roman" w:hAnsi="Times New Roman" w:cs="Times New Roman"/>
          <w:sz w:val="24"/>
          <w:szCs w:val="24"/>
        </w:rPr>
        <w:t>У речи космополитски садржани су сви елементи симболичког идентитета Сомбора: слободан град, слободарски дух, мултикултурна средина у којој етничке заједнице сарађују. Сцена имплицира све уметничке изразе које симболишу Сомбор:</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lastRenderedPageBreak/>
        <w:t xml:space="preserve">позоришна уметност кроз традицију позоришта и Позоришног маратона; </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филмска уметност кроз живот и дело Ернеста Бошњака, али и Сомбор као „film friendly“ зона, која све чешће постаје локација за снимање филмова; </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ликовна уметност кроз немерљив допринос Милана Коњовића, </w:t>
      </w:r>
      <w:r w:rsidR="00F85DF5">
        <w:rPr>
          <w:rFonts w:ascii="Times New Roman" w:hAnsi="Times New Roman" w:cs="Times New Roman"/>
          <w:sz w:val="24"/>
          <w:szCs w:val="24"/>
          <w:lang/>
        </w:rPr>
        <w:t xml:space="preserve">кроз Ликовну јесен и Сомборски салон, </w:t>
      </w:r>
      <w:r w:rsidRPr="0099762F">
        <w:rPr>
          <w:rFonts w:ascii="Times New Roman" w:hAnsi="Times New Roman" w:cs="Times New Roman"/>
          <w:sz w:val="24"/>
          <w:szCs w:val="24"/>
        </w:rPr>
        <w:t xml:space="preserve">али и великог броја некадашњих и актуелних ликовних уметника; </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књижевна уметност баштињена на стваралаштву Лазе Костића, али и модерних књижевних стваралаца; </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нематеријално културно наслеђе и сцена народног стваралаштва кроз бројна етно, завичајна и културно-уметничка друштва која чувају традицију свих етничких заједница на простору Сомбора; </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материјално културно наслеђе као јединствена сценографија града </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савремена музичка сцена кроз бројне фестивале по којима Сомбор постаје све препознатљивији. </w:t>
      </w:r>
    </w:p>
    <w:p w:rsidR="0099762F" w:rsidRPr="0099762F" w:rsidRDefault="0099762F" w:rsidP="00B03CD2">
      <w:pPr>
        <w:numPr>
          <w:ilvl w:val="0"/>
          <w:numId w:val="14"/>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коначно, космополитска сцена као позорница отворена за све нове уметничке изразе и њихове носиоце</w:t>
      </w:r>
    </w:p>
    <w:p w:rsidR="0099762F" w:rsidRPr="0099762F" w:rsidRDefault="0099762F" w:rsidP="0099762F">
      <w:pPr>
        <w:spacing w:after="0"/>
        <w:ind w:left="780"/>
        <w:contextualSpacing/>
        <w:jc w:val="both"/>
        <w:rPr>
          <w:rFonts w:ascii="Times New Roman" w:hAnsi="Times New Roman" w:cs="Times New Roman"/>
          <w:sz w:val="24"/>
          <w:szCs w:val="24"/>
        </w:rPr>
      </w:pP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Током радионица са члановима Радне групе за израду Стратегије развоја културе града Сомбора наглашено је да иако су сви елементи визије присутни у култури града да ипак нису довољно афирмисани и препознати као носиоци развоја. Стога су најзначајније промене које се желе постићи:</w:t>
      </w:r>
    </w:p>
    <w:p w:rsidR="0099762F" w:rsidRPr="0099762F" w:rsidRDefault="0099762F" w:rsidP="00B03CD2">
      <w:pPr>
        <w:numPr>
          <w:ilvl w:val="0"/>
          <w:numId w:val="15"/>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повећање сарадње различитих актера у култури</w:t>
      </w:r>
    </w:p>
    <w:p w:rsidR="0099762F" w:rsidRPr="0099762F" w:rsidRDefault="0099762F" w:rsidP="00B03CD2">
      <w:pPr>
        <w:numPr>
          <w:ilvl w:val="0"/>
          <w:numId w:val="15"/>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повећање сарадње са другим ресорима, а посебно са ресором образовања, туризма и медијима</w:t>
      </w:r>
    </w:p>
    <w:p w:rsidR="0099762F" w:rsidRPr="0099762F" w:rsidRDefault="0099762F" w:rsidP="00B03CD2">
      <w:pPr>
        <w:numPr>
          <w:ilvl w:val="0"/>
          <w:numId w:val="15"/>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афирмација културних садржаја у и ван Сомбора која се постиже кроз сарадњу различитих ресора </w:t>
      </w:r>
    </w:p>
    <w:p w:rsidR="0099762F" w:rsidRPr="0099762F" w:rsidRDefault="0099762F" w:rsidP="00B03CD2">
      <w:pPr>
        <w:numPr>
          <w:ilvl w:val="0"/>
          <w:numId w:val="15"/>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профилисање програма ка посебним групама публике, а посебно ка младима који су не само садашња него и будућа публика, него и уметнички стваралачки капацитет и глас културне критике у граду </w:t>
      </w:r>
    </w:p>
    <w:p w:rsidR="0099762F" w:rsidRPr="0099762F" w:rsidRDefault="0099762F" w:rsidP="00B03CD2">
      <w:pPr>
        <w:numPr>
          <w:ilvl w:val="0"/>
          <w:numId w:val="15"/>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учвршћивање односа и сарадње различитих етничких заједница на простору града, али и интергенерацијске повезаности и повезаности традиције и савремености</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Оствар</w:t>
      </w:r>
      <w:r w:rsidR="00533D29">
        <w:rPr>
          <w:rFonts w:ascii="Times New Roman" w:hAnsi="Times New Roman" w:cs="Times New Roman"/>
          <w:sz w:val="24"/>
          <w:szCs w:val="24"/>
        </w:rPr>
        <w:t xml:space="preserve">ењу овако замишљених промена </w:t>
      </w:r>
      <w:r w:rsidR="00533D29" w:rsidRPr="00335B82">
        <w:rPr>
          <w:rFonts w:ascii="Times New Roman" w:hAnsi="Times New Roman" w:cs="Times New Roman"/>
          <w:sz w:val="24"/>
          <w:szCs w:val="24"/>
        </w:rPr>
        <w:t>допринос</w:t>
      </w:r>
      <w:r w:rsidR="00533D29" w:rsidRPr="00335B82">
        <w:rPr>
          <w:rFonts w:ascii="Times New Roman" w:hAnsi="Times New Roman" w:cs="Times New Roman"/>
          <w:sz w:val="24"/>
          <w:szCs w:val="24"/>
          <w:lang/>
        </w:rPr>
        <w:t>и</w:t>
      </w:r>
      <w:r w:rsidRPr="00335B82">
        <w:rPr>
          <w:rFonts w:ascii="Times New Roman" w:hAnsi="Times New Roman" w:cs="Times New Roman"/>
          <w:sz w:val="24"/>
          <w:szCs w:val="24"/>
        </w:rPr>
        <w:t xml:space="preserve"> и читав низ заинтересованих страна и истакнутих појединаца. Радна група је као</w:t>
      </w:r>
      <w:r w:rsidRPr="0099762F">
        <w:rPr>
          <w:rFonts w:ascii="Times New Roman" w:hAnsi="Times New Roman" w:cs="Times New Roman"/>
          <w:sz w:val="24"/>
          <w:szCs w:val="24"/>
        </w:rPr>
        <w:t xml:space="preserve"> најважније идентификовала: </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Публика и истраживачи/корисници у архиву и библиотеци</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Установе културе </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Уметници и стручњаци у култури</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Локална самоуправа</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noProof/>
          <w:sz w:val="24"/>
          <w:szCs w:val="24"/>
        </w:rPr>
        <w:t>Покрајински секретаријат за културу, јавно информисање и односе с верским заједницама</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Министарство културе и информисања</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Образовне установе и домови ученика/студената</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Удружења грађана у култури и другим областима</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lastRenderedPageBreak/>
        <w:t>Културно-уметничка друштва</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Пензионери и њихове организације</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Туристичка организација Сомбора, Туристичка организација Војводине и Туристичка организација Србије</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(Рецептивне) туристичке агенције </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Сектор привреде </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Верске организације </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Национални савети националних мањина</w:t>
      </w:r>
    </w:p>
    <w:p w:rsidR="0099762F" w:rsidRPr="0099762F" w:rsidRDefault="00533D29" w:rsidP="00B03CD2">
      <w:pPr>
        <w:numPr>
          <w:ilvl w:val="0"/>
          <w:numId w:val="16"/>
        </w:numPr>
        <w:spacing w:after="0"/>
        <w:contextualSpacing/>
        <w:jc w:val="both"/>
        <w:rPr>
          <w:rFonts w:ascii="Times New Roman" w:hAnsi="Times New Roman" w:cs="Times New Roman"/>
          <w:sz w:val="24"/>
          <w:szCs w:val="24"/>
        </w:rPr>
      </w:pPr>
      <w:r>
        <w:rPr>
          <w:rFonts w:ascii="Times New Roman" w:hAnsi="Times New Roman" w:cs="Times New Roman"/>
          <w:sz w:val="24"/>
          <w:szCs w:val="24"/>
          <w:lang/>
        </w:rPr>
        <w:t>Суседне и све пријатељске државе</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Матичне установе културе</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 xml:space="preserve">Локални медији </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Јавни медијски сервиси</w:t>
      </w:r>
    </w:p>
    <w:p w:rsidR="0099762F" w:rsidRPr="0099762F" w:rsidRDefault="0099762F" w:rsidP="00B03CD2">
      <w:pPr>
        <w:numPr>
          <w:ilvl w:val="0"/>
          <w:numId w:val="16"/>
        </w:numPr>
        <w:spacing w:after="0"/>
        <w:contextualSpacing/>
        <w:jc w:val="both"/>
        <w:rPr>
          <w:rFonts w:ascii="Times New Roman" w:hAnsi="Times New Roman" w:cs="Times New Roman"/>
          <w:sz w:val="24"/>
          <w:szCs w:val="24"/>
        </w:rPr>
      </w:pPr>
      <w:r w:rsidRPr="0099762F">
        <w:rPr>
          <w:rFonts w:ascii="Times New Roman" w:hAnsi="Times New Roman" w:cs="Times New Roman"/>
          <w:sz w:val="24"/>
          <w:szCs w:val="24"/>
        </w:rPr>
        <w:t>Локални ствараоци у култури</w:t>
      </w:r>
    </w:p>
    <w:p w:rsidR="0099762F" w:rsidRDefault="0099762F" w:rsidP="00DB2B02">
      <w:pPr>
        <w:spacing w:after="0"/>
        <w:jc w:val="both"/>
        <w:rPr>
          <w:rFonts w:ascii="Times New Roman" w:hAnsi="Times New Roman" w:cs="Times New Roman"/>
          <w:sz w:val="24"/>
          <w:szCs w:val="24"/>
        </w:rPr>
      </w:pPr>
    </w:p>
    <w:p w:rsidR="00DB2B02" w:rsidRDefault="00DB2B02" w:rsidP="00DB2B02">
      <w:pPr>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Да би очували наслеђе и подстакли стваралаштво, а у циљу укључивања свих заинетерсованих група, визија града Сомбора гласи: </w:t>
      </w:r>
    </w:p>
    <w:p w:rsidR="00DB2B02" w:rsidRDefault="00DB2B02" w:rsidP="00DB2B02">
      <w:pPr>
        <w:spacing w:after="0"/>
        <w:jc w:val="both"/>
        <w:rPr>
          <w:rFonts w:ascii="Times New Roman" w:hAnsi="Times New Roman" w:cs="Times New Roman"/>
          <w:sz w:val="24"/>
          <w:szCs w:val="24"/>
          <w:lang/>
        </w:rPr>
      </w:pPr>
    </w:p>
    <w:p w:rsidR="00DB2B02" w:rsidRPr="00DB2B02" w:rsidRDefault="00DB2B02" w:rsidP="00DB2B02">
      <w:pPr>
        <w:shd w:val="clear" w:color="auto" w:fill="A6A6A6" w:themeFill="background1" w:themeFillShade="A6"/>
        <w:spacing w:after="0"/>
        <w:jc w:val="center"/>
        <w:rPr>
          <w:rFonts w:ascii="Times New Roman" w:hAnsi="Times New Roman" w:cs="Times New Roman"/>
          <w:b/>
          <w:color w:val="FFFFFF" w:themeColor="background1"/>
          <w:sz w:val="28"/>
          <w:szCs w:val="28"/>
          <w:lang/>
        </w:rPr>
      </w:pPr>
      <w:r w:rsidRPr="00DB2B02">
        <w:rPr>
          <w:rFonts w:ascii="Times New Roman" w:hAnsi="Times New Roman" w:cs="Times New Roman"/>
          <w:b/>
          <w:color w:val="FFFFFF" w:themeColor="background1"/>
          <w:sz w:val="28"/>
          <w:szCs w:val="28"/>
          <w:lang/>
        </w:rPr>
        <w:t>Сомбор је град динамичног стваралаштва и богате традиције у којој сваки грађанин има могућност да учествује у креирању програма и очувању наслеђа у улози публике, ствараоца или актера промена.</w:t>
      </w:r>
    </w:p>
    <w:p w:rsidR="00DB2B02" w:rsidRDefault="00DB2B02" w:rsidP="00B6147F">
      <w:pPr>
        <w:spacing w:after="0"/>
        <w:ind w:firstLine="720"/>
        <w:jc w:val="both"/>
        <w:rPr>
          <w:rFonts w:ascii="Times New Roman" w:hAnsi="Times New Roman" w:cs="Times New Roman"/>
          <w:sz w:val="24"/>
          <w:szCs w:val="24"/>
        </w:rPr>
      </w:pPr>
    </w:p>
    <w:p w:rsidR="0099762F" w:rsidRDefault="0099762F" w:rsidP="00B6147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Жељено стање садржано у визији остварује се кроз један општи и четири посебна циља. </w:t>
      </w:r>
    </w:p>
    <w:p w:rsidR="0099762F" w:rsidRPr="00E06728" w:rsidRDefault="00E06728" w:rsidP="00DB2B02">
      <w:pPr>
        <w:pStyle w:val="Heading1"/>
        <w:numPr>
          <w:ilvl w:val="0"/>
          <w:numId w:val="13"/>
        </w:numPr>
        <w:spacing w:after="240"/>
        <w:rPr>
          <w:rFonts w:ascii="Times New Roman" w:hAnsi="Times New Roman" w:cs="Times New Roman"/>
          <w:b/>
          <w:sz w:val="24"/>
          <w:szCs w:val="24"/>
        </w:rPr>
      </w:pPr>
      <w:bookmarkStart w:id="20" w:name="_Toc36072296"/>
      <w:r w:rsidRPr="00E06728">
        <w:rPr>
          <w:b/>
        </w:rPr>
        <w:t xml:space="preserve">Унапређење културе у Сомбору – </w:t>
      </w:r>
      <w:r>
        <w:rPr>
          <w:b/>
        </w:rPr>
        <w:t>циљеви</w:t>
      </w:r>
      <w:bookmarkEnd w:id="20"/>
    </w:p>
    <w:p w:rsidR="0099762F" w:rsidRPr="00BF1177" w:rsidRDefault="0099762F" w:rsidP="00B03CD2">
      <w:pPr>
        <w:pStyle w:val="Heading2"/>
        <w:numPr>
          <w:ilvl w:val="1"/>
          <w:numId w:val="13"/>
        </w:numPr>
        <w:rPr>
          <w:b/>
        </w:rPr>
      </w:pPr>
      <w:bookmarkStart w:id="21" w:name="_Toc36072297"/>
      <w:r w:rsidRPr="00BF1177">
        <w:rPr>
          <w:b/>
        </w:rPr>
        <w:t>Општи циљ</w:t>
      </w:r>
      <w:bookmarkEnd w:id="21"/>
    </w:p>
    <w:p w:rsidR="0099762F" w:rsidRPr="0099762F" w:rsidRDefault="0099762F" w:rsidP="0099762F">
      <w:pPr>
        <w:spacing w:after="0"/>
      </w:pP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u w:val="single"/>
        </w:rPr>
        <w:t>Општи циљ развоја културе</w:t>
      </w:r>
      <w:r w:rsidRPr="0099762F">
        <w:rPr>
          <w:rFonts w:ascii="Times New Roman" w:hAnsi="Times New Roman" w:cs="Times New Roman"/>
          <w:sz w:val="24"/>
          <w:szCs w:val="24"/>
        </w:rPr>
        <w:t xml:space="preserve"> у наредном петогодишњем периоду фокусира се на </w:t>
      </w:r>
      <w:r w:rsidR="00DB2B02">
        <w:rPr>
          <w:rFonts w:ascii="Times New Roman" w:hAnsi="Times New Roman" w:cs="Times New Roman"/>
          <w:sz w:val="24"/>
          <w:szCs w:val="24"/>
          <w:lang/>
        </w:rPr>
        <w:t xml:space="preserve">улогу </w:t>
      </w:r>
      <w:r w:rsidR="00DB2B02">
        <w:rPr>
          <w:rFonts w:ascii="Times New Roman" w:hAnsi="Times New Roman" w:cs="Times New Roman"/>
          <w:sz w:val="24"/>
          <w:szCs w:val="24"/>
        </w:rPr>
        <w:t>културе која кроз</w:t>
      </w:r>
      <w:r w:rsidRPr="0099762F">
        <w:rPr>
          <w:rFonts w:ascii="Times New Roman" w:hAnsi="Times New Roman" w:cs="Times New Roman"/>
          <w:sz w:val="24"/>
          <w:szCs w:val="24"/>
        </w:rPr>
        <w:t xml:space="preserve"> </w:t>
      </w:r>
      <w:r w:rsidR="00DB2B02">
        <w:rPr>
          <w:rFonts w:ascii="Times New Roman" w:hAnsi="Times New Roman" w:cs="Times New Roman"/>
          <w:sz w:val="24"/>
          <w:szCs w:val="24"/>
          <w:lang/>
        </w:rPr>
        <w:t xml:space="preserve">модел заједничког делања доприноси </w:t>
      </w:r>
      <w:r w:rsidR="00DB2B02">
        <w:rPr>
          <w:rFonts w:ascii="Times New Roman" w:hAnsi="Times New Roman" w:cs="Times New Roman"/>
          <w:sz w:val="24"/>
          <w:szCs w:val="24"/>
        </w:rPr>
        <w:t>социјалном</w:t>
      </w:r>
      <w:r w:rsidRPr="0099762F">
        <w:rPr>
          <w:rFonts w:ascii="Times New Roman" w:hAnsi="Times New Roman" w:cs="Times New Roman"/>
          <w:sz w:val="24"/>
          <w:szCs w:val="24"/>
        </w:rPr>
        <w:t xml:space="preserve"> развој</w:t>
      </w:r>
      <w:r w:rsidR="00DB2B02">
        <w:rPr>
          <w:rFonts w:ascii="Times New Roman" w:hAnsi="Times New Roman" w:cs="Times New Roman"/>
          <w:sz w:val="24"/>
          <w:szCs w:val="24"/>
          <w:lang/>
        </w:rPr>
        <w:t>у</w:t>
      </w:r>
      <w:r w:rsidR="00DB2B02">
        <w:rPr>
          <w:rFonts w:ascii="Times New Roman" w:hAnsi="Times New Roman" w:cs="Times New Roman"/>
          <w:sz w:val="24"/>
          <w:szCs w:val="24"/>
        </w:rPr>
        <w:t xml:space="preserve"> и економском</w:t>
      </w:r>
      <w:r w:rsidRPr="0099762F">
        <w:rPr>
          <w:rFonts w:ascii="Times New Roman" w:hAnsi="Times New Roman" w:cs="Times New Roman"/>
          <w:sz w:val="24"/>
          <w:szCs w:val="24"/>
        </w:rPr>
        <w:t xml:space="preserve"> напретк</w:t>
      </w:r>
      <w:r w:rsidR="00DB2B02">
        <w:rPr>
          <w:rFonts w:ascii="Times New Roman" w:hAnsi="Times New Roman" w:cs="Times New Roman"/>
          <w:sz w:val="24"/>
          <w:szCs w:val="24"/>
          <w:lang/>
        </w:rPr>
        <w:t>у</w:t>
      </w:r>
      <w:r w:rsidRPr="0099762F">
        <w:rPr>
          <w:rFonts w:ascii="Times New Roman" w:hAnsi="Times New Roman" w:cs="Times New Roman"/>
          <w:sz w:val="24"/>
          <w:szCs w:val="24"/>
        </w:rPr>
        <w:t xml:space="preserve"> локалне заједнице и гласи:</w:t>
      </w:r>
    </w:p>
    <w:p w:rsidR="0099762F" w:rsidRPr="0099762F" w:rsidRDefault="0099762F" w:rsidP="0099762F">
      <w:pPr>
        <w:spacing w:after="0"/>
        <w:ind w:firstLine="720"/>
        <w:jc w:val="both"/>
        <w:rPr>
          <w:rFonts w:ascii="Times New Roman" w:hAnsi="Times New Roman" w:cs="Times New Roman"/>
          <w:sz w:val="24"/>
          <w:szCs w:val="24"/>
        </w:rPr>
      </w:pPr>
    </w:p>
    <w:p w:rsidR="0099762F" w:rsidRPr="00DB2B02" w:rsidRDefault="00DB2B02" w:rsidP="0099762F">
      <w:pPr>
        <w:shd w:val="clear" w:color="auto" w:fill="A6A6A6" w:themeFill="background1" w:themeFillShade="A6"/>
        <w:spacing w:after="0"/>
        <w:jc w:val="center"/>
        <w:rPr>
          <w:rFonts w:ascii="Times New Roman" w:hAnsi="Times New Roman" w:cs="Times New Roman"/>
          <w:b/>
          <w:color w:val="FFFFFF" w:themeColor="background1"/>
          <w:sz w:val="28"/>
          <w:szCs w:val="28"/>
          <w:lang/>
        </w:rPr>
      </w:pPr>
      <w:r>
        <w:rPr>
          <w:rFonts w:ascii="Times New Roman" w:hAnsi="Times New Roman" w:cs="Times New Roman"/>
          <w:b/>
          <w:color w:val="FFFFFF" w:themeColor="background1"/>
          <w:sz w:val="28"/>
          <w:szCs w:val="28"/>
          <w:lang/>
        </w:rPr>
        <w:t>Повећање учесника у култури града Сомбора кроз партиципативне механизме</w:t>
      </w:r>
      <w:r w:rsidR="00830F42">
        <w:rPr>
          <w:rFonts w:ascii="Times New Roman" w:hAnsi="Times New Roman" w:cs="Times New Roman"/>
          <w:b/>
          <w:color w:val="FFFFFF" w:themeColor="background1"/>
          <w:sz w:val="28"/>
          <w:szCs w:val="28"/>
          <w:lang/>
        </w:rPr>
        <w:t>, анимацију и комуникацију</w:t>
      </w:r>
    </w:p>
    <w:p w:rsidR="0099762F" w:rsidRPr="0099762F" w:rsidRDefault="0099762F" w:rsidP="0099762F">
      <w:pPr>
        <w:spacing w:after="0"/>
        <w:jc w:val="center"/>
        <w:rPr>
          <w:rFonts w:ascii="Times New Roman" w:hAnsi="Times New Roman" w:cs="Times New Roman"/>
          <w:b/>
          <w:sz w:val="24"/>
          <w:szCs w:val="24"/>
        </w:rPr>
      </w:pPr>
    </w:p>
    <w:p w:rsidR="006772F2" w:rsidRDefault="0099762F" w:rsidP="006772F2">
      <w:pPr>
        <w:ind w:firstLine="720"/>
        <w:jc w:val="both"/>
        <w:rPr>
          <w:rFonts w:ascii="Times New Roman" w:hAnsi="Times New Roman" w:cs="Times New Roman"/>
          <w:sz w:val="24"/>
          <w:szCs w:val="24"/>
          <w:lang/>
        </w:rPr>
      </w:pPr>
      <w:r w:rsidRPr="0099762F">
        <w:rPr>
          <w:rFonts w:ascii="Times New Roman" w:hAnsi="Times New Roman" w:cs="Times New Roman"/>
          <w:sz w:val="24"/>
          <w:szCs w:val="24"/>
        </w:rPr>
        <w:t>Чланови Радне групе нагласили су да је веома важно културу развити у</w:t>
      </w:r>
      <w:r w:rsidR="00533D29">
        <w:rPr>
          <w:rFonts w:ascii="Times New Roman" w:hAnsi="Times New Roman" w:cs="Times New Roman"/>
          <w:sz w:val="24"/>
          <w:szCs w:val="24"/>
          <w:lang/>
        </w:rPr>
        <w:t xml:space="preserve"> </w:t>
      </w:r>
      <w:r w:rsidR="00533D29" w:rsidRPr="00533D29">
        <w:rPr>
          <w:rFonts w:ascii="Times New Roman" w:hAnsi="Times New Roman" w:cs="Times New Roman"/>
          <w:sz w:val="24"/>
          <w:szCs w:val="24"/>
          <w:lang/>
        </w:rPr>
        <w:t>динамичну форму</w:t>
      </w:r>
      <w:r w:rsidRPr="0099762F">
        <w:rPr>
          <w:rFonts w:ascii="Times New Roman" w:hAnsi="Times New Roman" w:cs="Times New Roman"/>
          <w:sz w:val="24"/>
          <w:szCs w:val="24"/>
        </w:rPr>
        <w:t>, која ће омогућити како економски напредак града тако и напредовање саме културе и развој иновативних и постојећих програма кроз нове изворе финансирања</w:t>
      </w:r>
      <w:r w:rsidR="00830F42">
        <w:rPr>
          <w:rFonts w:ascii="Times New Roman" w:hAnsi="Times New Roman" w:cs="Times New Roman"/>
          <w:sz w:val="24"/>
          <w:szCs w:val="24"/>
          <w:lang/>
        </w:rPr>
        <w:t xml:space="preserve"> и већи број посетилаца</w:t>
      </w:r>
      <w:r w:rsidR="006772F2">
        <w:rPr>
          <w:rFonts w:ascii="Times New Roman" w:hAnsi="Times New Roman" w:cs="Times New Roman"/>
          <w:sz w:val="24"/>
          <w:szCs w:val="24"/>
          <w:lang/>
        </w:rPr>
        <w:t xml:space="preserve"> и стваралаца</w:t>
      </w:r>
      <w:r w:rsidRPr="0099762F">
        <w:rPr>
          <w:rFonts w:ascii="Times New Roman" w:hAnsi="Times New Roman" w:cs="Times New Roman"/>
          <w:sz w:val="24"/>
          <w:szCs w:val="24"/>
        </w:rPr>
        <w:t xml:space="preserve">. </w:t>
      </w:r>
      <w:r w:rsidR="00830F42">
        <w:rPr>
          <w:rFonts w:ascii="Times New Roman" w:hAnsi="Times New Roman" w:cs="Times New Roman"/>
          <w:sz w:val="24"/>
          <w:szCs w:val="24"/>
          <w:lang/>
        </w:rPr>
        <w:t xml:space="preserve">Чланови Радне групе, као и учесници фокус група акцентовали су да је важно  грађане и публику охрабрити да постану активни носиоци промена и унапређења културне сцене, </w:t>
      </w:r>
      <w:r w:rsidR="009D5EF9">
        <w:rPr>
          <w:rFonts w:ascii="Times New Roman" w:hAnsi="Times New Roman" w:cs="Times New Roman"/>
          <w:sz w:val="24"/>
          <w:szCs w:val="24"/>
          <w:lang/>
        </w:rPr>
        <w:t xml:space="preserve">са посебним акцентом на младима. </w:t>
      </w:r>
      <w:r w:rsidR="00830F42">
        <w:rPr>
          <w:rFonts w:ascii="Times New Roman" w:hAnsi="Times New Roman" w:cs="Times New Roman"/>
          <w:sz w:val="24"/>
          <w:szCs w:val="24"/>
          <w:lang/>
        </w:rPr>
        <w:t xml:space="preserve">Млади </w:t>
      </w:r>
      <w:r w:rsidR="00830F42">
        <w:rPr>
          <w:rFonts w:ascii="Times New Roman" w:hAnsi="Times New Roman" w:cs="Times New Roman"/>
          <w:sz w:val="24"/>
          <w:szCs w:val="24"/>
          <w:lang/>
        </w:rPr>
        <w:lastRenderedPageBreak/>
        <w:t xml:space="preserve">представљају посебну групу грађана која, према мишљењу учесника у процесу израде стратешког докумена, не учествују довољно у култури града. </w:t>
      </w:r>
      <w:r w:rsidR="006772F2">
        <w:rPr>
          <w:rFonts w:ascii="Times New Roman" w:hAnsi="Times New Roman" w:cs="Times New Roman"/>
          <w:sz w:val="24"/>
          <w:szCs w:val="24"/>
          <w:lang/>
        </w:rPr>
        <w:t>Стога је општи циљ првог стратешког документа у култури града Сомбора успостављање низа партиципативних механизама који ће допринети већем учешћу грађана не само као публике на програмима, већ и као стваралаца и чувара наслеђа, критичара садржаја и културне политике, креатора програма и носилаца промена мера и система у складу са потребама и навикама Сомбораца.</w:t>
      </w:r>
    </w:p>
    <w:p w:rsidR="0099762F" w:rsidRDefault="006772F2" w:rsidP="006772F2">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Анализа је показала да се тренутан број учесника у култури града креће око 82.000. Највећи део учесника чини публика </w:t>
      </w:r>
      <w:r w:rsidR="00ED59C9">
        <w:rPr>
          <w:rFonts w:ascii="Times New Roman" w:hAnsi="Times New Roman" w:cs="Times New Roman"/>
          <w:sz w:val="24"/>
          <w:szCs w:val="24"/>
          <w:lang/>
        </w:rPr>
        <w:t>која броји око 80.000 грађана Сомбора. Бројност публике заснована је на егзактним подацима о броју посетилаца програма установа културе (70.893), посећености наступа из упитника који су КУД-ови попуњавали за потребе Министарства културе и информисања, и проценама о броју посетилаца на програмима које организују друга удружења у култури, а на основу посећености током ранијих година. Учеснике у култури чине и запослени у установама културе, чланови културно-уменичких друштава (на основу поменутих упитника), као и други ангажовани у удружењима која независно од установа организују програме.</w:t>
      </w:r>
      <w:r w:rsidR="00E11651">
        <w:rPr>
          <w:rFonts w:ascii="Times New Roman" w:hAnsi="Times New Roman" w:cs="Times New Roman"/>
          <w:sz w:val="24"/>
          <w:szCs w:val="24"/>
          <w:lang/>
        </w:rPr>
        <w:t xml:space="preserve"> Редовним истраживањима културних потреба и навика, које стратегија предвиђа, културна понуда и динамика културне сцене биће резултат и широког консултативног процеса и директне комуникације са</w:t>
      </w:r>
      <w:r w:rsidR="00ED59C9">
        <w:rPr>
          <w:rFonts w:ascii="Times New Roman" w:hAnsi="Times New Roman" w:cs="Times New Roman"/>
          <w:sz w:val="24"/>
          <w:szCs w:val="24"/>
          <w:lang/>
        </w:rPr>
        <w:t xml:space="preserve"> </w:t>
      </w:r>
      <w:r w:rsidR="00E11651">
        <w:rPr>
          <w:rFonts w:ascii="Times New Roman" w:hAnsi="Times New Roman" w:cs="Times New Roman"/>
          <w:sz w:val="24"/>
          <w:szCs w:val="24"/>
          <w:lang/>
        </w:rPr>
        <w:t>публиком, грађанима и посетиоцима Сомбора</w:t>
      </w:r>
    </w:p>
    <w:p w:rsidR="00ED59C9" w:rsidRDefault="00ED59C9" w:rsidP="006772F2">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Стратегијом ће бити успостављени прецизнији механизми праћења </w:t>
      </w:r>
      <w:r w:rsidR="00E11651">
        <w:rPr>
          <w:rFonts w:ascii="Times New Roman" w:hAnsi="Times New Roman" w:cs="Times New Roman"/>
          <w:sz w:val="24"/>
          <w:szCs w:val="24"/>
          <w:lang/>
        </w:rPr>
        <w:t xml:space="preserve">броја </w:t>
      </w:r>
      <w:r>
        <w:rPr>
          <w:rFonts w:ascii="Times New Roman" w:hAnsi="Times New Roman" w:cs="Times New Roman"/>
          <w:sz w:val="24"/>
          <w:szCs w:val="24"/>
          <w:lang/>
        </w:rPr>
        <w:t>учесника у пољу културе, како у оквиру публике, тако и у оквиру независне културне сцене у Сомбору, новоуспостављених радних тела</w:t>
      </w:r>
      <w:r w:rsidR="00E11651">
        <w:rPr>
          <w:rFonts w:ascii="Times New Roman" w:hAnsi="Times New Roman" w:cs="Times New Roman"/>
          <w:sz w:val="24"/>
          <w:szCs w:val="24"/>
          <w:lang/>
        </w:rPr>
        <w:t xml:space="preserve">, као и запослених и новозапослених у установама културе, али и запослених у школама, који ће кроз сарадњу са ресором културе утицати на посећеност и промене у пољу културе. </w:t>
      </w:r>
    </w:p>
    <w:p w:rsidR="00E11651" w:rsidRDefault="00E11651" w:rsidP="006772F2">
      <w:pPr>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Мерама и активностиа које стратегија предвиђа, а то су великим делом алати усмерени на повећање партиципације грађана и развоја партиципативног модела културне политике, очекује се повећање учесника у култури за 10.000 у 2025. години. </w:t>
      </w:r>
      <w:r w:rsidR="00464CC0">
        <w:rPr>
          <w:rFonts w:ascii="Times New Roman" w:hAnsi="Times New Roman" w:cs="Times New Roman"/>
          <w:sz w:val="24"/>
          <w:szCs w:val="24"/>
          <w:lang/>
        </w:rPr>
        <w:t xml:space="preserve">Значајан </w:t>
      </w:r>
      <w:r>
        <w:rPr>
          <w:rFonts w:ascii="Times New Roman" w:hAnsi="Times New Roman" w:cs="Times New Roman"/>
          <w:sz w:val="24"/>
          <w:szCs w:val="24"/>
          <w:lang/>
        </w:rPr>
        <w:t>део повећања свакако ће чинити раст бројности публике</w:t>
      </w:r>
      <w:r w:rsidR="00464CC0">
        <w:rPr>
          <w:rFonts w:ascii="Times New Roman" w:hAnsi="Times New Roman" w:cs="Times New Roman"/>
          <w:sz w:val="24"/>
          <w:szCs w:val="24"/>
          <w:lang/>
        </w:rPr>
        <w:t>, док ће мањи део чинити повећање дирек</w:t>
      </w:r>
      <w:r w:rsidR="00784879" w:rsidRPr="006C6FB5">
        <w:rPr>
          <w:rFonts w:ascii="Times New Roman" w:hAnsi="Times New Roman" w:cs="Times New Roman"/>
          <w:sz w:val="24"/>
          <w:szCs w:val="24"/>
          <w:lang/>
        </w:rPr>
        <w:t>т</w:t>
      </w:r>
      <w:r w:rsidR="00464CC0">
        <w:rPr>
          <w:rFonts w:ascii="Times New Roman" w:hAnsi="Times New Roman" w:cs="Times New Roman"/>
          <w:sz w:val="24"/>
          <w:szCs w:val="24"/>
          <w:lang/>
        </w:rPr>
        <w:t>них учесника у културној политици</w:t>
      </w:r>
      <w:r>
        <w:rPr>
          <w:rFonts w:ascii="Times New Roman" w:hAnsi="Times New Roman" w:cs="Times New Roman"/>
          <w:sz w:val="24"/>
          <w:szCs w:val="24"/>
          <w:lang/>
        </w:rPr>
        <w:t xml:space="preserve">. </w:t>
      </w:r>
    </w:p>
    <w:p w:rsidR="0099762F" w:rsidRPr="00BF1177" w:rsidRDefault="0099762F" w:rsidP="00D33C02">
      <w:pPr>
        <w:pStyle w:val="Heading2"/>
        <w:numPr>
          <w:ilvl w:val="1"/>
          <w:numId w:val="13"/>
        </w:numPr>
        <w:spacing w:before="0"/>
        <w:rPr>
          <w:b/>
        </w:rPr>
      </w:pPr>
      <w:bookmarkStart w:id="22" w:name="_Toc36072298"/>
      <w:r w:rsidRPr="00BF1177">
        <w:rPr>
          <w:b/>
        </w:rPr>
        <w:t>Посебни циљеви</w:t>
      </w:r>
      <w:bookmarkEnd w:id="22"/>
      <w:r w:rsidRPr="00BF1177">
        <w:rPr>
          <w:b/>
        </w:rPr>
        <w:t xml:space="preserve"> </w:t>
      </w:r>
    </w:p>
    <w:p w:rsidR="0099762F" w:rsidRPr="0099762F" w:rsidRDefault="0099762F" w:rsidP="0099762F">
      <w:pPr>
        <w:spacing w:after="0"/>
      </w:pP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Посебни циљеви оријентисани су на унапређење система културе у граду, као и развој публике и програма:</w:t>
      </w:r>
    </w:p>
    <w:p w:rsidR="0099762F" w:rsidRPr="0099762F" w:rsidRDefault="0099762F" w:rsidP="0099762F">
      <w:pPr>
        <w:spacing w:after="0"/>
        <w:ind w:firstLine="720"/>
        <w:jc w:val="both"/>
        <w:rPr>
          <w:rFonts w:ascii="Times New Roman" w:hAnsi="Times New Roman" w:cs="Times New Roman"/>
          <w:sz w:val="24"/>
          <w:szCs w:val="24"/>
        </w:rPr>
      </w:pPr>
    </w:p>
    <w:p w:rsidR="0099762F" w:rsidRPr="00BF1177" w:rsidRDefault="0099762F" w:rsidP="00BF1177">
      <w:pPr>
        <w:pStyle w:val="Heading3"/>
        <w:shd w:val="clear" w:color="auto" w:fill="A6A6A6" w:themeFill="background1" w:themeFillShade="A6"/>
        <w:rPr>
          <w:b/>
          <w:color w:val="FFFFFF" w:themeColor="background1"/>
        </w:rPr>
      </w:pPr>
      <w:bookmarkStart w:id="23" w:name="_Toc36072299"/>
      <w:r w:rsidRPr="00BF1177">
        <w:rPr>
          <w:b/>
          <w:color w:val="FFFFFF" w:themeColor="background1"/>
        </w:rPr>
        <w:t>Посебни циљ 1: Унапређење система функционисања културе у граду Сомбору</w:t>
      </w:r>
      <w:bookmarkEnd w:id="23"/>
    </w:p>
    <w:p w:rsidR="0099762F" w:rsidRPr="0099762F" w:rsidRDefault="0099762F" w:rsidP="0099762F">
      <w:pPr>
        <w:spacing w:after="0"/>
        <w:ind w:firstLine="720"/>
        <w:jc w:val="both"/>
        <w:rPr>
          <w:rFonts w:ascii="Times New Roman" w:hAnsi="Times New Roman" w:cs="Times New Roman"/>
          <w:sz w:val="24"/>
          <w:szCs w:val="24"/>
        </w:rPr>
      </w:pP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Први посебни циљ посвећен је унапређењу функционисања свих актера у култури на територији града Сомбора. Овај циљ односи се и на све актере који утичу на развој културе.</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Као најважније мере дефинисане су: </w:t>
      </w:r>
    </w:p>
    <w:p w:rsidR="0099762F" w:rsidRPr="0099762F" w:rsidRDefault="0099762F" w:rsidP="0099762F">
      <w:pPr>
        <w:spacing w:after="0"/>
        <w:ind w:firstLine="720"/>
        <w:jc w:val="both"/>
        <w:rPr>
          <w:rFonts w:ascii="Times New Roman" w:hAnsi="Times New Roman" w:cs="Times New Roman"/>
          <w:sz w:val="24"/>
          <w:szCs w:val="24"/>
        </w:rPr>
      </w:pPr>
    </w:p>
    <w:p w:rsidR="0099762F" w:rsidRPr="0099762F" w:rsidRDefault="0099762F" w:rsidP="00E06728">
      <w:pPr>
        <w:pStyle w:val="Heading4"/>
        <w:shd w:val="clear" w:color="auto" w:fill="D9D9D9" w:themeFill="background1" w:themeFillShade="D9"/>
      </w:pPr>
      <w:r w:rsidRPr="0099762F">
        <w:rPr>
          <w:shd w:val="clear" w:color="auto" w:fill="D9D9D9" w:themeFill="background1" w:themeFillShade="D9"/>
        </w:rPr>
        <w:lastRenderedPageBreak/>
        <w:t>Мера 1.1: Унапређење система управљања и координације у области културе</w:t>
      </w:r>
    </w:p>
    <w:p w:rsidR="0099762F" w:rsidRPr="0099762F" w:rsidRDefault="0099762F" w:rsidP="0099762F">
      <w:pPr>
        <w:spacing w:after="0"/>
        <w:ind w:firstLine="720"/>
        <w:jc w:val="both"/>
        <w:rPr>
          <w:rFonts w:ascii="Times New Roman" w:hAnsi="Times New Roman" w:cs="Times New Roman"/>
          <w:sz w:val="24"/>
          <w:szCs w:val="24"/>
        </w:rPr>
      </w:pP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У оквиру фокус група и на састанцима са Радном групом апострофирано је неколико изазова у самој координацији и комуникацији различитих актера релевантних за област културе. У том смислу предвиђено је неколико кључних активности</w:t>
      </w:r>
      <w:r w:rsidR="00E06728">
        <w:rPr>
          <w:rFonts w:ascii="Times New Roman" w:hAnsi="Times New Roman" w:cs="Times New Roman"/>
          <w:sz w:val="24"/>
          <w:szCs w:val="24"/>
        </w:rPr>
        <w:t>:</w:t>
      </w:r>
    </w:p>
    <w:p w:rsidR="00E06728" w:rsidRPr="0099762F" w:rsidRDefault="00E06728" w:rsidP="0099762F">
      <w:pPr>
        <w:spacing w:after="0"/>
        <w:ind w:firstLine="720"/>
        <w:jc w:val="both"/>
        <w:rPr>
          <w:rFonts w:ascii="Times New Roman" w:hAnsi="Times New Roman" w:cs="Times New Roman"/>
          <w:sz w:val="24"/>
          <w:szCs w:val="24"/>
        </w:rPr>
      </w:pPr>
    </w:p>
    <w:p w:rsidR="0099762F" w:rsidRPr="0099762F" w:rsidRDefault="0099762F" w:rsidP="00B03CD2">
      <w:pPr>
        <w:numPr>
          <w:ilvl w:val="2"/>
          <w:numId w:val="17"/>
        </w:numPr>
        <w:spacing w:after="0"/>
        <w:contextualSpacing/>
        <w:jc w:val="both"/>
        <w:rPr>
          <w:rFonts w:ascii="Times New Roman" w:hAnsi="Times New Roman" w:cs="Times New Roman"/>
          <w:i/>
          <w:sz w:val="24"/>
          <w:szCs w:val="24"/>
          <w:u w:val="single"/>
        </w:rPr>
      </w:pPr>
      <w:r w:rsidRPr="0099762F">
        <w:rPr>
          <w:rFonts w:ascii="Times New Roman" w:hAnsi="Times New Roman" w:cs="Times New Roman"/>
          <w:i/>
          <w:sz w:val="24"/>
          <w:szCs w:val="24"/>
          <w:u w:val="single"/>
        </w:rPr>
        <w:t>Оснивање Савета за културу на нивоу града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Савет за културу ће пратити имплементацију Стратегије развоја културе, вршити мониторинг и евалуацију реализованих активности и усмеравати даљу реализацију стратешких циљева и мера. Поред тога Савет за културу ће пружати стручну подршку доносиоцу одлука. Планирано је да Савет за културу буде сачињен од експерата у области културе и уметности и других стручњака који могу допринети њеном развоју. Савет за културу биће независно тело и вршиће саветодавну улогу властима. </w:t>
      </w:r>
    </w:p>
    <w:p w:rsidR="0099762F" w:rsidRPr="0099762F" w:rsidRDefault="0099762F" w:rsidP="0099762F">
      <w:pPr>
        <w:spacing w:after="0"/>
        <w:ind w:firstLine="720"/>
        <w:jc w:val="both"/>
        <w:rPr>
          <w:rFonts w:ascii="Times New Roman" w:hAnsi="Times New Roman" w:cs="Times New Roman"/>
          <w:sz w:val="24"/>
          <w:szCs w:val="24"/>
        </w:rPr>
      </w:pPr>
    </w:p>
    <w:p w:rsidR="0099762F" w:rsidRPr="0099762F" w:rsidRDefault="0099762F" w:rsidP="00B03CD2">
      <w:pPr>
        <w:numPr>
          <w:ilvl w:val="2"/>
          <w:numId w:val="17"/>
        </w:numPr>
        <w:spacing w:after="0"/>
        <w:contextualSpacing/>
        <w:jc w:val="both"/>
        <w:rPr>
          <w:rFonts w:ascii="Times New Roman" w:hAnsi="Times New Roman" w:cs="Times New Roman"/>
          <w:i/>
          <w:sz w:val="24"/>
          <w:szCs w:val="24"/>
          <w:u w:val="single"/>
        </w:rPr>
      </w:pPr>
      <w:r w:rsidRPr="0099762F">
        <w:rPr>
          <w:rFonts w:ascii="Times New Roman" w:hAnsi="Times New Roman" w:cs="Times New Roman"/>
          <w:i/>
          <w:sz w:val="24"/>
          <w:szCs w:val="24"/>
          <w:u w:val="single"/>
        </w:rPr>
        <w:t>Доношење Меморандума о сарадњи између установа образовања и културе</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Како је сарадња установа културе и образовања од стране свих учесника у фокус групама и радионица препозната као најзначајнији вид промоције и развоја будуће публике, уз истовремену констатацију да сарадња са школама почива на ентузијазму појединаца доношење правног документа ради учвршћивања везе између школа и установа културе постављена је као важна потреба. Крагујевац је једини пример града у Србији који је донео овакав меморандум</w:t>
      </w:r>
      <w:r w:rsidRPr="0099762F">
        <w:rPr>
          <w:rFonts w:ascii="Times New Roman" w:hAnsi="Times New Roman" w:cs="Times New Roman"/>
          <w:sz w:val="24"/>
          <w:szCs w:val="24"/>
          <w:vertAlign w:val="superscript"/>
        </w:rPr>
        <w:footnoteReference w:id="30"/>
      </w:r>
      <w:r w:rsidRPr="0099762F">
        <w:rPr>
          <w:rFonts w:ascii="Times New Roman" w:hAnsi="Times New Roman" w:cs="Times New Roman"/>
          <w:sz w:val="24"/>
          <w:szCs w:val="24"/>
        </w:rPr>
        <w:t xml:space="preserve"> који може послужити као пример добре праксе за сомборски документ. Меморандум Града Крагујевца има за циљ „укључивање основних и средњих школа у културне догађаје у организацији установа културе Града, како би се унапредио развој културних потреба и навика ученика и подигла свест о значају савременог стваралаштва и културно-историјског наслеђа града Крагујевца, и културама других народа“</w:t>
      </w:r>
      <w:r w:rsidRPr="0099762F">
        <w:rPr>
          <w:rFonts w:ascii="Times New Roman" w:hAnsi="Times New Roman" w:cs="Times New Roman"/>
          <w:sz w:val="24"/>
          <w:szCs w:val="24"/>
          <w:vertAlign w:val="superscript"/>
        </w:rPr>
        <w:footnoteReference w:id="31"/>
      </w:r>
    </w:p>
    <w:p w:rsidR="0099762F" w:rsidRPr="0099762F" w:rsidRDefault="0099762F" w:rsidP="0099762F">
      <w:pPr>
        <w:spacing w:after="0"/>
        <w:ind w:firstLine="720"/>
        <w:jc w:val="both"/>
        <w:rPr>
          <w:rFonts w:ascii="Times New Roman" w:hAnsi="Times New Roman" w:cs="Times New Roman"/>
          <w:sz w:val="24"/>
          <w:szCs w:val="24"/>
        </w:rPr>
      </w:pPr>
    </w:p>
    <w:p w:rsidR="0099762F" w:rsidRPr="0099762F" w:rsidRDefault="0099762F" w:rsidP="00B03CD2">
      <w:pPr>
        <w:numPr>
          <w:ilvl w:val="2"/>
          <w:numId w:val="17"/>
        </w:numPr>
        <w:spacing w:after="0"/>
        <w:contextualSpacing/>
        <w:jc w:val="both"/>
        <w:rPr>
          <w:rFonts w:ascii="Times New Roman" w:hAnsi="Times New Roman" w:cs="Times New Roman"/>
          <w:i/>
          <w:sz w:val="24"/>
          <w:szCs w:val="24"/>
          <w:u w:val="single"/>
        </w:rPr>
      </w:pPr>
      <w:r w:rsidRPr="0099762F">
        <w:rPr>
          <w:rFonts w:ascii="Times New Roman" w:hAnsi="Times New Roman" w:cs="Times New Roman"/>
          <w:i/>
          <w:sz w:val="24"/>
          <w:szCs w:val="24"/>
          <w:u w:val="single"/>
        </w:rPr>
        <w:t>Укључивање наставника у рад УО установа културе</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Именовање просветних радника у чланство управних одбора установа културе допринело би прилагођавању програма установа потребама ученика, а у складу са наставним плановима и програмима. </w:t>
      </w:r>
    </w:p>
    <w:p w:rsidR="0099762F" w:rsidRPr="0099762F" w:rsidRDefault="0099762F" w:rsidP="0099762F">
      <w:pPr>
        <w:spacing w:after="0"/>
        <w:ind w:firstLine="720"/>
        <w:jc w:val="both"/>
        <w:rPr>
          <w:rFonts w:ascii="Times New Roman" w:hAnsi="Times New Roman" w:cs="Times New Roman"/>
          <w:sz w:val="24"/>
          <w:szCs w:val="24"/>
        </w:rPr>
      </w:pPr>
    </w:p>
    <w:p w:rsidR="0099762F" w:rsidRDefault="0099762F" w:rsidP="00B03CD2">
      <w:pPr>
        <w:numPr>
          <w:ilvl w:val="2"/>
          <w:numId w:val="17"/>
        </w:numPr>
        <w:spacing w:after="0"/>
        <w:contextualSpacing/>
        <w:jc w:val="both"/>
        <w:rPr>
          <w:rFonts w:ascii="Times New Roman" w:hAnsi="Times New Roman" w:cs="Times New Roman"/>
          <w:i/>
          <w:sz w:val="24"/>
          <w:szCs w:val="24"/>
          <w:u w:val="single"/>
        </w:rPr>
      </w:pPr>
      <w:r w:rsidRPr="0099762F">
        <w:rPr>
          <w:rFonts w:ascii="Times New Roman" w:hAnsi="Times New Roman" w:cs="Times New Roman"/>
          <w:i/>
          <w:sz w:val="24"/>
          <w:szCs w:val="24"/>
          <w:u w:val="single"/>
        </w:rPr>
        <w:t>Оснивање Савета аматера у култури на нивоу града</w:t>
      </w:r>
    </w:p>
    <w:p w:rsidR="00E06728" w:rsidRPr="00335B82" w:rsidRDefault="00E06728" w:rsidP="00E06728">
      <w:pPr>
        <w:spacing w:after="0"/>
        <w:ind w:firstLine="720"/>
        <w:contextualSpacing/>
        <w:jc w:val="both"/>
        <w:rPr>
          <w:rFonts w:ascii="Times New Roman" w:hAnsi="Times New Roman" w:cs="Times New Roman"/>
          <w:sz w:val="24"/>
          <w:szCs w:val="24"/>
        </w:rPr>
      </w:pPr>
      <w:r w:rsidRPr="00D13C95">
        <w:rPr>
          <w:rFonts w:ascii="Times New Roman" w:hAnsi="Times New Roman" w:cs="Times New Roman"/>
          <w:sz w:val="24"/>
          <w:szCs w:val="24"/>
        </w:rPr>
        <w:t>С обзиром на то да Сомбор има велики број културно-уметничких друштава, акциони план предлаже оснивање Савета аматера који би био стручна и организациона подршка друштвима. Такође, савет би помогао и рад кореографа, као и активности локалне самоуправе у домену подршке аматеризму.</w:t>
      </w:r>
      <w:r w:rsidRPr="00335B82">
        <w:rPr>
          <w:rFonts w:ascii="Times New Roman" w:hAnsi="Times New Roman" w:cs="Times New Roman"/>
          <w:sz w:val="24"/>
          <w:szCs w:val="24"/>
        </w:rPr>
        <w:t xml:space="preserve"> </w:t>
      </w:r>
    </w:p>
    <w:p w:rsidR="0099762F" w:rsidRPr="0099762F" w:rsidRDefault="0099762F" w:rsidP="0099762F">
      <w:pPr>
        <w:spacing w:after="0"/>
        <w:ind w:left="720"/>
        <w:jc w:val="both"/>
        <w:rPr>
          <w:rFonts w:ascii="Times New Roman" w:hAnsi="Times New Roman" w:cs="Times New Roman"/>
          <w:sz w:val="24"/>
          <w:szCs w:val="24"/>
        </w:rPr>
      </w:pPr>
    </w:p>
    <w:p w:rsidR="0099762F" w:rsidRPr="00E067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lastRenderedPageBreak/>
        <w:t>Успостављање система редовних састанака надлежног члана градског већа и представника установа културе, уз присуство и цивилног сектора према потребама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Пракса редовних састанака члана Градског већа за културу са директорима установа постојала је и раније, али се у </w:t>
      </w:r>
      <w:r w:rsidR="00711A66">
        <w:rPr>
          <w:rFonts w:ascii="Times New Roman" w:hAnsi="Times New Roman" w:cs="Times New Roman"/>
          <w:sz w:val="24"/>
          <w:szCs w:val="24"/>
          <w:lang/>
        </w:rPr>
        <w:t>једном</w:t>
      </w:r>
      <w:r w:rsidR="00711A66">
        <w:rPr>
          <w:rFonts w:ascii="Times New Roman" w:hAnsi="Times New Roman" w:cs="Times New Roman"/>
          <w:sz w:val="24"/>
          <w:szCs w:val="24"/>
        </w:rPr>
        <w:t xml:space="preserve"> тренутк</w:t>
      </w:r>
      <w:r w:rsidRPr="0099762F">
        <w:rPr>
          <w:rFonts w:ascii="Times New Roman" w:hAnsi="Times New Roman" w:cs="Times New Roman"/>
          <w:sz w:val="24"/>
          <w:szCs w:val="24"/>
        </w:rPr>
        <w:t>у са њом престало. Ови састанци могу значајно допринети бољем функционисању установа културе, али и бољој међусобној сарадњи. Такође, сви изазови са којима се установе сусрећу на овај начин се благовремено превазилазе. Састанцима би према потреби требало прикључивати и организације цивилног друштва који доприносе културној понуди и сцени у Сомбору.</w:t>
      </w:r>
    </w:p>
    <w:p w:rsidR="0099762F" w:rsidRPr="0099762F" w:rsidRDefault="0099762F" w:rsidP="0099762F">
      <w:pPr>
        <w:spacing w:after="0"/>
        <w:ind w:firstLine="720"/>
        <w:jc w:val="both"/>
        <w:rPr>
          <w:rFonts w:ascii="Times New Roman" w:hAnsi="Times New Roman" w:cs="Times New Roman"/>
          <w:sz w:val="24"/>
          <w:szCs w:val="24"/>
        </w:rPr>
      </w:pPr>
    </w:p>
    <w:p w:rsidR="0099762F" w:rsidRPr="00E067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 xml:space="preserve">Доношење и спровођење Одлуке о плаћању пореза и доприноса самосталним уметницима и стручњацима у култури </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Неколико градова у Србији је већ донело Одлуку о уплати доприноса за пензијско, инвалидско и здравствено осигурање лицима која су стекла статус лица која самостално обављају уметничку или другу делатност у области културе. Право на доприносе имају физичка лица са пребивалиштем у граду који доноси одлуку, која самостално обављају уметничку делатност и/или обављају научноистраживачке, теоријско-критичке, едукативне, продуцентске, организаторске и менаџерске послове у култури, и којима су репрезентативна удружења у култури утврдила статус самосталних уметника/самосталних стручњака у култури. Важно је поменути да се до сада у свим градовима који су донели ову одлуку, валоризује само рад уметника, али не и стручњака у култури. Уколико прихвати да исплаћује порезе и доприносе и самосталним уметницима и самосталним стручњацима у култури, Град Сомбор би био први град који покреће такву праксу.</w:t>
      </w:r>
    </w:p>
    <w:p w:rsidR="0099762F" w:rsidRPr="0099762F" w:rsidRDefault="0099762F" w:rsidP="0099762F">
      <w:pPr>
        <w:spacing w:after="0"/>
        <w:ind w:firstLine="720"/>
        <w:jc w:val="both"/>
        <w:rPr>
          <w:rFonts w:ascii="Times New Roman" w:hAnsi="Times New Roman" w:cs="Times New Roman"/>
          <w:sz w:val="24"/>
          <w:szCs w:val="24"/>
        </w:rPr>
      </w:pPr>
    </w:p>
    <w:p w:rsidR="0099762F" w:rsidRPr="00E067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Доношење одлуке о моделу и начину уступања атељеа локалним уметницима</w:t>
      </w:r>
    </w:p>
    <w:p w:rsidR="0099762F" w:rsidRPr="0099762F" w:rsidRDefault="0099762F" w:rsidP="0099762F">
      <w:pPr>
        <w:spacing w:after="0"/>
        <w:jc w:val="both"/>
        <w:rPr>
          <w:rFonts w:ascii="Times New Roman" w:hAnsi="Times New Roman" w:cs="Times New Roman"/>
          <w:sz w:val="24"/>
          <w:szCs w:val="24"/>
        </w:rPr>
      </w:pPr>
      <w:r w:rsidRPr="0099762F">
        <w:rPr>
          <w:rFonts w:ascii="Times New Roman" w:hAnsi="Times New Roman" w:cs="Times New Roman"/>
          <w:sz w:val="24"/>
          <w:szCs w:val="24"/>
        </w:rPr>
        <w:tab/>
        <w:t>Сомбор је град значајне ликовне традиције, али и савременог ликовног стваралаштва и продукције. Интервјуи у оквиру фокус група и резултати радионица показали су потребу за просторима за локалне уметнике који својим стваралаштвом унапређују културну сцену Града. Град Панчево је један од градова са најдужом традицијом обезбеђивања атељеа за ум</w:t>
      </w:r>
      <w:r w:rsidR="00B6147F">
        <w:rPr>
          <w:rFonts w:ascii="Times New Roman" w:hAnsi="Times New Roman" w:cs="Times New Roman"/>
          <w:sz w:val="24"/>
          <w:szCs w:val="24"/>
        </w:rPr>
        <w:t>етнике. Почетком 2018. године</w:t>
      </w:r>
      <w:r w:rsidRPr="0099762F">
        <w:rPr>
          <w:rFonts w:ascii="Times New Roman" w:hAnsi="Times New Roman" w:cs="Times New Roman"/>
          <w:sz w:val="24"/>
          <w:szCs w:val="24"/>
        </w:rPr>
        <w:t xml:space="preserve"> Градска управа Панчево је последњи пут ревидирала Одлуку о давању у закуп атељеа</w:t>
      </w:r>
      <w:r w:rsidRPr="0099762F">
        <w:rPr>
          <w:rFonts w:ascii="Times New Roman" w:hAnsi="Times New Roman" w:cs="Times New Roman"/>
          <w:sz w:val="24"/>
          <w:szCs w:val="24"/>
          <w:vertAlign w:val="superscript"/>
        </w:rPr>
        <w:footnoteReference w:id="32"/>
      </w:r>
      <w:r w:rsidRPr="0099762F">
        <w:rPr>
          <w:rFonts w:ascii="Times New Roman" w:hAnsi="Times New Roman" w:cs="Times New Roman"/>
          <w:sz w:val="24"/>
          <w:szCs w:val="24"/>
        </w:rPr>
        <w:t xml:space="preserve"> и у сарадњи са уметницима усагласила критеријуме за давање у закуп атељеа на период од пет година. Одлуку усвојила је Скупштина града Панчева. Само неки од критеријума за обезбеђивање права на закуп атељеа су: чланство у неком од репрезентативних удружења и статус самосталног уметника,  уметнички опус и активност уметника у последњих пет година, као и награде и откупљени радови, самосталне изложбе у Србији и у иностранству, групне изложбе, учешћа у уметничким колонијама и радионицама, и социјално-друштвена ангажованост, односно рад са осетљивим групама, еколошки ангажмани, рад са децом и донирање радова у хуманитарне сврхе. Одлука Града Панчева може послужити као пример за доношење сличног документа на нивоу Сомбора.</w:t>
      </w:r>
    </w:p>
    <w:p w:rsidR="0099762F" w:rsidRPr="0099762F" w:rsidRDefault="0099762F" w:rsidP="0099762F">
      <w:pPr>
        <w:spacing w:after="0"/>
        <w:jc w:val="both"/>
        <w:rPr>
          <w:rFonts w:ascii="Times New Roman" w:hAnsi="Times New Roman" w:cs="Times New Roman"/>
          <w:sz w:val="24"/>
          <w:szCs w:val="24"/>
        </w:rPr>
      </w:pPr>
    </w:p>
    <w:p w:rsidR="0099762F" w:rsidRPr="0099762F" w:rsidRDefault="0099762F" w:rsidP="00E06728">
      <w:pPr>
        <w:pStyle w:val="Heading4"/>
        <w:shd w:val="clear" w:color="auto" w:fill="D9D9D9" w:themeFill="background1" w:themeFillShade="D9"/>
      </w:pPr>
      <w:r w:rsidRPr="0099762F">
        <w:lastRenderedPageBreak/>
        <w:t>Мера 1.2: Унапређење кадровске структуре запослених у установама културе</w:t>
      </w:r>
    </w:p>
    <w:p w:rsidR="0099762F" w:rsidRPr="0099762F" w:rsidRDefault="0099762F" w:rsidP="0099762F">
      <w:pPr>
        <w:spacing w:after="0"/>
        <w:jc w:val="both"/>
        <w:rPr>
          <w:rFonts w:ascii="Times New Roman" w:hAnsi="Times New Roman" w:cs="Times New Roman"/>
          <w:sz w:val="24"/>
          <w:szCs w:val="24"/>
        </w:rPr>
      </w:pPr>
    </w:p>
    <w:p w:rsidR="00E06728" w:rsidRPr="00E06728" w:rsidRDefault="00E06728" w:rsidP="00B03CD2">
      <w:pPr>
        <w:pStyle w:val="ListParagraph"/>
        <w:numPr>
          <w:ilvl w:val="1"/>
          <w:numId w:val="17"/>
        </w:numPr>
        <w:spacing w:after="0"/>
        <w:jc w:val="both"/>
        <w:rPr>
          <w:rFonts w:ascii="Times New Roman" w:hAnsi="Times New Roman" w:cs="Times New Roman"/>
          <w:vanish/>
          <w:sz w:val="24"/>
          <w:szCs w:val="24"/>
        </w:rPr>
      </w:pPr>
    </w:p>
    <w:p w:rsidR="00E06728" w:rsidRPr="00E06728" w:rsidRDefault="00E06728" w:rsidP="00B03CD2">
      <w:pPr>
        <w:pStyle w:val="ListParagraph"/>
        <w:numPr>
          <w:ilvl w:val="1"/>
          <w:numId w:val="17"/>
        </w:numPr>
        <w:spacing w:after="0"/>
        <w:jc w:val="both"/>
        <w:rPr>
          <w:rFonts w:ascii="Times New Roman" w:hAnsi="Times New Roman" w:cs="Times New Roman"/>
          <w:vanish/>
          <w:sz w:val="24"/>
          <w:szCs w:val="24"/>
        </w:rPr>
      </w:pPr>
    </w:p>
    <w:p w:rsidR="00E06728" w:rsidRPr="00E06728" w:rsidRDefault="0099762F" w:rsidP="00B03CD2">
      <w:pPr>
        <w:pStyle w:val="ListParagraph"/>
        <w:numPr>
          <w:ilvl w:val="2"/>
          <w:numId w:val="19"/>
        </w:numPr>
        <w:spacing w:after="0"/>
        <w:jc w:val="both"/>
        <w:rPr>
          <w:rFonts w:ascii="Times New Roman" w:hAnsi="Times New Roman" w:cs="Times New Roman"/>
          <w:sz w:val="24"/>
          <w:szCs w:val="24"/>
        </w:rPr>
      </w:pPr>
      <w:r w:rsidRPr="00E06728">
        <w:rPr>
          <w:rFonts w:ascii="Times New Roman" w:hAnsi="Times New Roman" w:cs="Times New Roman"/>
          <w:i/>
          <w:sz w:val="24"/>
          <w:szCs w:val="24"/>
          <w:u w:val="single"/>
        </w:rPr>
        <w:t>Анализа стања и потреба људских ресурса у установама културе</w:t>
      </w:r>
    </w:p>
    <w:p w:rsidR="0099762F" w:rsidRPr="00E06728" w:rsidRDefault="0099762F" w:rsidP="00B03CD2">
      <w:pPr>
        <w:pStyle w:val="ListParagraph"/>
        <w:numPr>
          <w:ilvl w:val="2"/>
          <w:numId w:val="19"/>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Повећање броја запослених у култури града Сомбора на основу анализе</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Све установе културе истакле су потребу за додатним кадровима</w:t>
      </w:r>
      <w:r w:rsidRPr="0099762F">
        <w:rPr>
          <w:rFonts w:ascii="Times New Roman" w:hAnsi="Times New Roman" w:cs="Times New Roman"/>
          <w:sz w:val="24"/>
          <w:szCs w:val="24"/>
          <w:vertAlign w:val="superscript"/>
        </w:rPr>
        <w:footnoteReference w:id="33"/>
      </w:r>
      <w:r w:rsidRPr="0099762F">
        <w:rPr>
          <w:rFonts w:ascii="Times New Roman" w:hAnsi="Times New Roman" w:cs="Times New Roman"/>
          <w:sz w:val="24"/>
          <w:szCs w:val="24"/>
        </w:rPr>
        <w:t xml:space="preserve">. То је апострофирано као један од највећих проблема функционисања установа културе. Међутим, како би запошљавање било системски регулисано, оправдано и економски прихватљиво неопходно је урадити анализу потреба у установама културе. Анализа би морала да обухвати и стручна мишљења матичних установа заштите, као и стручно мишљење у домену финансијских параметара. Свеобухватна анализа била би основ за рационално запошљавање људских ресурса.  </w:t>
      </w:r>
    </w:p>
    <w:p w:rsidR="00ED29FD" w:rsidRPr="0099762F" w:rsidRDefault="00ED29FD" w:rsidP="00FC047B">
      <w:pPr>
        <w:spacing w:after="0"/>
        <w:jc w:val="both"/>
        <w:rPr>
          <w:rFonts w:ascii="Times New Roman" w:hAnsi="Times New Roman" w:cs="Times New Roman"/>
          <w:sz w:val="24"/>
          <w:szCs w:val="24"/>
        </w:rPr>
      </w:pPr>
    </w:p>
    <w:p w:rsidR="00E06728" w:rsidRPr="00E06728" w:rsidRDefault="00E06728" w:rsidP="00B03CD2">
      <w:pPr>
        <w:pStyle w:val="ListParagraph"/>
        <w:numPr>
          <w:ilvl w:val="1"/>
          <w:numId w:val="18"/>
        </w:numPr>
        <w:spacing w:after="0"/>
        <w:jc w:val="both"/>
        <w:rPr>
          <w:rFonts w:ascii="Times New Roman" w:hAnsi="Times New Roman" w:cs="Times New Roman"/>
          <w:vanish/>
          <w:sz w:val="24"/>
          <w:szCs w:val="24"/>
        </w:rPr>
      </w:pPr>
    </w:p>
    <w:p w:rsidR="00E06728" w:rsidRPr="00E06728" w:rsidRDefault="00E06728" w:rsidP="00B03CD2">
      <w:pPr>
        <w:pStyle w:val="ListParagraph"/>
        <w:numPr>
          <w:ilvl w:val="1"/>
          <w:numId w:val="18"/>
        </w:numPr>
        <w:spacing w:after="0"/>
        <w:jc w:val="both"/>
        <w:rPr>
          <w:rFonts w:ascii="Times New Roman" w:hAnsi="Times New Roman" w:cs="Times New Roman"/>
          <w:vanish/>
          <w:sz w:val="24"/>
          <w:szCs w:val="24"/>
        </w:rPr>
      </w:pPr>
    </w:p>
    <w:p w:rsidR="00E06728" w:rsidRPr="00E06728" w:rsidRDefault="00E06728" w:rsidP="00B03CD2">
      <w:pPr>
        <w:pStyle w:val="ListParagraph"/>
        <w:numPr>
          <w:ilvl w:val="2"/>
          <w:numId w:val="18"/>
        </w:numPr>
        <w:spacing w:after="0"/>
        <w:jc w:val="both"/>
        <w:rPr>
          <w:rFonts w:ascii="Times New Roman" w:hAnsi="Times New Roman" w:cs="Times New Roman"/>
          <w:vanish/>
          <w:sz w:val="24"/>
          <w:szCs w:val="24"/>
        </w:rPr>
      </w:pPr>
    </w:p>
    <w:p w:rsidR="00E06728" w:rsidRPr="00E06728" w:rsidRDefault="00E06728" w:rsidP="00B03CD2">
      <w:pPr>
        <w:pStyle w:val="ListParagraph"/>
        <w:numPr>
          <w:ilvl w:val="2"/>
          <w:numId w:val="18"/>
        </w:numPr>
        <w:spacing w:after="0"/>
        <w:jc w:val="both"/>
        <w:rPr>
          <w:rFonts w:ascii="Times New Roman" w:hAnsi="Times New Roman" w:cs="Times New Roman"/>
          <w:vanish/>
          <w:sz w:val="24"/>
          <w:szCs w:val="24"/>
        </w:rPr>
      </w:pPr>
    </w:p>
    <w:p w:rsidR="0099762F" w:rsidRPr="00E06728" w:rsidRDefault="0099762F" w:rsidP="00B03CD2">
      <w:pPr>
        <w:pStyle w:val="ListParagraph"/>
        <w:numPr>
          <w:ilvl w:val="2"/>
          <w:numId w:val="19"/>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Редефинисање модела координатора у руралним подручјима у складу са потребама</w:t>
      </w:r>
    </w:p>
    <w:p w:rsidR="0099762F" w:rsidRPr="0099762F" w:rsidRDefault="0099762F" w:rsidP="00532EAD">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Модел координатора за културне програме у насељеним местима је један од највише критикованих решења у свим фокус групама. Стога се јавила потреба да се овај модел унапреди. </w:t>
      </w:r>
      <w:r w:rsidRPr="00335B82">
        <w:rPr>
          <w:rFonts w:ascii="Times New Roman" w:hAnsi="Times New Roman" w:cs="Times New Roman"/>
          <w:sz w:val="24"/>
          <w:szCs w:val="24"/>
        </w:rPr>
        <w:t>Током састанака предложе</w:t>
      </w:r>
      <w:r w:rsidR="00532EAD" w:rsidRPr="00335B82">
        <w:rPr>
          <w:rFonts w:ascii="Times New Roman" w:hAnsi="Times New Roman" w:cs="Times New Roman"/>
          <w:sz w:val="24"/>
          <w:szCs w:val="24"/>
        </w:rPr>
        <w:t>н</w:t>
      </w:r>
      <w:r w:rsidR="00532EAD" w:rsidRPr="00335B82">
        <w:rPr>
          <w:rFonts w:ascii="Times New Roman" w:hAnsi="Times New Roman" w:cs="Times New Roman"/>
          <w:sz w:val="24"/>
          <w:szCs w:val="24"/>
          <w:lang/>
        </w:rPr>
        <w:t xml:space="preserve">о је </w:t>
      </w:r>
      <w:r w:rsidR="00532EAD" w:rsidRPr="00335B82">
        <w:rPr>
          <w:rFonts w:ascii="Times New Roman" w:hAnsi="Times New Roman" w:cs="Times New Roman"/>
          <w:sz w:val="24"/>
          <w:szCs w:val="24"/>
        </w:rPr>
        <w:t>распис</w:t>
      </w:r>
      <w:r w:rsidR="00532EAD" w:rsidRPr="00335B82">
        <w:rPr>
          <w:rFonts w:ascii="Times New Roman" w:hAnsi="Times New Roman" w:cs="Times New Roman"/>
          <w:sz w:val="24"/>
          <w:szCs w:val="24"/>
          <w:lang/>
        </w:rPr>
        <w:t>ивање</w:t>
      </w:r>
      <w:r w:rsidR="00532EAD" w:rsidRPr="00335B82">
        <w:rPr>
          <w:rFonts w:ascii="Times New Roman" w:hAnsi="Times New Roman" w:cs="Times New Roman"/>
          <w:sz w:val="24"/>
          <w:szCs w:val="24"/>
        </w:rPr>
        <w:t xml:space="preserve"> јавн</w:t>
      </w:r>
      <w:r w:rsidR="00532EAD" w:rsidRPr="00335B82">
        <w:rPr>
          <w:rFonts w:ascii="Times New Roman" w:hAnsi="Times New Roman" w:cs="Times New Roman"/>
          <w:sz w:val="24"/>
          <w:szCs w:val="24"/>
          <w:lang/>
        </w:rPr>
        <w:t>ог</w:t>
      </w:r>
      <w:r w:rsidRPr="00335B82">
        <w:rPr>
          <w:rFonts w:ascii="Times New Roman" w:hAnsi="Times New Roman" w:cs="Times New Roman"/>
          <w:sz w:val="24"/>
          <w:szCs w:val="24"/>
        </w:rPr>
        <w:t xml:space="preserve"> конкурс</w:t>
      </w:r>
      <w:r w:rsidR="00295D7B" w:rsidRPr="00335B82">
        <w:rPr>
          <w:rFonts w:ascii="Times New Roman" w:hAnsi="Times New Roman" w:cs="Times New Roman"/>
          <w:sz w:val="24"/>
          <w:szCs w:val="24"/>
          <w:lang/>
        </w:rPr>
        <w:t>а</w:t>
      </w:r>
      <w:r w:rsidRPr="00335B82">
        <w:rPr>
          <w:rFonts w:ascii="Times New Roman" w:hAnsi="Times New Roman" w:cs="Times New Roman"/>
          <w:sz w:val="24"/>
          <w:szCs w:val="24"/>
        </w:rPr>
        <w:t xml:space="preserve"> за позиције координатора </w:t>
      </w:r>
      <w:r w:rsidRPr="00335B82">
        <w:rPr>
          <w:rFonts w:ascii="Times New Roman" w:hAnsi="Times New Roman" w:cs="Times New Roman"/>
          <w:noProof/>
          <w:sz w:val="24"/>
          <w:szCs w:val="24"/>
        </w:rPr>
        <w:t>са јасно дефинисаним критеријумима и задацима</w:t>
      </w:r>
      <w:r w:rsidRPr="0099762F">
        <w:rPr>
          <w:rFonts w:ascii="Times New Roman" w:hAnsi="Times New Roman" w:cs="Times New Roman"/>
          <w:noProof/>
          <w:sz w:val="24"/>
          <w:szCs w:val="24"/>
        </w:rPr>
        <w:t xml:space="preserve"> </w:t>
      </w:r>
    </w:p>
    <w:p w:rsidR="0099762F" w:rsidRPr="0099762F" w:rsidRDefault="0099762F" w:rsidP="0099762F">
      <w:pPr>
        <w:spacing w:after="0"/>
        <w:ind w:left="1418"/>
        <w:contextualSpacing/>
        <w:jc w:val="both"/>
        <w:rPr>
          <w:rFonts w:ascii="Times New Roman" w:hAnsi="Times New Roman" w:cs="Times New Roman"/>
          <w:sz w:val="24"/>
          <w:szCs w:val="24"/>
        </w:rPr>
      </w:pPr>
    </w:p>
    <w:p w:rsidR="0099762F" w:rsidRPr="00E06728" w:rsidRDefault="0099762F" w:rsidP="00B03CD2">
      <w:pPr>
        <w:pStyle w:val="ListParagraph"/>
        <w:numPr>
          <w:ilvl w:val="2"/>
          <w:numId w:val="19"/>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Дефинисање плана и реализација обука за запослене у култури у складу са потребама на годишњем нивоу</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Како је истакнуто на фокус групама са запосленима у култури, досадашња пракса у установама била је да се позиција за стручно усавршавање запослених није користила у мери у којој је потребно. А како потребу за стручним усавршавањем истиче 93% анкетираних радника у култури, неопходно је да свака установа на годишњем нивоу планира средства у ту сврху у складу са потребама струке. Такође, локална самоуправа и саме установе могу организовати стручне едукације којима би присуствовали како запослени у установама културе, тако и запослени у другим ресорима и чланови удружења у областима релевантним за културу (медији, туризам, образовање, привреда, социјална заштита и слично) </w:t>
      </w:r>
    </w:p>
    <w:p w:rsidR="0099762F" w:rsidRPr="0099762F" w:rsidRDefault="0099762F" w:rsidP="0099762F">
      <w:pPr>
        <w:spacing w:after="0"/>
        <w:ind w:firstLine="720"/>
        <w:jc w:val="both"/>
        <w:rPr>
          <w:rFonts w:ascii="Times New Roman" w:hAnsi="Times New Roman" w:cs="Times New Roman"/>
          <w:sz w:val="24"/>
          <w:szCs w:val="24"/>
        </w:rPr>
      </w:pPr>
    </w:p>
    <w:p w:rsidR="0099762F" w:rsidRPr="00E06728" w:rsidRDefault="0099762F" w:rsidP="00B03CD2">
      <w:pPr>
        <w:pStyle w:val="ListParagraph"/>
        <w:numPr>
          <w:ilvl w:val="2"/>
          <w:numId w:val="19"/>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Израда плана волонтирања у установама културе и манифестацијама  града Сомбора</w:t>
      </w:r>
    </w:p>
    <w:p w:rsidR="0099762F" w:rsidRPr="00E06728" w:rsidRDefault="0099762F" w:rsidP="00B03CD2">
      <w:pPr>
        <w:pStyle w:val="ListParagraph"/>
        <w:numPr>
          <w:ilvl w:val="2"/>
          <w:numId w:val="19"/>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Формирање волонтерског сервиса на нивоу града који би укључивао активности у области културе</w:t>
      </w:r>
    </w:p>
    <w:p w:rsidR="0099762F" w:rsidRPr="0099762F" w:rsidRDefault="0099762F" w:rsidP="0099762F">
      <w:pPr>
        <w:spacing w:after="0"/>
        <w:ind w:firstLine="720"/>
        <w:jc w:val="both"/>
        <w:rPr>
          <w:rFonts w:ascii="Times New Roman" w:hAnsi="Times New Roman" w:cs="Times New Roman"/>
          <w:noProof/>
          <w:sz w:val="24"/>
          <w:szCs w:val="24"/>
        </w:rPr>
      </w:pPr>
      <w:r w:rsidRPr="0099762F">
        <w:rPr>
          <w:rFonts w:ascii="Times New Roman" w:hAnsi="Times New Roman" w:cs="Times New Roman"/>
          <w:sz w:val="24"/>
          <w:szCs w:val="24"/>
        </w:rPr>
        <w:t xml:space="preserve">Волонтирање се сагледава као један од значајних начина пружање подршке раду установа и организација, али и као модел развоја публике. Сомборске установе су и до сада ангажовале волонтере, али је њихово укључивање у рад било </w:t>
      </w:r>
      <w:r w:rsidRPr="0099762F">
        <w:rPr>
          <w:rFonts w:ascii="Times New Roman" w:hAnsi="Times New Roman" w:cs="Times New Roman"/>
          <w:i/>
          <w:noProof/>
          <w:sz w:val="24"/>
          <w:szCs w:val="24"/>
        </w:rPr>
        <w:t>ad hoc</w:t>
      </w:r>
      <w:r w:rsidRPr="0099762F">
        <w:rPr>
          <w:rFonts w:ascii="Times New Roman" w:hAnsi="Times New Roman" w:cs="Times New Roman"/>
          <w:noProof/>
          <w:sz w:val="24"/>
          <w:szCs w:val="24"/>
        </w:rPr>
        <w:t xml:space="preserve">, несистемски регулисано и без програмског оквира. Углавном су волонтери запосленима помагали у техничко-административним пословима. Сходно томе, радна група предложила је оснивање Сомборског волонтерског сервиса у култури. Установе би у складу са идејом </w:t>
      </w:r>
      <w:r w:rsidRPr="0099762F">
        <w:rPr>
          <w:rFonts w:ascii="Times New Roman" w:hAnsi="Times New Roman" w:cs="Times New Roman"/>
          <w:noProof/>
          <w:sz w:val="24"/>
          <w:szCs w:val="24"/>
        </w:rPr>
        <w:lastRenderedPageBreak/>
        <w:t>требало да развију волонтерске програме који би јасно дефинисали шта се од волонтера очекује, а која знања и вештине волонтер стиче током анагажмана</w:t>
      </w:r>
      <w:r w:rsidRPr="0099762F">
        <w:rPr>
          <w:rFonts w:ascii="Times New Roman" w:hAnsi="Times New Roman" w:cs="Times New Roman"/>
          <w:noProof/>
          <w:sz w:val="24"/>
          <w:szCs w:val="24"/>
          <w:vertAlign w:val="superscript"/>
        </w:rPr>
        <w:footnoteReference w:id="34"/>
      </w:r>
      <w:r w:rsidRPr="0099762F">
        <w:rPr>
          <w:rFonts w:ascii="Times New Roman" w:hAnsi="Times New Roman" w:cs="Times New Roman"/>
          <w:noProof/>
          <w:sz w:val="24"/>
          <w:szCs w:val="24"/>
        </w:rPr>
        <w:t xml:space="preserve">. Развојем програма волонтирања у установама културе, сви заинтересовани грађани би учествовали и у промоцији културе и тиме допринели ширењу публике и културне партиципације. </w:t>
      </w:r>
    </w:p>
    <w:p w:rsidR="00ED29FD" w:rsidRPr="0099762F" w:rsidRDefault="00ED29FD" w:rsidP="0099762F">
      <w:pPr>
        <w:spacing w:after="0"/>
        <w:ind w:firstLine="720"/>
        <w:jc w:val="both"/>
        <w:rPr>
          <w:rFonts w:ascii="Times New Roman" w:hAnsi="Times New Roman" w:cs="Times New Roman"/>
          <w:sz w:val="24"/>
          <w:szCs w:val="24"/>
        </w:rPr>
      </w:pPr>
    </w:p>
    <w:p w:rsidR="0099762F" w:rsidRPr="0099762F" w:rsidRDefault="0099762F" w:rsidP="00E06728">
      <w:pPr>
        <w:pStyle w:val="Heading4"/>
        <w:shd w:val="clear" w:color="auto" w:fill="D9D9D9" w:themeFill="background1" w:themeFillShade="D9"/>
      </w:pPr>
      <w:r w:rsidRPr="0099762F">
        <w:t>Мера 1.3: Унапређење конкурса у области културе на нивоу града Сомбора</w:t>
      </w:r>
    </w:p>
    <w:p w:rsidR="0099762F" w:rsidRPr="0099762F" w:rsidRDefault="0099762F" w:rsidP="0099762F">
      <w:pPr>
        <w:spacing w:after="0"/>
        <w:jc w:val="both"/>
        <w:rPr>
          <w:rFonts w:ascii="Times New Roman" w:hAnsi="Times New Roman" w:cs="Times New Roman"/>
          <w:sz w:val="24"/>
          <w:szCs w:val="24"/>
        </w:rPr>
      </w:pPr>
    </w:p>
    <w:p w:rsidR="0099762F" w:rsidRPr="00E067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E06728">
        <w:rPr>
          <w:rFonts w:ascii="Times New Roman" w:hAnsi="Times New Roman" w:cs="Times New Roman"/>
          <w:i/>
          <w:sz w:val="24"/>
          <w:szCs w:val="24"/>
          <w:u w:val="single"/>
        </w:rPr>
        <w:t xml:space="preserve">Анализа и категоризација фолклорних група које функционишу на подручју града за потребе подршке </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Представници културно-уметничких друштава су током разговора јасно истакли разлику између изворних група и фолклорних кореографских друштава. Наиме, изворне групе негују ограничени опус игара, док фолклорна друштва негују широк дијапазон народних игара и песама које су кореографски </w:t>
      </w:r>
      <w:r w:rsidR="00711A66">
        <w:rPr>
          <w:rFonts w:ascii="Times New Roman" w:hAnsi="Times New Roman" w:cs="Times New Roman"/>
          <w:sz w:val="24"/>
          <w:szCs w:val="24"/>
          <w:lang/>
        </w:rPr>
        <w:t>постављене</w:t>
      </w:r>
      <w:r w:rsidRPr="0099762F">
        <w:rPr>
          <w:rFonts w:ascii="Times New Roman" w:hAnsi="Times New Roman" w:cs="Times New Roman"/>
          <w:sz w:val="24"/>
          <w:szCs w:val="24"/>
        </w:rPr>
        <w:t xml:space="preserve"> и комплексна су у својој организацији (подељена у групе). У складу са овом разликом, фолклорна друштва имају знатно веће оперативне трошкове који изискују плаћање израде кореографија, рад кореографа, обавезну оригиналну ношњу, плаћање котизације за учешће на смотрама, као и путне трошкове за такмичења. Категоризација КУД-ова била би основа за расподелу средстава на градском конкурсу. Саме критеријуме и поступак категоризације извршио би Савет аматера као стручно тело подршке аматерском стваралаштву у Сомбору.</w:t>
      </w:r>
    </w:p>
    <w:p w:rsidR="0099762F" w:rsidRPr="0099762F" w:rsidRDefault="0099762F" w:rsidP="0099762F">
      <w:pPr>
        <w:spacing w:after="0"/>
        <w:ind w:firstLine="720"/>
        <w:jc w:val="both"/>
        <w:rPr>
          <w:rFonts w:ascii="Times New Roman" w:hAnsi="Times New Roman" w:cs="Times New Roman"/>
          <w:sz w:val="24"/>
          <w:szCs w:val="24"/>
        </w:rPr>
      </w:pPr>
    </w:p>
    <w:p w:rsidR="0099762F" w:rsidRPr="00335B82" w:rsidRDefault="00532EAD" w:rsidP="00B03CD2">
      <w:pPr>
        <w:pStyle w:val="ListParagraph"/>
        <w:numPr>
          <w:ilvl w:val="2"/>
          <w:numId w:val="17"/>
        </w:numPr>
        <w:spacing w:after="0"/>
        <w:jc w:val="both"/>
        <w:rPr>
          <w:rFonts w:ascii="Times New Roman" w:hAnsi="Times New Roman" w:cs="Times New Roman"/>
          <w:i/>
          <w:sz w:val="24"/>
          <w:szCs w:val="24"/>
          <w:u w:val="single"/>
        </w:rPr>
      </w:pPr>
      <w:r w:rsidRPr="00335B82">
        <w:rPr>
          <w:rFonts w:ascii="Times New Roman" w:hAnsi="Times New Roman" w:cs="Times New Roman"/>
          <w:i/>
          <w:sz w:val="24"/>
          <w:szCs w:val="24"/>
          <w:u w:val="single"/>
          <w:lang/>
        </w:rPr>
        <w:t xml:space="preserve">Унапређење </w:t>
      </w:r>
      <w:r w:rsidR="0099762F" w:rsidRPr="00335B82">
        <w:rPr>
          <w:rFonts w:ascii="Times New Roman" w:hAnsi="Times New Roman" w:cs="Times New Roman"/>
          <w:i/>
          <w:sz w:val="24"/>
          <w:szCs w:val="24"/>
          <w:u w:val="single"/>
        </w:rPr>
        <w:t>система транспарентног извештавања о подржаним пројектима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У неколико наврата се током рада на емпиријском делу анализе разговарало о потреби транспарентног извештавања од стране носилаца на градском конкурсу подржаних пројеката. Као модел се предлаже презентовање годишњих извештаја јавности на интернет страници Градске управе. Овакав начин извештавања повећао би одговорност носилаца у реализацији активности и пружио увид у оправданост подршке пројектима. </w:t>
      </w:r>
    </w:p>
    <w:p w:rsidR="0099762F" w:rsidRPr="0099762F" w:rsidRDefault="0099762F" w:rsidP="0099762F">
      <w:pPr>
        <w:spacing w:after="0"/>
        <w:ind w:firstLine="720"/>
        <w:jc w:val="both"/>
        <w:rPr>
          <w:rFonts w:ascii="Times New Roman" w:hAnsi="Times New Roman" w:cs="Times New Roman"/>
          <w:sz w:val="24"/>
          <w:szCs w:val="24"/>
        </w:rPr>
      </w:pPr>
    </w:p>
    <w:p w:rsidR="0099762F" w:rsidRPr="00E06728" w:rsidRDefault="00E22DAD" w:rsidP="00B03CD2">
      <w:pPr>
        <w:pStyle w:val="ListParagraph"/>
        <w:numPr>
          <w:ilvl w:val="2"/>
          <w:numId w:val="17"/>
        </w:numPr>
        <w:spacing w:after="0"/>
        <w:jc w:val="both"/>
        <w:rPr>
          <w:rFonts w:ascii="Times New Roman" w:hAnsi="Times New Roman" w:cs="Times New Roman"/>
          <w:i/>
          <w:sz w:val="24"/>
          <w:szCs w:val="24"/>
          <w:u w:val="single"/>
        </w:rPr>
      </w:pPr>
      <w:r w:rsidRPr="00335B82">
        <w:rPr>
          <w:rFonts w:ascii="Times New Roman" w:hAnsi="Times New Roman" w:cs="Times New Roman"/>
          <w:i/>
          <w:sz w:val="24"/>
          <w:szCs w:val="24"/>
          <w:u w:val="single"/>
          <w:lang/>
        </w:rPr>
        <w:t>Унапређење</w:t>
      </w:r>
      <w:r w:rsidR="0099762F" w:rsidRPr="00E06728">
        <w:rPr>
          <w:rFonts w:ascii="Times New Roman" w:hAnsi="Times New Roman" w:cs="Times New Roman"/>
          <w:i/>
          <w:sz w:val="24"/>
          <w:szCs w:val="24"/>
          <w:u w:val="single"/>
        </w:rPr>
        <w:t xml:space="preserve"> система мониторинга и евалуације подржаних пројеката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Систем мониторинга манифестација које су подржане на градском конкурсу већ постоји</w:t>
      </w:r>
      <w:r w:rsidR="00532EAD">
        <w:rPr>
          <w:rFonts w:ascii="Times New Roman" w:hAnsi="Times New Roman" w:cs="Times New Roman"/>
          <w:sz w:val="24"/>
          <w:szCs w:val="24"/>
          <w:lang/>
        </w:rPr>
        <w:t xml:space="preserve">, </w:t>
      </w:r>
      <w:r w:rsidR="00532EAD" w:rsidRPr="00532EAD">
        <w:rPr>
          <w:rFonts w:ascii="Times New Roman" w:hAnsi="Times New Roman" w:cs="Times New Roman"/>
          <w:sz w:val="24"/>
          <w:szCs w:val="24"/>
          <w:lang/>
        </w:rPr>
        <w:t>али потребно га је унапредити</w:t>
      </w:r>
      <w:r w:rsidR="00532EAD">
        <w:rPr>
          <w:rFonts w:ascii="Times New Roman" w:hAnsi="Times New Roman" w:cs="Times New Roman"/>
          <w:sz w:val="24"/>
          <w:szCs w:val="24"/>
          <w:lang/>
        </w:rPr>
        <w:t xml:space="preserve">. </w:t>
      </w:r>
      <w:r w:rsidRPr="0099762F">
        <w:rPr>
          <w:rFonts w:ascii="Times New Roman" w:hAnsi="Times New Roman" w:cs="Times New Roman"/>
          <w:sz w:val="24"/>
          <w:szCs w:val="24"/>
        </w:rPr>
        <w:t xml:space="preserve">Обухватнији систем мониторинга подразумевао би мониторинг свих активности по пројекту, прикупљање евалуација грађана од стране носилаца, детаљније извештавање (наративно и финансијско). Идеја је да детаљан мониторинг спроводе Савет аматера, Савет за културу и представници локалне самоуправе. </w:t>
      </w:r>
    </w:p>
    <w:p w:rsidR="0099762F" w:rsidRPr="0099762F" w:rsidRDefault="0099762F" w:rsidP="0099762F">
      <w:pPr>
        <w:spacing w:after="0"/>
        <w:jc w:val="both"/>
        <w:rPr>
          <w:rFonts w:ascii="Times New Roman" w:hAnsi="Times New Roman" w:cs="Times New Roman"/>
          <w:sz w:val="24"/>
          <w:szCs w:val="24"/>
        </w:rPr>
      </w:pPr>
    </w:p>
    <w:p w:rsidR="0099762F" w:rsidRPr="00BF1177" w:rsidRDefault="0099762F" w:rsidP="00BF1177">
      <w:pPr>
        <w:pStyle w:val="Heading4"/>
        <w:shd w:val="clear" w:color="auto" w:fill="D9D9D9" w:themeFill="background1" w:themeFillShade="D9"/>
        <w:jc w:val="both"/>
      </w:pPr>
      <w:r w:rsidRPr="0099762F">
        <w:t>Мера 1.4: Успостављање система координације дешавања у области културе на нивоу града Сомбора</w:t>
      </w:r>
    </w:p>
    <w:p w:rsidR="00474628" w:rsidRPr="00474628" w:rsidRDefault="00474628" w:rsidP="00B03CD2">
      <w:pPr>
        <w:pStyle w:val="ListParagraph"/>
        <w:numPr>
          <w:ilvl w:val="1"/>
          <w:numId w:val="17"/>
        </w:numPr>
        <w:spacing w:after="0"/>
        <w:jc w:val="both"/>
        <w:rPr>
          <w:rFonts w:ascii="Times New Roman" w:hAnsi="Times New Roman" w:cs="Times New Roman"/>
          <w:vanish/>
          <w:sz w:val="24"/>
          <w:szCs w:val="24"/>
        </w:rPr>
      </w:pP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Креирање јединственог календара манифестација и програма (јавних, цивилних и приватних организатора)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lastRenderedPageBreak/>
        <w:t xml:space="preserve">Иако град Сомбор има два календара манифестација, један који је израдила локална самоуправа и други дефинисан од стране туристичке организације, ниједан није потпун и обухвата само одређени број манифестација и често само оквирене термине одржавања програма. Дефинисање јединственог календара манифестација подразумева израду интерактивног сајта којем би организатори могли да приступају и сами уносе термине и описе програма. На тај начин би мање долазило и до преклапања догађаја.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Увођење система редовних месечних састанака организатора програма</w:t>
      </w:r>
    </w:p>
    <w:p w:rsid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Идеја увођења редовних састанака организатора програма у установама културе, али и организатора значајних програма у цивилном сектору, јавила се из потребе веће сарадње и договарања запослених и ангажованих у култури и креирању културне понуде. Директна позитивна последица била би координација термина и садржаја појединачних садржаја, али и кооперативан однос међу установама и организацијама у виду пружања техничке, административне, као и стручне и идејне подршке тамо где је она потребна. </w:t>
      </w:r>
    </w:p>
    <w:p w:rsidR="00701D6E" w:rsidRDefault="00701D6E" w:rsidP="0099762F">
      <w:pPr>
        <w:spacing w:after="0"/>
        <w:ind w:firstLine="720"/>
        <w:jc w:val="both"/>
        <w:rPr>
          <w:rFonts w:ascii="Times New Roman" w:hAnsi="Times New Roman" w:cs="Times New Roman"/>
          <w:sz w:val="24"/>
          <w:szCs w:val="24"/>
        </w:rPr>
      </w:pPr>
    </w:p>
    <w:p w:rsidR="00701D6E" w:rsidRPr="00E21054" w:rsidRDefault="00701D6E" w:rsidP="00B03CD2">
      <w:pPr>
        <w:pStyle w:val="ListParagraph"/>
        <w:numPr>
          <w:ilvl w:val="2"/>
          <w:numId w:val="17"/>
        </w:numPr>
        <w:spacing w:after="0"/>
        <w:jc w:val="both"/>
        <w:rPr>
          <w:rFonts w:ascii="Times New Roman" w:hAnsi="Times New Roman" w:cs="Times New Roman"/>
          <w:i/>
          <w:sz w:val="24"/>
          <w:szCs w:val="24"/>
          <w:u w:val="single"/>
          <w:lang/>
        </w:rPr>
      </w:pPr>
      <w:r w:rsidRPr="00E21054">
        <w:rPr>
          <w:rFonts w:ascii="Times New Roman" w:hAnsi="Times New Roman" w:cs="Times New Roman"/>
          <w:i/>
          <w:sz w:val="24"/>
          <w:szCs w:val="24"/>
          <w:u w:val="single"/>
          <w:lang/>
        </w:rPr>
        <w:t>Увођење размене програма, знања и вештина између   удружења грађана у култури (на територији урбаног и руралног дела града)</w:t>
      </w:r>
    </w:p>
    <w:p w:rsidR="0099762F" w:rsidRPr="00E21054" w:rsidRDefault="00E21054" w:rsidP="0099762F">
      <w:pPr>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Током фокус група истакнуто је да не постоји размена програма удружења грађана. </w:t>
      </w:r>
    </w:p>
    <w:p w:rsidR="00BF1177" w:rsidRPr="00BF1177" w:rsidRDefault="00BF1177" w:rsidP="00D33C02">
      <w:pPr>
        <w:spacing w:after="0"/>
      </w:pPr>
    </w:p>
    <w:p w:rsidR="0099762F" w:rsidRPr="00BF1177" w:rsidRDefault="0099762F" w:rsidP="00BF1177">
      <w:pPr>
        <w:pStyle w:val="Heading3"/>
        <w:shd w:val="clear" w:color="auto" w:fill="A6A6A6" w:themeFill="background1" w:themeFillShade="A6"/>
        <w:spacing w:before="0"/>
        <w:rPr>
          <w:b/>
          <w:color w:val="FFFFFF" w:themeColor="background1"/>
        </w:rPr>
      </w:pPr>
      <w:bookmarkStart w:id="24" w:name="_Toc36072300"/>
      <w:r w:rsidRPr="00BF1177">
        <w:rPr>
          <w:b/>
          <w:color w:val="FFFFFF" w:themeColor="background1"/>
        </w:rPr>
        <w:t>Посебни циљ 2: Побољшање културне инфраструктуре у граду Сомбору</w:t>
      </w:r>
      <w:bookmarkEnd w:id="24"/>
    </w:p>
    <w:p w:rsidR="0099762F" w:rsidRPr="0099762F" w:rsidRDefault="0099762F" w:rsidP="0099762F">
      <w:pPr>
        <w:spacing w:after="0"/>
        <w:jc w:val="both"/>
        <w:rPr>
          <w:rFonts w:ascii="Times New Roman" w:hAnsi="Times New Roman" w:cs="Times New Roman"/>
          <w:sz w:val="24"/>
          <w:szCs w:val="24"/>
        </w:rPr>
      </w:pPr>
    </w:p>
    <w:p w:rsidR="0099762F" w:rsidRPr="0099762F" w:rsidRDefault="0099762F" w:rsidP="00474628">
      <w:pPr>
        <w:pStyle w:val="Heading4"/>
        <w:shd w:val="clear" w:color="auto" w:fill="D9D9D9" w:themeFill="background1" w:themeFillShade="D9"/>
      </w:pPr>
      <w:r w:rsidRPr="0099762F">
        <w:rPr>
          <w:shd w:val="clear" w:color="auto" w:fill="D9D9D9" w:themeFill="background1" w:themeFillShade="D9"/>
        </w:rPr>
        <w:t>Мера 2.1: Унапређење система управљања и координације у области културе</w:t>
      </w:r>
    </w:p>
    <w:p w:rsidR="0099762F" w:rsidRPr="0099762F" w:rsidRDefault="0099762F" w:rsidP="0099762F">
      <w:pPr>
        <w:spacing w:after="0"/>
        <w:jc w:val="both"/>
        <w:rPr>
          <w:rFonts w:ascii="Times New Roman" w:hAnsi="Times New Roman" w:cs="Times New Roman"/>
          <w:sz w:val="24"/>
          <w:szCs w:val="24"/>
        </w:rPr>
      </w:pPr>
    </w:p>
    <w:p w:rsidR="00474628" w:rsidRPr="00474628" w:rsidRDefault="00474628" w:rsidP="00B03CD2">
      <w:pPr>
        <w:pStyle w:val="ListParagraph"/>
        <w:numPr>
          <w:ilvl w:val="0"/>
          <w:numId w:val="17"/>
        </w:numPr>
        <w:spacing w:after="0"/>
        <w:jc w:val="both"/>
        <w:rPr>
          <w:rFonts w:ascii="Times New Roman" w:hAnsi="Times New Roman" w:cs="Times New Roman"/>
          <w:vanish/>
          <w:sz w:val="24"/>
          <w:szCs w:val="24"/>
        </w:rPr>
      </w:pPr>
    </w:p>
    <w:p w:rsidR="00474628" w:rsidRPr="00474628" w:rsidRDefault="00474628" w:rsidP="00B03CD2">
      <w:pPr>
        <w:pStyle w:val="ListParagraph"/>
        <w:numPr>
          <w:ilvl w:val="1"/>
          <w:numId w:val="17"/>
        </w:numPr>
        <w:spacing w:after="0"/>
        <w:jc w:val="both"/>
        <w:rPr>
          <w:rFonts w:ascii="Times New Roman" w:hAnsi="Times New Roman" w:cs="Times New Roman"/>
          <w:vanish/>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Израда</w:t>
      </w:r>
      <w:r w:rsidR="00532EAD">
        <w:rPr>
          <w:rFonts w:ascii="Times New Roman" w:hAnsi="Times New Roman" w:cs="Times New Roman"/>
          <w:i/>
          <w:sz w:val="24"/>
          <w:szCs w:val="24"/>
          <w:u w:val="single"/>
          <w:lang/>
        </w:rPr>
        <w:t xml:space="preserve"> трогодишњег</w:t>
      </w:r>
      <w:r w:rsidRPr="00474628">
        <w:rPr>
          <w:rFonts w:ascii="Times New Roman" w:hAnsi="Times New Roman" w:cs="Times New Roman"/>
          <w:i/>
          <w:sz w:val="24"/>
          <w:szCs w:val="24"/>
          <w:u w:val="single"/>
        </w:rPr>
        <w:t xml:space="preserve"> плана инфраструктурних  улагања установа културе (укључујући и домове културе у насељеним местима)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Велике потребе за улагањима у инфраструктуру изискују и велике инвестиције града, планско потраживање средстава из других извора, како од стране локалне самоуправе, тако и од стране самих установа. Први корак у усаглашавању потреба и могућности улагања је израда плана инвестиција и листе приоритета. План инвестиција учиниће видљивијим и могућности за друге изворе финансирања, могућности проналажења партнера за међународне финансијере, обезбедиће боље временске оквире и планирање израде пројектно-техничке документације, писање пројеката.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Решавање просторног проблема Историјског архива</w:t>
      </w:r>
    </w:p>
    <w:p w:rsidR="00D33C02" w:rsidRDefault="0099762F" w:rsidP="006C6FB5">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Кључни инфраструктурни проблем Сомбора у култури је зграда Историјског архива. Хитност проналаска решења за ово питање упућује на два главна решења: изградњу нове зграде, и адаптацију неког од постојећих објеката за делатност Архива. Реновирање постојеће зграде Архива је могућност која захтева највише средстава, тако да је све извесније да то неће бити једна од опц</w:t>
      </w:r>
      <w:r w:rsidR="006C6FB5">
        <w:rPr>
          <w:rFonts w:ascii="Times New Roman" w:hAnsi="Times New Roman" w:cs="Times New Roman"/>
          <w:sz w:val="24"/>
          <w:szCs w:val="24"/>
        </w:rPr>
        <w:t xml:space="preserve">ија за решавање овог проблема. </w:t>
      </w:r>
    </w:p>
    <w:p w:rsidR="00D33C02" w:rsidRPr="0099762F" w:rsidRDefault="00D33C02"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Завршетак реконструкције и санације Грашалковићеве палате за потребе културе</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lastRenderedPageBreak/>
        <w:t xml:space="preserve">Радови на реконструкцији Грашалковићеве палате су започети средствима </w:t>
      </w:r>
      <w:r w:rsidR="00532EAD">
        <w:rPr>
          <w:rFonts w:ascii="Times New Roman" w:hAnsi="Times New Roman" w:cs="Times New Roman"/>
          <w:sz w:val="24"/>
          <w:szCs w:val="24"/>
          <w:lang/>
        </w:rPr>
        <w:t>Града Сомбора</w:t>
      </w:r>
      <w:r w:rsidR="001363F9">
        <w:rPr>
          <w:rFonts w:ascii="Times New Roman" w:hAnsi="Times New Roman" w:cs="Times New Roman"/>
          <w:sz w:val="24"/>
          <w:szCs w:val="24"/>
          <w:lang/>
        </w:rPr>
        <w:t xml:space="preserve">, </w:t>
      </w:r>
      <w:r w:rsidR="00224CE2">
        <w:rPr>
          <w:rFonts w:ascii="Times New Roman" w:hAnsi="Times New Roman" w:cs="Times New Roman"/>
          <w:sz w:val="24"/>
          <w:szCs w:val="24"/>
          <w:lang/>
        </w:rPr>
        <w:t>која су обезбеђена</w:t>
      </w:r>
      <w:r w:rsidRPr="0099762F">
        <w:rPr>
          <w:rFonts w:ascii="Times New Roman" w:hAnsi="Times New Roman" w:cs="Times New Roman"/>
          <w:sz w:val="24"/>
          <w:szCs w:val="24"/>
        </w:rPr>
        <w:t xml:space="preserve"> преко конкурса Министарства културе и информисања „Градови у фокусу“ и Министарства привреде. Међутим, до сада је прибављено око 15% процењених средстава. Стога је кључни сегмент ове активности сагледавање алтернативних извора финансирања и аплицирање код различитих донатора.</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Завршетак реновирања сале Културног центра</w:t>
      </w:r>
    </w:p>
    <w:p w:rsid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Као што је већ описано у Стратегији, реновирање сале Културног центра, некадашњег објекта Дома омладине, је већ</w:t>
      </w:r>
      <w:r w:rsidR="00B6147F">
        <w:rPr>
          <w:rFonts w:ascii="Times New Roman" w:hAnsi="Times New Roman" w:cs="Times New Roman"/>
          <w:sz w:val="24"/>
          <w:szCs w:val="24"/>
        </w:rPr>
        <w:t xml:space="preserve"> започето, средства су обезбеђен</w:t>
      </w:r>
      <w:r w:rsidRPr="0099762F">
        <w:rPr>
          <w:rFonts w:ascii="Times New Roman" w:hAnsi="Times New Roman" w:cs="Times New Roman"/>
          <w:sz w:val="24"/>
          <w:szCs w:val="24"/>
        </w:rPr>
        <w:t>а, па се у 2021. години очекује комплетан завршетак радова.</w:t>
      </w:r>
    </w:p>
    <w:p w:rsidR="00F15FD0" w:rsidRDefault="00F15FD0" w:rsidP="0099762F">
      <w:pPr>
        <w:spacing w:after="0"/>
        <w:ind w:firstLine="720"/>
        <w:jc w:val="both"/>
        <w:rPr>
          <w:rFonts w:ascii="Times New Roman" w:hAnsi="Times New Roman" w:cs="Times New Roman"/>
          <w:sz w:val="24"/>
          <w:szCs w:val="24"/>
        </w:rPr>
      </w:pPr>
    </w:p>
    <w:p w:rsidR="00F15FD0" w:rsidRPr="006C6FB5" w:rsidRDefault="00F15FD0" w:rsidP="00F15FD0">
      <w:pPr>
        <w:pStyle w:val="ListParagraph"/>
        <w:numPr>
          <w:ilvl w:val="2"/>
          <w:numId w:val="17"/>
        </w:numPr>
        <w:spacing w:after="0"/>
        <w:jc w:val="both"/>
        <w:rPr>
          <w:rFonts w:ascii="Times New Roman" w:hAnsi="Times New Roman" w:cs="Times New Roman"/>
          <w:i/>
          <w:sz w:val="24"/>
          <w:szCs w:val="24"/>
          <w:u w:val="single"/>
        </w:rPr>
      </w:pPr>
      <w:r w:rsidRPr="006C6FB5">
        <w:rPr>
          <w:rFonts w:ascii="Times New Roman" w:hAnsi="Times New Roman" w:cs="Times New Roman"/>
          <w:i/>
          <w:sz w:val="24"/>
          <w:szCs w:val="24"/>
          <w:u w:val="single"/>
          <w:lang/>
        </w:rPr>
        <w:t>Реновирање летње сцене Културног центра</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sz w:val="24"/>
          <w:szCs w:val="24"/>
        </w:rPr>
      </w:pPr>
      <w:r w:rsidRPr="00474628">
        <w:rPr>
          <w:rFonts w:ascii="Times New Roman" w:hAnsi="Times New Roman" w:cs="Times New Roman"/>
          <w:i/>
          <w:sz w:val="24"/>
          <w:szCs w:val="24"/>
          <w:u w:val="single"/>
        </w:rPr>
        <w:t xml:space="preserve">Решавање </w:t>
      </w:r>
      <w:r w:rsidRPr="00D13C95">
        <w:rPr>
          <w:rFonts w:ascii="Times New Roman" w:hAnsi="Times New Roman" w:cs="Times New Roman"/>
          <w:i/>
          <w:sz w:val="24"/>
          <w:szCs w:val="24"/>
          <w:u w:val="single"/>
        </w:rPr>
        <w:t>питања</w:t>
      </w:r>
      <w:r w:rsidR="00335B82" w:rsidRPr="00D13C95">
        <w:rPr>
          <w:rFonts w:ascii="Times New Roman" w:hAnsi="Times New Roman" w:cs="Times New Roman"/>
          <w:i/>
          <w:sz w:val="24"/>
          <w:szCs w:val="24"/>
          <w:u w:val="single"/>
          <w:lang/>
        </w:rPr>
        <w:t xml:space="preserve"> објекта</w:t>
      </w:r>
      <w:r w:rsidR="002F0A9B">
        <w:rPr>
          <w:rFonts w:ascii="Times New Roman" w:hAnsi="Times New Roman" w:cs="Times New Roman"/>
          <w:i/>
          <w:sz w:val="24"/>
          <w:szCs w:val="24"/>
          <w:u w:val="single"/>
          <w:lang/>
        </w:rPr>
        <w:t xml:space="preserve"> </w:t>
      </w:r>
      <w:r w:rsidRPr="00474628">
        <w:rPr>
          <w:rFonts w:ascii="Times New Roman" w:hAnsi="Times New Roman" w:cs="Times New Roman"/>
          <w:i/>
          <w:sz w:val="24"/>
          <w:szCs w:val="24"/>
          <w:u w:val="single"/>
        </w:rPr>
        <w:t xml:space="preserve"> Дома културе у Бездану</w:t>
      </w:r>
    </w:p>
    <w:p w:rsidR="0099762F" w:rsidRPr="00224CE2" w:rsidRDefault="00224CE2" w:rsidP="0099762F">
      <w:pPr>
        <w:spacing w:after="0"/>
        <w:ind w:firstLine="720"/>
        <w:jc w:val="both"/>
        <w:rPr>
          <w:rFonts w:ascii="Times New Roman" w:hAnsi="Times New Roman" w:cs="Times New Roman"/>
          <w:strike/>
          <w:sz w:val="24"/>
          <w:szCs w:val="24"/>
        </w:rPr>
      </w:pPr>
      <w:r w:rsidRPr="00D13C95">
        <w:rPr>
          <w:rFonts w:ascii="Times New Roman" w:hAnsi="Times New Roman" w:cs="Times New Roman"/>
          <w:sz w:val="24"/>
          <w:szCs w:val="24"/>
          <w:lang/>
        </w:rPr>
        <w:t>Основни циљ ове активности ј</w:t>
      </w:r>
      <w:r w:rsidR="00335B82" w:rsidRPr="00D13C95">
        <w:rPr>
          <w:rFonts w:ascii="Times New Roman" w:hAnsi="Times New Roman" w:cs="Times New Roman"/>
          <w:sz w:val="24"/>
          <w:szCs w:val="24"/>
          <w:lang/>
        </w:rPr>
        <w:t xml:space="preserve">е изналажење начина за трајно решење питања објекта </w:t>
      </w:r>
      <w:r w:rsidRPr="00D13C95">
        <w:rPr>
          <w:rFonts w:ascii="Times New Roman" w:hAnsi="Times New Roman" w:cs="Times New Roman"/>
          <w:sz w:val="24"/>
          <w:szCs w:val="24"/>
          <w:lang/>
        </w:rPr>
        <w:t xml:space="preserve"> Дома културе у Бездану.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Обезбеђивање атељеа за уступање локалним уметницима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Иако Град располаже са четири атељеа, она су временом изгубила примарну намену. Већ више деценија њих користе исти уметници, а поједини овај простор користе за становање. Акционим планом намерава се решавање ове ситуације и расписивање позива за коришћење ових простора од стране ликовних уметника Сомбора. Планира се расписивање позива и додела атељеа према јасно дефинисаним критеријумима и у одређеном временском периоду. Град планира и опремање нових простора уколико за то постоји потреба ликовних уметника.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17"/>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Санација и адаптација двораца у околини Сомбора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Како су дворци у околини Сомбора препознати су од стране грађана и запослених у култури, као један од симбола града, план је адаптација бар једног објекта и обезбеђивање услова за програме културе и туризма. Након 202</w:t>
      </w:r>
      <w:r w:rsidR="00A54AB3">
        <w:rPr>
          <w:rFonts w:ascii="Times New Roman" w:hAnsi="Times New Roman" w:cs="Times New Roman"/>
          <w:sz w:val="24"/>
          <w:szCs w:val="24"/>
          <w:lang/>
        </w:rPr>
        <w:t>5</w:t>
      </w:r>
      <w:r w:rsidRPr="0099762F">
        <w:rPr>
          <w:rFonts w:ascii="Times New Roman" w:hAnsi="Times New Roman" w:cs="Times New Roman"/>
          <w:sz w:val="24"/>
          <w:szCs w:val="24"/>
        </w:rPr>
        <w:t>. године у складу са интересовањем и могућностима овај тренд ће се наставити.</w:t>
      </w:r>
    </w:p>
    <w:p w:rsidR="0099762F" w:rsidRPr="0099762F" w:rsidRDefault="0099762F" w:rsidP="0099762F">
      <w:pPr>
        <w:spacing w:after="0"/>
        <w:jc w:val="both"/>
        <w:rPr>
          <w:rFonts w:ascii="Times New Roman" w:hAnsi="Times New Roman" w:cs="Times New Roman"/>
          <w:sz w:val="24"/>
          <w:szCs w:val="24"/>
        </w:rPr>
      </w:pPr>
    </w:p>
    <w:p w:rsidR="0099762F" w:rsidRPr="0099762F" w:rsidRDefault="0099762F" w:rsidP="00474628">
      <w:pPr>
        <w:pStyle w:val="Heading4"/>
        <w:shd w:val="clear" w:color="auto" w:fill="D9D9D9" w:themeFill="background1" w:themeFillShade="D9"/>
      </w:pPr>
      <w:r w:rsidRPr="0099762F">
        <w:t>Мера 2.2: Опремање културне инфраструктуре</w:t>
      </w:r>
    </w:p>
    <w:p w:rsidR="0099762F" w:rsidRPr="0099762F" w:rsidRDefault="0099762F" w:rsidP="0099762F">
      <w:pPr>
        <w:spacing w:after="0"/>
        <w:jc w:val="both"/>
        <w:rPr>
          <w:rFonts w:ascii="Times New Roman" w:hAnsi="Times New Roman" w:cs="Times New Roman"/>
          <w:sz w:val="24"/>
          <w:szCs w:val="24"/>
        </w:rPr>
      </w:pPr>
    </w:p>
    <w:p w:rsidR="00474628" w:rsidRPr="00474628" w:rsidRDefault="00474628" w:rsidP="00B03CD2">
      <w:pPr>
        <w:pStyle w:val="ListParagraph"/>
        <w:numPr>
          <w:ilvl w:val="1"/>
          <w:numId w:val="17"/>
        </w:numPr>
        <w:spacing w:after="0"/>
        <w:jc w:val="both"/>
        <w:rPr>
          <w:rFonts w:ascii="Times New Roman" w:hAnsi="Times New Roman" w:cs="Times New Roman"/>
          <w:vanish/>
          <w:sz w:val="24"/>
          <w:szCs w:val="24"/>
        </w:rPr>
      </w:pPr>
    </w:p>
    <w:p w:rsidR="00474628" w:rsidRPr="00474628" w:rsidRDefault="00474628" w:rsidP="00B03CD2">
      <w:pPr>
        <w:pStyle w:val="ListParagraph"/>
        <w:numPr>
          <w:ilvl w:val="1"/>
          <w:numId w:val="17"/>
        </w:numPr>
        <w:spacing w:after="0"/>
        <w:jc w:val="both"/>
        <w:rPr>
          <w:rFonts w:ascii="Times New Roman" w:hAnsi="Times New Roman" w:cs="Times New Roman"/>
          <w:vanish/>
          <w:sz w:val="24"/>
          <w:szCs w:val="24"/>
        </w:rPr>
      </w:pPr>
    </w:p>
    <w:p w:rsidR="0099762F" w:rsidRPr="00474628" w:rsidRDefault="0099762F" w:rsidP="00B03CD2">
      <w:pPr>
        <w:pStyle w:val="ListParagraph"/>
        <w:numPr>
          <w:ilvl w:val="2"/>
          <w:numId w:val="20"/>
        </w:numPr>
        <w:spacing w:after="0"/>
        <w:ind w:left="1418"/>
        <w:jc w:val="both"/>
        <w:rPr>
          <w:rFonts w:ascii="Times New Roman" w:hAnsi="Times New Roman" w:cs="Times New Roman"/>
          <w:i/>
          <w:sz w:val="24"/>
          <w:szCs w:val="24"/>
          <w:u w:val="single"/>
        </w:rPr>
      </w:pPr>
      <w:r w:rsidRPr="006C6FB5">
        <w:rPr>
          <w:rFonts w:ascii="Times New Roman" w:hAnsi="Times New Roman" w:cs="Times New Roman"/>
          <w:i/>
          <w:sz w:val="24"/>
          <w:szCs w:val="24"/>
          <w:u w:val="single"/>
        </w:rPr>
        <w:t>Израда</w:t>
      </w:r>
      <w:r w:rsidR="00F15FD0" w:rsidRPr="006C6FB5">
        <w:rPr>
          <w:rFonts w:ascii="Times New Roman" w:hAnsi="Times New Roman" w:cs="Times New Roman"/>
          <w:i/>
          <w:sz w:val="24"/>
          <w:szCs w:val="24"/>
          <w:u w:val="single"/>
          <w:lang/>
        </w:rPr>
        <w:t xml:space="preserve"> и реализација</w:t>
      </w:r>
      <w:r w:rsidR="00224CE2" w:rsidRPr="006C6FB5">
        <w:rPr>
          <w:rFonts w:ascii="Times New Roman" w:hAnsi="Times New Roman" w:cs="Times New Roman"/>
          <w:i/>
          <w:sz w:val="24"/>
          <w:szCs w:val="24"/>
          <w:u w:val="single"/>
          <w:lang/>
        </w:rPr>
        <w:t xml:space="preserve"> </w:t>
      </w:r>
      <w:r w:rsidR="00224CE2">
        <w:rPr>
          <w:rFonts w:ascii="Times New Roman" w:hAnsi="Times New Roman" w:cs="Times New Roman"/>
          <w:i/>
          <w:sz w:val="24"/>
          <w:szCs w:val="24"/>
          <w:u w:val="single"/>
          <w:lang/>
        </w:rPr>
        <w:t xml:space="preserve">трогодишњег </w:t>
      </w:r>
      <w:r w:rsidRPr="00474628">
        <w:rPr>
          <w:rFonts w:ascii="Times New Roman" w:hAnsi="Times New Roman" w:cs="Times New Roman"/>
          <w:i/>
          <w:sz w:val="24"/>
          <w:szCs w:val="24"/>
          <w:u w:val="single"/>
        </w:rPr>
        <w:t xml:space="preserve">плана улагања у опрему и услуге према потребама установа културе (укључујући и домове културе у насељеним местима) </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Као и у случају инфраструктурних улагања, и набавка опреме треба да буде део јасног плана који ће усмерити висину и динамику улагања. Свакако да је највећи приоритет, у складу са стратешким циљевима Владе Републике Србије и Министарства културе и информисања, обезбеђивање опреме за дигитализацију наслеђа. Дигитализација је процес који обухвата и савремено стваралаштво, па и само извођење програма треба да буде обухваћено процесом дигитализације.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20"/>
        </w:numPr>
        <w:spacing w:after="0"/>
        <w:ind w:left="1418"/>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Обезбеђивање приступа особама са инвалидитетом установама културе и програмима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Како је напоменуто, у Сомбору мали број објеката културе има приступ за особе са инвалидитетом. Тамо где то буде могуће, биће обезбеђене приступне рампе, тактилне стазе, рукохвати и друга опрема. Свакако преостаје изналажење решења где је обезбеђивање приступа за ову рањиву групу веома тешко (објекат Галерије „Милан Коњовић“ је под заштитом и тешко је пронаћи решење које неће нарушити његов изглед, а изложбени простор је на спрату; Стална поставка музеја такође је на спрату; објекат Библиотеке у централној улици нема могућност постављања рампе због пешачке зоне)</w:t>
      </w:r>
    </w:p>
    <w:p w:rsidR="0099762F" w:rsidRPr="0099762F" w:rsidRDefault="0099762F" w:rsidP="0099762F">
      <w:pPr>
        <w:spacing w:after="0"/>
        <w:jc w:val="both"/>
        <w:rPr>
          <w:rFonts w:ascii="Times New Roman" w:hAnsi="Times New Roman" w:cs="Times New Roman"/>
          <w:sz w:val="24"/>
          <w:szCs w:val="24"/>
        </w:rPr>
      </w:pPr>
    </w:p>
    <w:p w:rsidR="0099762F" w:rsidRPr="00BF1177" w:rsidRDefault="0099762F" w:rsidP="00474628">
      <w:pPr>
        <w:pStyle w:val="Heading3"/>
        <w:shd w:val="clear" w:color="auto" w:fill="BFBFBF" w:themeFill="background1" w:themeFillShade="BF"/>
        <w:rPr>
          <w:b/>
          <w:color w:val="FFFFFF" w:themeColor="background1"/>
        </w:rPr>
      </w:pPr>
      <w:bookmarkStart w:id="25" w:name="_Toc36072301"/>
      <w:r w:rsidRPr="00BF1177">
        <w:rPr>
          <w:b/>
          <w:color w:val="FFFFFF" w:themeColor="background1"/>
        </w:rPr>
        <w:t>Посебни циљ 3: Култура младих и за младе</w:t>
      </w:r>
      <w:bookmarkEnd w:id="25"/>
    </w:p>
    <w:p w:rsidR="0099762F" w:rsidRPr="0099762F" w:rsidRDefault="0099762F" w:rsidP="0099762F">
      <w:pPr>
        <w:spacing w:after="0"/>
        <w:jc w:val="both"/>
        <w:rPr>
          <w:rFonts w:ascii="Times New Roman" w:hAnsi="Times New Roman" w:cs="Times New Roman"/>
          <w:sz w:val="24"/>
          <w:szCs w:val="24"/>
        </w:rPr>
      </w:pPr>
    </w:p>
    <w:p w:rsidR="0099762F" w:rsidRPr="0099762F" w:rsidRDefault="0099762F" w:rsidP="00474628">
      <w:pPr>
        <w:pStyle w:val="Heading4"/>
        <w:shd w:val="clear" w:color="auto" w:fill="D9D9D9" w:themeFill="background1" w:themeFillShade="D9"/>
      </w:pPr>
      <w:r w:rsidRPr="0099762F">
        <w:t>Мера 3.1: Укључивање младих као креатора културних садржаја</w:t>
      </w:r>
    </w:p>
    <w:p w:rsidR="0099762F" w:rsidRPr="0099762F" w:rsidRDefault="0099762F" w:rsidP="00BF1177">
      <w:pPr>
        <w:spacing w:after="0"/>
        <w:jc w:val="both"/>
        <w:rPr>
          <w:rFonts w:ascii="Times New Roman" w:hAnsi="Times New Roman" w:cs="Times New Roman"/>
          <w:sz w:val="24"/>
          <w:szCs w:val="24"/>
        </w:rPr>
      </w:pPr>
    </w:p>
    <w:p w:rsidR="0099762F" w:rsidRPr="00E22DAD" w:rsidRDefault="0099762F" w:rsidP="00B03CD2">
      <w:pPr>
        <w:pStyle w:val="ListParagraph"/>
        <w:numPr>
          <w:ilvl w:val="2"/>
          <w:numId w:val="25"/>
        </w:numPr>
        <w:spacing w:after="0"/>
        <w:jc w:val="both"/>
        <w:rPr>
          <w:rFonts w:ascii="Times New Roman" w:hAnsi="Times New Roman" w:cs="Times New Roman"/>
          <w:i/>
          <w:sz w:val="24"/>
          <w:szCs w:val="24"/>
          <w:u w:val="single"/>
        </w:rPr>
      </w:pPr>
      <w:r w:rsidRPr="00E22DAD">
        <w:rPr>
          <w:rFonts w:ascii="Times New Roman" w:hAnsi="Times New Roman" w:cs="Times New Roman"/>
          <w:i/>
          <w:sz w:val="24"/>
          <w:szCs w:val="24"/>
          <w:u w:val="single"/>
        </w:rPr>
        <w:t>Оснивање фестивала младих</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Млади су значајна публика свих културних програма, али се често занемарују њихова улога у културном стваралаштву и продукцији. Сомбор ће бити један од ретких градова који ће покренути фестивал младих. Веома је важно нагласити да ово није фестивал за младе, већ фестивал омладинске културе и остварења њених потенцијала и капацитета. Фестивал би могао да повеже различите елементе омладинске културе: позоришно стваралаштво младих у оквиру драмских секција, музичко стваралаштво кроз омладинске бендове, ликовно где би се млади нашли у улози прављења и организација изложби, млади као стрип ствараоци, млади новинари и извештачи. Подршка установа културе у фестивалу је неизоставна и неопходна. Учешћем у фестивалу и саме установе ће се позиционирати међу младима као препознатљиви центри културних дешавања који постају део њихове свакодневице. Организатор фестивала биће Канцеларија за младе и Савет младих.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25"/>
        </w:numPr>
        <w:spacing w:after="0"/>
        <w:ind w:left="1418"/>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Покретање омладинских културних новина</w:t>
      </w:r>
    </w:p>
    <w:p w:rsidR="0099762F" w:rsidRPr="00335B82" w:rsidRDefault="0099762F" w:rsidP="0099762F">
      <w:pPr>
        <w:spacing w:after="0"/>
        <w:ind w:firstLine="720"/>
        <w:jc w:val="both"/>
        <w:rPr>
          <w:rFonts w:ascii="Times New Roman" w:hAnsi="Times New Roman" w:cs="Times New Roman"/>
          <w:sz w:val="24"/>
          <w:szCs w:val="24"/>
        </w:rPr>
      </w:pPr>
      <w:r w:rsidRPr="00335B82">
        <w:rPr>
          <w:rFonts w:ascii="Times New Roman" w:hAnsi="Times New Roman" w:cs="Times New Roman"/>
          <w:sz w:val="24"/>
          <w:szCs w:val="24"/>
        </w:rPr>
        <w:t xml:space="preserve">С обзиром да је информисање младих важан сегмент њиховог учешћа у култури, а тај сегмент често није обликован према потребама младих, покретање „културних новина“ које би уређивали млади свакако би могао подићи ниво културне партиципације и обезбедити простор за изражавање ставова и мишљења, критике и жеља омладине. Новине не морају имати традиционалну форму, већ треба препустити младима да им дају карактер и форму (дигитална издања, newsletter или нека друга форма). Овај сегмент културне критике може координисати Савет младих уз помоћ наставника активних у области културе.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25"/>
        </w:numPr>
        <w:spacing w:after="0"/>
        <w:ind w:left="1418"/>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 xml:space="preserve">Укључивање младих креатора у процес организације и реализације културних догађаја </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Промоција културних догађаја је неопходан део ширења публике. Међутим, како би дала значајне резултате неопходно је да буде усаглашена са потребама циљане </w:t>
      </w:r>
      <w:r w:rsidRPr="0099762F">
        <w:rPr>
          <w:rFonts w:ascii="Times New Roman" w:hAnsi="Times New Roman" w:cs="Times New Roman"/>
          <w:sz w:val="24"/>
          <w:szCs w:val="24"/>
        </w:rPr>
        <w:lastRenderedPageBreak/>
        <w:t>популације. Сходно томе, неопходно је да се млади укључе у процес организације и реализације догађаја. Својом креативношћу ће млади обогатити промотивне активности културних догађаја тако што ће учествовати у креирању визуала, односно препознатљивости манифестација (логои, видео клипови, џинглови), као и у самој реализацији. Активност укључивања младих у реализацију догађаја подразумева уску сарадњу са организаторима значајних манифестација. Ова активност још више долази до изражаја ако се има у виду да више од трећине младих сматра да уопште не постоје програми за њих.</w:t>
      </w:r>
      <w:r w:rsidRPr="0099762F">
        <w:rPr>
          <w:rFonts w:ascii="Times New Roman" w:hAnsi="Times New Roman" w:cs="Times New Roman"/>
          <w:sz w:val="24"/>
          <w:szCs w:val="24"/>
          <w:vertAlign w:val="superscript"/>
        </w:rPr>
        <w:footnoteReference w:id="35"/>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25"/>
        </w:numPr>
        <w:spacing w:after="0"/>
        <w:ind w:left="1418"/>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Увођење системског истраживања културних потреба и навика младих (укључујући и младе на селу)</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Системска истраживања културних потреба и навика требало би да база сваке акције осмишљавања нових садржаја. Међутим, истраживачке активно су скупе, па се ретко или никада не спроводе. Анкетирање младих, с друге стране, може бити активност која не изискује значајна средства, јер је могу обављати ученици на часовима, а резултати могу упућивати на то у ком правцу развијати и/или промовисати програме. </w:t>
      </w:r>
    </w:p>
    <w:p w:rsidR="0099762F" w:rsidRPr="0099762F" w:rsidRDefault="0099762F" w:rsidP="0099762F">
      <w:pPr>
        <w:spacing w:after="0"/>
        <w:jc w:val="both"/>
        <w:rPr>
          <w:rFonts w:ascii="Times New Roman" w:hAnsi="Times New Roman" w:cs="Times New Roman"/>
          <w:sz w:val="24"/>
          <w:szCs w:val="24"/>
        </w:rPr>
      </w:pPr>
    </w:p>
    <w:p w:rsidR="0099762F" w:rsidRPr="0099762F" w:rsidRDefault="0099762F" w:rsidP="00474628">
      <w:pPr>
        <w:pStyle w:val="Heading4"/>
        <w:shd w:val="clear" w:color="auto" w:fill="D9D9D9" w:themeFill="background1" w:themeFillShade="D9"/>
      </w:pPr>
      <w:r w:rsidRPr="0099762F">
        <w:t>Мера 3.2: Развој омладинске публике</w:t>
      </w:r>
    </w:p>
    <w:p w:rsidR="0099762F" w:rsidRPr="0099762F" w:rsidRDefault="0099762F" w:rsidP="0099762F">
      <w:pPr>
        <w:spacing w:after="0"/>
        <w:jc w:val="both"/>
        <w:rPr>
          <w:rFonts w:ascii="Times New Roman" w:hAnsi="Times New Roman" w:cs="Times New Roman"/>
          <w:sz w:val="24"/>
          <w:szCs w:val="24"/>
        </w:rPr>
      </w:pPr>
    </w:p>
    <w:p w:rsidR="0099762F" w:rsidRPr="00474628" w:rsidRDefault="0099762F" w:rsidP="00B03CD2">
      <w:pPr>
        <w:pStyle w:val="ListParagraph"/>
        <w:numPr>
          <w:ilvl w:val="2"/>
          <w:numId w:val="21"/>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Оснивање Координационог тела за сарадњу установа образовања и културе</w:t>
      </w:r>
    </w:p>
    <w:p w:rsidR="0099762F" w:rsidRPr="00224CE2" w:rsidRDefault="0099762F" w:rsidP="0099762F">
      <w:pPr>
        <w:spacing w:after="0"/>
        <w:ind w:firstLine="720"/>
        <w:jc w:val="both"/>
        <w:rPr>
          <w:rFonts w:ascii="Times New Roman" w:hAnsi="Times New Roman" w:cs="Times New Roman"/>
          <w:sz w:val="24"/>
          <w:szCs w:val="24"/>
          <w:lang/>
        </w:rPr>
      </w:pPr>
      <w:r w:rsidRPr="0099762F">
        <w:rPr>
          <w:rFonts w:ascii="Times New Roman" w:hAnsi="Times New Roman" w:cs="Times New Roman"/>
          <w:sz w:val="24"/>
          <w:szCs w:val="24"/>
        </w:rPr>
        <w:t xml:space="preserve">Активност оснивања координационог тела за сарадњу установа културе и образовања је у директној вези са активношћу 1.1.2. и потписивањем меморандума о сарадњи између школа и установа и организација у култури. Меморандумом ће бити регулисано оснивање Координационог тела састављено од представника свих школа и установа и организација у култури. Координациони тело ће се састајати у договореним терминима и договарати могућности организације садржаја за школарце у складу са наставним планом и програмом, и програмима установа и организација. Културни садржаји организовани на овај начин имаће већу посету, и директно ће утицати на развој културних потреба и навика деце и омладине. </w:t>
      </w:r>
      <w:r w:rsidR="00224CE2">
        <w:rPr>
          <w:rFonts w:ascii="Times New Roman" w:hAnsi="Times New Roman" w:cs="Times New Roman"/>
          <w:sz w:val="24"/>
          <w:szCs w:val="24"/>
          <w:lang/>
        </w:rPr>
        <w:t xml:space="preserve"> </w:t>
      </w:r>
      <w:r w:rsidR="00224CE2" w:rsidRPr="00335B82">
        <w:rPr>
          <w:rFonts w:ascii="Times New Roman" w:hAnsi="Times New Roman" w:cs="Times New Roman"/>
          <w:sz w:val="24"/>
          <w:szCs w:val="24"/>
          <w:lang/>
        </w:rPr>
        <w:t>Савет за културу би био надлежан за праћење рада Координационог тела.</w:t>
      </w:r>
      <w:r w:rsidR="00224CE2">
        <w:rPr>
          <w:rFonts w:ascii="Times New Roman" w:hAnsi="Times New Roman" w:cs="Times New Roman"/>
          <w:sz w:val="24"/>
          <w:szCs w:val="24"/>
          <w:lang/>
        </w:rPr>
        <w:t xml:space="preserve">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21"/>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Увођење културног пасоша за омладинску публику</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Идеја увођења културног пасоша подразумева да сваки ученик на почетку школске године добије „пасош“ и да приликом сваке пос</w:t>
      </w:r>
      <w:r w:rsidR="00ED29FD">
        <w:rPr>
          <w:rFonts w:ascii="Times New Roman" w:hAnsi="Times New Roman" w:cs="Times New Roman"/>
          <w:sz w:val="24"/>
          <w:szCs w:val="24"/>
        </w:rPr>
        <w:t>е</w:t>
      </w:r>
      <w:r w:rsidRPr="0099762F">
        <w:rPr>
          <w:rFonts w:ascii="Times New Roman" w:hAnsi="Times New Roman" w:cs="Times New Roman"/>
          <w:sz w:val="24"/>
          <w:szCs w:val="24"/>
        </w:rPr>
        <w:t xml:space="preserve">те културном садржају добије потпис или друго обележје присуства. Школско одељење и појединци са највећим бројем потписа/обележја добили би пригодне награде. </w:t>
      </w:r>
    </w:p>
    <w:p w:rsidR="0099762F" w:rsidRPr="0099762F" w:rsidRDefault="0099762F" w:rsidP="0099762F">
      <w:pPr>
        <w:spacing w:after="0"/>
        <w:ind w:firstLine="720"/>
        <w:jc w:val="both"/>
        <w:rPr>
          <w:rFonts w:ascii="Times New Roman" w:hAnsi="Times New Roman" w:cs="Times New Roman"/>
          <w:sz w:val="24"/>
          <w:szCs w:val="24"/>
        </w:rPr>
      </w:pPr>
    </w:p>
    <w:p w:rsidR="0099762F" w:rsidRPr="00474628" w:rsidRDefault="0099762F" w:rsidP="00B03CD2">
      <w:pPr>
        <w:pStyle w:val="ListParagraph"/>
        <w:numPr>
          <w:ilvl w:val="2"/>
          <w:numId w:val="21"/>
        </w:numPr>
        <w:spacing w:after="0"/>
        <w:jc w:val="both"/>
        <w:rPr>
          <w:rFonts w:ascii="Times New Roman" w:hAnsi="Times New Roman" w:cs="Times New Roman"/>
          <w:i/>
          <w:sz w:val="24"/>
          <w:szCs w:val="24"/>
          <w:u w:val="single"/>
        </w:rPr>
      </w:pPr>
      <w:r w:rsidRPr="00474628">
        <w:rPr>
          <w:rFonts w:ascii="Times New Roman" w:hAnsi="Times New Roman" w:cs="Times New Roman"/>
          <w:i/>
          <w:sz w:val="24"/>
          <w:szCs w:val="24"/>
          <w:u w:val="single"/>
        </w:rPr>
        <w:t>Формирање програма  „Вршњачког култиватора“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Вршњачки култиватор је програм организовања часова у оквиру наставе (часови одељенског старешинства и грађанског васпитања су можда најпогоднији за то) на којима би ученици који су посетили неки културни садржај препричавали своје искуство и </w:t>
      </w:r>
      <w:r w:rsidRPr="0099762F">
        <w:rPr>
          <w:rFonts w:ascii="Times New Roman" w:hAnsi="Times New Roman" w:cs="Times New Roman"/>
          <w:sz w:val="24"/>
          <w:szCs w:val="24"/>
        </w:rPr>
        <w:lastRenderedPageBreak/>
        <w:t>покретали дискусије, и на крају именовали ко од ученика посећује неки од следећих догађаја.</w:t>
      </w:r>
    </w:p>
    <w:p w:rsidR="0099762F" w:rsidRPr="0099762F" w:rsidRDefault="0099762F" w:rsidP="00D13C95">
      <w:pPr>
        <w:spacing w:after="0"/>
        <w:jc w:val="both"/>
        <w:rPr>
          <w:rFonts w:ascii="Times New Roman" w:hAnsi="Times New Roman" w:cs="Times New Roman"/>
          <w:sz w:val="24"/>
          <w:szCs w:val="24"/>
        </w:rPr>
      </w:pPr>
    </w:p>
    <w:p w:rsidR="0099762F" w:rsidRPr="009B25B7" w:rsidRDefault="0099762F" w:rsidP="00B03CD2">
      <w:pPr>
        <w:pStyle w:val="ListParagraph"/>
        <w:numPr>
          <w:ilvl w:val="2"/>
          <w:numId w:val="21"/>
        </w:numPr>
        <w:spacing w:after="0"/>
        <w:jc w:val="both"/>
        <w:rPr>
          <w:rFonts w:ascii="Times New Roman" w:hAnsi="Times New Roman" w:cs="Times New Roman"/>
          <w:i/>
          <w:sz w:val="24"/>
          <w:szCs w:val="24"/>
          <w:u w:val="single"/>
        </w:rPr>
      </w:pPr>
      <w:r w:rsidRPr="009B25B7">
        <w:rPr>
          <w:rFonts w:ascii="Times New Roman" w:hAnsi="Times New Roman" w:cs="Times New Roman"/>
          <w:i/>
          <w:sz w:val="24"/>
          <w:szCs w:val="24"/>
          <w:u w:val="single"/>
        </w:rPr>
        <w:t xml:space="preserve">Повећање доступности културних садржаја младима </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Идеја активности је да се једном до двапут ме</w:t>
      </w:r>
      <w:r w:rsidR="00A54AB3">
        <w:rPr>
          <w:rFonts w:ascii="Times New Roman" w:hAnsi="Times New Roman" w:cs="Times New Roman"/>
          <w:sz w:val="24"/>
          <w:szCs w:val="24"/>
        </w:rPr>
        <w:t xml:space="preserve">сечно праве матине програми, а </w:t>
      </w:r>
      <w:r w:rsidRPr="0099762F">
        <w:rPr>
          <w:rFonts w:ascii="Times New Roman" w:hAnsi="Times New Roman" w:cs="Times New Roman"/>
          <w:sz w:val="24"/>
          <w:szCs w:val="24"/>
        </w:rPr>
        <w:t>најкасније до 13ч од стране установа како би ученици који долазе у школу из суседних насељених места могли да посећују ове програме без поновног доласка у град (пре школе или после школе). Ти програми могу бити и посебно организовани у договору са Координационим телом (активност 3.2.1.) како би садржаји имали публику. Такође, ови програми могу бити организовани и са удружењима пензионера, јер су досадашња истраживања културне партиципације показала да старијим грађанима више одговарају ранији термини за активизам у култури.</w:t>
      </w:r>
    </w:p>
    <w:p w:rsidR="0099762F" w:rsidRPr="0099762F" w:rsidRDefault="0099762F" w:rsidP="0099762F">
      <w:pPr>
        <w:spacing w:after="0"/>
        <w:ind w:firstLine="720"/>
        <w:jc w:val="both"/>
        <w:rPr>
          <w:rFonts w:ascii="Times New Roman" w:hAnsi="Times New Roman" w:cs="Times New Roman"/>
          <w:sz w:val="24"/>
          <w:szCs w:val="24"/>
        </w:rPr>
      </w:pPr>
    </w:p>
    <w:p w:rsidR="0099762F" w:rsidRPr="00BF1177" w:rsidRDefault="0099762F" w:rsidP="009B25B7">
      <w:pPr>
        <w:pStyle w:val="Heading3"/>
        <w:shd w:val="clear" w:color="auto" w:fill="BFBFBF" w:themeFill="background1" w:themeFillShade="BF"/>
        <w:rPr>
          <w:b/>
          <w:color w:val="FFFFFF" w:themeColor="background1"/>
        </w:rPr>
      </w:pPr>
      <w:bookmarkStart w:id="26" w:name="_Toc36072302"/>
      <w:r w:rsidRPr="00BF1177">
        <w:rPr>
          <w:b/>
          <w:color w:val="FFFFFF" w:themeColor="background1"/>
        </w:rPr>
        <w:t>Посебни циљ 4: Унапређење доступности и разноликости програма</w:t>
      </w:r>
      <w:bookmarkEnd w:id="26"/>
    </w:p>
    <w:p w:rsidR="0099762F" w:rsidRPr="0099762F" w:rsidRDefault="0099762F" w:rsidP="0099762F">
      <w:pPr>
        <w:spacing w:after="0"/>
        <w:jc w:val="both"/>
        <w:rPr>
          <w:rFonts w:ascii="Times New Roman" w:hAnsi="Times New Roman" w:cs="Times New Roman"/>
          <w:sz w:val="24"/>
          <w:szCs w:val="24"/>
        </w:rPr>
      </w:pPr>
    </w:p>
    <w:p w:rsidR="0099762F" w:rsidRPr="0099762F" w:rsidRDefault="0099762F" w:rsidP="009B25B7">
      <w:pPr>
        <w:pStyle w:val="Heading4"/>
        <w:shd w:val="clear" w:color="auto" w:fill="D9D9D9" w:themeFill="background1" w:themeFillShade="D9"/>
      </w:pPr>
      <w:r w:rsidRPr="0099762F">
        <w:t>Мера 4.1: Презентација и промоција културе града у дигиталном облику</w:t>
      </w:r>
    </w:p>
    <w:p w:rsidR="009B25B7" w:rsidRDefault="009B25B7" w:rsidP="009B25B7">
      <w:pPr>
        <w:spacing w:after="0"/>
        <w:jc w:val="both"/>
        <w:rPr>
          <w:rFonts w:ascii="Times New Roman" w:hAnsi="Times New Roman" w:cs="Times New Roman"/>
          <w:sz w:val="24"/>
          <w:szCs w:val="24"/>
        </w:rPr>
      </w:pPr>
    </w:p>
    <w:p w:rsidR="0099762F" w:rsidRPr="009B25B7" w:rsidRDefault="0099762F" w:rsidP="00B03CD2">
      <w:pPr>
        <w:pStyle w:val="ListParagraph"/>
        <w:numPr>
          <w:ilvl w:val="2"/>
          <w:numId w:val="22"/>
        </w:numPr>
        <w:spacing w:after="0"/>
        <w:ind w:left="1418"/>
        <w:jc w:val="both"/>
        <w:rPr>
          <w:rFonts w:ascii="Times New Roman" w:hAnsi="Times New Roman" w:cs="Times New Roman"/>
          <w:i/>
          <w:sz w:val="24"/>
          <w:szCs w:val="24"/>
          <w:u w:val="single"/>
        </w:rPr>
      </w:pPr>
      <w:r w:rsidRPr="009B25B7">
        <w:rPr>
          <w:rFonts w:ascii="Times New Roman" w:hAnsi="Times New Roman" w:cs="Times New Roman"/>
          <w:i/>
          <w:sz w:val="24"/>
          <w:szCs w:val="24"/>
          <w:u w:val="single"/>
        </w:rPr>
        <w:t>Креирање мобилне апликације културно-туристичке понуде Сомбора</w:t>
      </w:r>
    </w:p>
    <w:p w:rsidR="0099762F" w:rsidRPr="0099762F" w:rsidRDefault="0099762F" w:rsidP="0099762F">
      <w:pPr>
        <w:spacing w:after="0"/>
        <w:ind w:firstLine="720"/>
        <w:jc w:val="both"/>
        <w:rPr>
          <w:rFonts w:ascii="Times New Roman" w:hAnsi="Times New Roman" w:cs="Times New Roman"/>
          <w:noProof/>
          <w:sz w:val="24"/>
          <w:szCs w:val="24"/>
        </w:rPr>
      </w:pPr>
      <w:r w:rsidRPr="0099762F">
        <w:rPr>
          <w:rFonts w:ascii="Times New Roman" w:hAnsi="Times New Roman" w:cs="Times New Roman"/>
          <w:sz w:val="24"/>
          <w:szCs w:val="24"/>
        </w:rPr>
        <w:t>Сомбор у односу на друге градове сличне величине има велики број туриста, а што је најважније овај број је у сталном порасту</w:t>
      </w:r>
      <w:r w:rsidRPr="0099762F">
        <w:rPr>
          <w:rFonts w:ascii="Times New Roman" w:hAnsi="Times New Roman" w:cs="Times New Roman"/>
          <w:noProof/>
          <w:sz w:val="24"/>
          <w:szCs w:val="24"/>
        </w:rPr>
        <w:t xml:space="preserve">. Током фокус група посебно је истакнута недовољна сарадња са Туристичком организацијом Сомбора, па и сами елементи културе и наслеђа, сматрају чланови Радне групе, често нису добро представљени у туристичким промо материјалима. Како су дигитални начини промоције све присутнији у туристичким кретањима, дошло се на идеју да Сомбор добије мобилну апликацију у чијем креирању би учествовали све заинтересоване стране, где би установе обезбедиле адекватан садржај у циљу боље промоције манифестација, стваралаштва и наслеђа. </w:t>
      </w:r>
    </w:p>
    <w:p w:rsidR="0099762F" w:rsidRPr="0099762F" w:rsidRDefault="0099762F" w:rsidP="0099762F">
      <w:pPr>
        <w:spacing w:after="0"/>
        <w:ind w:firstLine="720"/>
        <w:jc w:val="both"/>
        <w:rPr>
          <w:rFonts w:ascii="Times New Roman" w:hAnsi="Times New Roman" w:cs="Times New Roman"/>
          <w:sz w:val="24"/>
          <w:szCs w:val="24"/>
        </w:rPr>
      </w:pPr>
    </w:p>
    <w:p w:rsidR="0099762F" w:rsidRPr="009B25B7" w:rsidRDefault="0099762F" w:rsidP="00B03CD2">
      <w:pPr>
        <w:pStyle w:val="ListParagraph"/>
        <w:numPr>
          <w:ilvl w:val="2"/>
          <w:numId w:val="22"/>
        </w:numPr>
        <w:spacing w:after="0"/>
        <w:ind w:left="1418"/>
        <w:jc w:val="both"/>
        <w:rPr>
          <w:rFonts w:ascii="Times New Roman" w:hAnsi="Times New Roman" w:cs="Times New Roman"/>
          <w:i/>
          <w:sz w:val="24"/>
          <w:szCs w:val="24"/>
          <w:u w:val="single"/>
        </w:rPr>
      </w:pPr>
      <w:r w:rsidRPr="009B25B7">
        <w:rPr>
          <w:rFonts w:ascii="Times New Roman" w:hAnsi="Times New Roman" w:cs="Times New Roman"/>
          <w:i/>
          <w:sz w:val="24"/>
          <w:szCs w:val="24"/>
          <w:u w:val="single"/>
        </w:rPr>
        <w:t>Дигитализација значајних културно-туристичких тачака у граду (3Д/холограмска/ виртуелна мапа)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Све актуелнији модели туристичког представљања локалитета, атракција, и самих градова као туристичких језгара су дигитални холограмски модели. Они функционишу у форми стварања дигиталних слика знаменитих места, личности и објеката у простору преко екрана мобилног телефона. Ова пракса заживела је на одређеном броју локалитета у Србији, па је и у оквиру акционог плана осмишљено да и Сомбор добије своју „виртуелну причу и шетњу“ градом.</w:t>
      </w:r>
    </w:p>
    <w:p w:rsidR="0099762F" w:rsidRPr="0099762F" w:rsidRDefault="0099762F" w:rsidP="0099762F">
      <w:pPr>
        <w:spacing w:after="0"/>
        <w:ind w:firstLine="720"/>
        <w:jc w:val="both"/>
        <w:rPr>
          <w:rFonts w:ascii="Times New Roman" w:hAnsi="Times New Roman" w:cs="Times New Roman"/>
          <w:sz w:val="24"/>
          <w:szCs w:val="24"/>
        </w:rPr>
      </w:pPr>
    </w:p>
    <w:p w:rsidR="0099762F" w:rsidRPr="009B25B7" w:rsidRDefault="0099762F" w:rsidP="00B03CD2">
      <w:pPr>
        <w:pStyle w:val="ListParagraph"/>
        <w:numPr>
          <w:ilvl w:val="2"/>
          <w:numId w:val="22"/>
        </w:numPr>
        <w:spacing w:after="0"/>
        <w:ind w:left="1418"/>
        <w:jc w:val="both"/>
        <w:rPr>
          <w:rFonts w:ascii="Times New Roman" w:hAnsi="Times New Roman" w:cs="Times New Roman"/>
          <w:i/>
          <w:sz w:val="24"/>
          <w:szCs w:val="24"/>
          <w:u w:val="single"/>
        </w:rPr>
      </w:pPr>
      <w:r w:rsidRPr="009B25B7">
        <w:rPr>
          <w:rFonts w:ascii="Times New Roman" w:hAnsi="Times New Roman" w:cs="Times New Roman"/>
          <w:i/>
          <w:sz w:val="24"/>
          <w:szCs w:val="24"/>
          <w:u w:val="single"/>
        </w:rPr>
        <w:t xml:space="preserve">Унапређење интерактивне туристичке дигиталне табле </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Град Сомбор је пре неколико месеци добио интерактивну туристичку таблу у центру града. Међутим, представници установа културе сматрају да није довољно информативна, прилагођена корисницима, те да је треба значајно унапредити и обогатити садржајима у области културе. Стога је и план да се дигитална табла ажурира и садржаји редефинишу.</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2"/>
        </w:numPr>
        <w:spacing w:after="0"/>
        <w:ind w:left="1418"/>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lastRenderedPageBreak/>
        <w:t>Успостављање јединственог онлајн продаје улазница (тикет сервиса) за културно-туристичка дешавања</w:t>
      </w:r>
    </w:p>
    <w:p w:rsid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У интервјуима са запосленима искристалисала се потреба да Сомбор добије јединствени онлајн сервис за продају улазница. Овај систем омогућио би продају карата за све програме у култури на једном месту. Такође, обухватио би и куповину улазница за популарне догађаје у другим градовима. </w:t>
      </w:r>
    </w:p>
    <w:p w:rsidR="00B2025F" w:rsidRDefault="00B2025F" w:rsidP="0099762F">
      <w:pPr>
        <w:spacing w:after="0"/>
        <w:ind w:firstLine="720"/>
        <w:jc w:val="both"/>
        <w:rPr>
          <w:rFonts w:ascii="Times New Roman" w:hAnsi="Times New Roman" w:cs="Times New Roman"/>
          <w:sz w:val="24"/>
          <w:szCs w:val="24"/>
        </w:rPr>
      </w:pPr>
    </w:p>
    <w:p w:rsidR="00B2025F" w:rsidRPr="00B2025F" w:rsidRDefault="00B2025F" w:rsidP="00B03CD2">
      <w:pPr>
        <w:pStyle w:val="ListParagraph"/>
        <w:numPr>
          <w:ilvl w:val="2"/>
          <w:numId w:val="22"/>
        </w:numPr>
        <w:spacing w:after="0"/>
        <w:jc w:val="both"/>
        <w:rPr>
          <w:rFonts w:ascii="Times New Roman" w:hAnsi="Times New Roman" w:cs="Times New Roman"/>
          <w:i/>
          <w:sz w:val="24"/>
          <w:szCs w:val="24"/>
          <w:u w:val="single"/>
          <w:lang/>
        </w:rPr>
      </w:pPr>
      <w:r w:rsidRPr="00B2025F">
        <w:rPr>
          <w:rFonts w:ascii="Times New Roman" w:hAnsi="Times New Roman" w:cs="Times New Roman"/>
          <w:i/>
          <w:sz w:val="24"/>
          <w:szCs w:val="24"/>
          <w:u w:val="single"/>
          <w:lang/>
        </w:rPr>
        <w:t>Развој виртуелног музеја и виртуелне поставке</w:t>
      </w:r>
    </w:p>
    <w:p w:rsidR="0099762F" w:rsidRPr="00B2025F" w:rsidRDefault="00B2025F" w:rsidP="00B2025F">
      <w:pPr>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Виртуелни музеј су све популарнији у свету и значајан су алат у процесу промоције наслеђа. Развој виртуелног музеја у Сомбору и виртуелне поставке би допринео развоју интересовања за прошлост, обичаје и садашњост Сомбора, али и развоју дигитализације културног наслеђа Сомбора, што је у складу са приоритетима Владе Републике Србије. </w:t>
      </w:r>
    </w:p>
    <w:p w:rsidR="00FC047B" w:rsidRDefault="00FC047B" w:rsidP="0099762F">
      <w:pPr>
        <w:spacing w:after="0"/>
        <w:jc w:val="both"/>
        <w:rPr>
          <w:rFonts w:ascii="Times New Roman" w:hAnsi="Times New Roman" w:cs="Times New Roman"/>
          <w:sz w:val="24"/>
          <w:szCs w:val="24"/>
        </w:rPr>
      </w:pPr>
    </w:p>
    <w:p w:rsidR="0099762F" w:rsidRPr="0099762F" w:rsidRDefault="0099762F" w:rsidP="00234574">
      <w:pPr>
        <w:pStyle w:val="Heading4"/>
        <w:shd w:val="clear" w:color="auto" w:fill="D9D9D9" w:themeFill="background1" w:themeFillShade="D9"/>
      </w:pPr>
      <w:r w:rsidRPr="0099762F">
        <w:t>Мера 4.2: Развој система медијске најаве и критике</w:t>
      </w:r>
    </w:p>
    <w:p w:rsidR="0099762F" w:rsidRPr="0099762F" w:rsidRDefault="0099762F" w:rsidP="0099762F">
      <w:pPr>
        <w:spacing w:after="0"/>
        <w:jc w:val="both"/>
        <w:rPr>
          <w:rFonts w:ascii="Times New Roman" w:hAnsi="Times New Roman" w:cs="Times New Roman"/>
          <w:b/>
          <w:i/>
          <w:sz w:val="24"/>
          <w:szCs w:val="24"/>
        </w:rPr>
      </w:pPr>
    </w:p>
    <w:p w:rsidR="00234574" w:rsidRPr="00234574" w:rsidRDefault="00234574" w:rsidP="00B03CD2">
      <w:pPr>
        <w:pStyle w:val="ListParagraph"/>
        <w:numPr>
          <w:ilvl w:val="0"/>
          <w:numId w:val="23"/>
        </w:numPr>
        <w:spacing w:after="0"/>
        <w:jc w:val="both"/>
        <w:rPr>
          <w:rFonts w:ascii="Times New Roman" w:hAnsi="Times New Roman" w:cs="Times New Roman"/>
          <w:i/>
          <w:vanish/>
          <w:sz w:val="24"/>
          <w:szCs w:val="24"/>
          <w:u w:val="single"/>
        </w:rPr>
      </w:pPr>
    </w:p>
    <w:p w:rsidR="00234574" w:rsidRPr="00234574" w:rsidRDefault="00234574" w:rsidP="00B03CD2">
      <w:pPr>
        <w:pStyle w:val="ListParagraph"/>
        <w:numPr>
          <w:ilvl w:val="0"/>
          <w:numId w:val="23"/>
        </w:numPr>
        <w:spacing w:after="0"/>
        <w:jc w:val="both"/>
        <w:rPr>
          <w:rFonts w:ascii="Times New Roman" w:hAnsi="Times New Roman" w:cs="Times New Roman"/>
          <w:i/>
          <w:vanish/>
          <w:sz w:val="24"/>
          <w:szCs w:val="24"/>
          <w:u w:val="single"/>
        </w:rPr>
      </w:pPr>
    </w:p>
    <w:p w:rsidR="00234574" w:rsidRPr="00234574" w:rsidRDefault="00234574" w:rsidP="00B03CD2">
      <w:pPr>
        <w:pStyle w:val="ListParagraph"/>
        <w:numPr>
          <w:ilvl w:val="1"/>
          <w:numId w:val="23"/>
        </w:numPr>
        <w:spacing w:after="0"/>
        <w:jc w:val="both"/>
        <w:rPr>
          <w:rFonts w:ascii="Times New Roman" w:hAnsi="Times New Roman" w:cs="Times New Roman"/>
          <w:i/>
          <w:vanish/>
          <w:sz w:val="24"/>
          <w:szCs w:val="24"/>
          <w:u w:val="single"/>
        </w:rPr>
      </w:pPr>
    </w:p>
    <w:p w:rsidR="00701D6E" w:rsidRPr="00701D6E" w:rsidRDefault="00701D6E" w:rsidP="00B03CD2">
      <w:pPr>
        <w:pStyle w:val="ListParagraph"/>
        <w:numPr>
          <w:ilvl w:val="2"/>
          <w:numId w:val="23"/>
        </w:numPr>
        <w:spacing w:after="0"/>
        <w:jc w:val="both"/>
        <w:rPr>
          <w:rFonts w:ascii="Times New Roman" w:hAnsi="Times New Roman" w:cs="Times New Roman"/>
          <w:i/>
          <w:sz w:val="24"/>
          <w:szCs w:val="24"/>
          <w:u w:val="single"/>
        </w:rPr>
      </w:pPr>
      <w:r w:rsidRPr="00701D6E">
        <w:rPr>
          <w:rFonts w:ascii="Times New Roman" w:hAnsi="Times New Roman" w:cs="Times New Roman"/>
          <w:i/>
          <w:sz w:val="24"/>
          <w:szCs w:val="24"/>
          <w:u w:val="single"/>
        </w:rPr>
        <w:t>Отварање канала културе и критике (интернет, друштвене мреже, вибер групе...)</w:t>
      </w:r>
    </w:p>
    <w:p w:rsidR="00701D6E" w:rsidRDefault="00701D6E" w:rsidP="00D33C02">
      <w:pPr>
        <w:spacing w:after="0"/>
        <w:ind w:firstLine="720"/>
        <w:jc w:val="both"/>
        <w:rPr>
          <w:rFonts w:ascii="Times New Roman" w:hAnsi="Times New Roman" w:cs="Times New Roman"/>
          <w:sz w:val="24"/>
          <w:szCs w:val="24"/>
        </w:rPr>
      </w:pPr>
      <w:r w:rsidRPr="00BC2DF4">
        <w:rPr>
          <w:rFonts w:ascii="Times New Roman" w:hAnsi="Times New Roman" w:cs="Times New Roman"/>
          <w:sz w:val="24"/>
          <w:szCs w:val="24"/>
        </w:rPr>
        <w:t xml:space="preserve">Критика је генерално у културном </w:t>
      </w:r>
      <w:r w:rsidR="00B2025F" w:rsidRPr="00BC2DF4">
        <w:rPr>
          <w:rFonts w:ascii="Times New Roman" w:hAnsi="Times New Roman" w:cs="Times New Roman"/>
          <w:sz w:val="24"/>
          <w:szCs w:val="24"/>
        </w:rPr>
        <w:t xml:space="preserve">простору Србије слабо присутна. </w:t>
      </w:r>
      <w:r w:rsidR="00B2025F" w:rsidRPr="00BC2DF4">
        <w:rPr>
          <w:rFonts w:ascii="Times New Roman" w:hAnsi="Times New Roman" w:cs="Times New Roman"/>
          <w:sz w:val="24"/>
          <w:szCs w:val="24"/>
          <w:lang/>
        </w:rPr>
        <w:t xml:space="preserve">У сарадњи са медијима </w:t>
      </w:r>
      <w:r w:rsidR="00B2025F" w:rsidRPr="00BC2DF4">
        <w:rPr>
          <w:rFonts w:ascii="Times New Roman" w:hAnsi="Times New Roman" w:cs="Times New Roman"/>
          <w:sz w:val="24"/>
          <w:szCs w:val="24"/>
        </w:rPr>
        <w:t>осмислио</w:t>
      </w:r>
      <w:r w:rsidRPr="00BC2DF4">
        <w:rPr>
          <w:rFonts w:ascii="Times New Roman" w:hAnsi="Times New Roman" w:cs="Times New Roman"/>
          <w:sz w:val="24"/>
          <w:szCs w:val="24"/>
        </w:rPr>
        <w:t xml:space="preserve"> би</w:t>
      </w:r>
      <w:r w:rsidR="00B2025F" w:rsidRPr="00BC2DF4">
        <w:rPr>
          <w:rFonts w:ascii="Times New Roman" w:hAnsi="Times New Roman" w:cs="Times New Roman"/>
          <w:sz w:val="24"/>
          <w:szCs w:val="24"/>
          <w:lang/>
        </w:rPr>
        <w:t xml:space="preserve"> се</w:t>
      </w:r>
      <w:r w:rsidRPr="00BC2DF4">
        <w:rPr>
          <w:rFonts w:ascii="Times New Roman" w:hAnsi="Times New Roman" w:cs="Times New Roman"/>
          <w:sz w:val="24"/>
          <w:szCs w:val="24"/>
        </w:rPr>
        <w:t xml:space="preserve"> канал </w:t>
      </w:r>
      <w:r w:rsidR="00B2025F" w:rsidRPr="00BC2DF4">
        <w:rPr>
          <w:rFonts w:ascii="Times New Roman" w:hAnsi="Times New Roman" w:cs="Times New Roman"/>
          <w:sz w:val="24"/>
          <w:szCs w:val="24"/>
        </w:rPr>
        <w:t>критике, његова форма и динамика</w:t>
      </w:r>
      <w:r w:rsidRPr="00BC2DF4">
        <w:rPr>
          <w:rFonts w:ascii="Times New Roman" w:hAnsi="Times New Roman" w:cs="Times New Roman"/>
          <w:sz w:val="24"/>
          <w:szCs w:val="24"/>
        </w:rPr>
        <w:t xml:space="preserve"> (интернет групе, сајт, профил на мрежама, радио или телевизијска емисија и слично). На овом каналу би </w:t>
      </w:r>
      <w:r w:rsidR="00B2025F" w:rsidRPr="00BC2DF4">
        <w:rPr>
          <w:rFonts w:ascii="Times New Roman" w:hAnsi="Times New Roman" w:cs="Times New Roman"/>
          <w:sz w:val="24"/>
          <w:szCs w:val="24"/>
          <w:lang/>
        </w:rPr>
        <w:t>се</w:t>
      </w:r>
      <w:r w:rsidR="00B2025F" w:rsidRPr="00BC2DF4">
        <w:rPr>
          <w:rFonts w:ascii="Times New Roman" w:hAnsi="Times New Roman" w:cs="Times New Roman"/>
          <w:sz w:val="24"/>
          <w:szCs w:val="24"/>
        </w:rPr>
        <w:t xml:space="preserve"> размењивала</w:t>
      </w:r>
      <w:r w:rsidRPr="00BC2DF4">
        <w:rPr>
          <w:rFonts w:ascii="Times New Roman" w:hAnsi="Times New Roman" w:cs="Times New Roman"/>
          <w:sz w:val="24"/>
          <w:szCs w:val="24"/>
        </w:rPr>
        <w:t xml:space="preserve"> ис</w:t>
      </w:r>
      <w:r w:rsidR="00B2025F" w:rsidRPr="00BC2DF4">
        <w:rPr>
          <w:rFonts w:ascii="Times New Roman" w:hAnsi="Times New Roman" w:cs="Times New Roman"/>
          <w:sz w:val="24"/>
          <w:szCs w:val="24"/>
        </w:rPr>
        <w:t>куства, покретале би се теме из културе, коментарисали би се културни догађаји, одлуке на нивоу града и давале</w:t>
      </w:r>
      <w:r w:rsidRPr="00BC2DF4">
        <w:rPr>
          <w:rFonts w:ascii="Times New Roman" w:hAnsi="Times New Roman" w:cs="Times New Roman"/>
          <w:sz w:val="24"/>
          <w:szCs w:val="24"/>
        </w:rPr>
        <w:t xml:space="preserve"> препоруке за унапређење културне понуде.</w:t>
      </w:r>
      <w:r w:rsidRPr="00701D6E">
        <w:rPr>
          <w:rFonts w:ascii="Times New Roman" w:hAnsi="Times New Roman" w:cs="Times New Roman"/>
          <w:sz w:val="24"/>
          <w:szCs w:val="24"/>
        </w:rPr>
        <w:t xml:space="preserve"> </w:t>
      </w:r>
    </w:p>
    <w:p w:rsidR="00BF1177" w:rsidRDefault="00BF1177" w:rsidP="00701D6E">
      <w:pPr>
        <w:spacing w:after="0"/>
        <w:ind w:left="720"/>
        <w:jc w:val="both"/>
        <w:rPr>
          <w:rFonts w:ascii="Times New Roman" w:hAnsi="Times New Roman" w:cs="Times New Roman"/>
          <w:sz w:val="24"/>
          <w:szCs w:val="24"/>
        </w:rPr>
      </w:pPr>
    </w:p>
    <w:p w:rsidR="00BC2DF4" w:rsidRDefault="00BC2DF4" w:rsidP="00B03CD2">
      <w:pPr>
        <w:pStyle w:val="ListParagraph"/>
        <w:numPr>
          <w:ilvl w:val="2"/>
          <w:numId w:val="23"/>
        </w:numPr>
        <w:spacing w:after="0"/>
        <w:jc w:val="both"/>
        <w:rPr>
          <w:rFonts w:ascii="Times New Roman" w:hAnsi="Times New Roman" w:cs="Times New Roman"/>
          <w:i/>
          <w:sz w:val="24"/>
          <w:szCs w:val="24"/>
          <w:u w:val="single"/>
        </w:rPr>
      </w:pPr>
      <w:r w:rsidRPr="00BC2DF4">
        <w:rPr>
          <w:rFonts w:ascii="Times New Roman" w:hAnsi="Times New Roman" w:cs="Times New Roman"/>
          <w:i/>
          <w:sz w:val="24"/>
          <w:szCs w:val="24"/>
          <w:u w:val="single"/>
        </w:rPr>
        <w:t>Сагледавање могућности и успостављање сарадње са локалним медијима у вези са покретањем емисије и других садржаја из културе</w:t>
      </w:r>
    </w:p>
    <w:p w:rsidR="00BC2DF4" w:rsidRDefault="00BC2DF4" w:rsidP="00BF1177">
      <w:pPr>
        <w:spacing w:after="0"/>
        <w:ind w:firstLine="720"/>
        <w:jc w:val="both"/>
        <w:rPr>
          <w:rFonts w:ascii="Times New Roman" w:hAnsi="Times New Roman" w:cs="Times New Roman"/>
          <w:sz w:val="24"/>
          <w:szCs w:val="24"/>
          <w:lang/>
        </w:rPr>
      </w:pPr>
      <w:r w:rsidRPr="00BC2DF4">
        <w:rPr>
          <w:rFonts w:ascii="Times New Roman" w:hAnsi="Times New Roman" w:cs="Times New Roman"/>
          <w:sz w:val="24"/>
          <w:szCs w:val="24"/>
          <w:lang/>
        </w:rPr>
        <w:t xml:space="preserve">Медији као основни извор информација немају довољно програма посвећених култури, због чега је значајно сагледати све могућности за покретање </w:t>
      </w:r>
      <w:r>
        <w:rPr>
          <w:rFonts w:ascii="Times New Roman" w:hAnsi="Times New Roman" w:cs="Times New Roman"/>
          <w:sz w:val="24"/>
          <w:szCs w:val="24"/>
          <w:lang/>
        </w:rPr>
        <w:t>емисија из културе и сарадњи са локалним медијима покренути</w:t>
      </w:r>
      <w:r w:rsidR="00BF4463">
        <w:rPr>
          <w:rFonts w:ascii="Times New Roman" w:hAnsi="Times New Roman" w:cs="Times New Roman"/>
          <w:sz w:val="24"/>
          <w:szCs w:val="24"/>
          <w:lang/>
        </w:rPr>
        <w:t xml:space="preserve"> барем једна емисија и/или други садржај из културе. </w:t>
      </w:r>
    </w:p>
    <w:p w:rsidR="00BF1177" w:rsidRPr="00BC2DF4" w:rsidRDefault="00BF1177" w:rsidP="00BF1177">
      <w:pPr>
        <w:spacing w:after="0"/>
        <w:jc w:val="both"/>
        <w:rPr>
          <w:rFonts w:ascii="Times New Roman" w:hAnsi="Times New Roman" w:cs="Times New Roman"/>
          <w:sz w:val="24"/>
          <w:szCs w:val="24"/>
          <w:lang/>
        </w:rPr>
      </w:pPr>
    </w:p>
    <w:p w:rsidR="00BC2DF4" w:rsidRDefault="00BC2DF4" w:rsidP="00B03CD2">
      <w:pPr>
        <w:pStyle w:val="ListParagraph"/>
        <w:numPr>
          <w:ilvl w:val="2"/>
          <w:numId w:val="23"/>
        </w:numPr>
        <w:spacing w:after="0"/>
        <w:jc w:val="both"/>
        <w:rPr>
          <w:rFonts w:ascii="Times New Roman" w:hAnsi="Times New Roman" w:cs="Times New Roman"/>
          <w:i/>
          <w:sz w:val="24"/>
          <w:szCs w:val="24"/>
          <w:u w:val="single"/>
        </w:rPr>
      </w:pPr>
      <w:r w:rsidRPr="00BC2DF4">
        <w:rPr>
          <w:rFonts w:ascii="Times New Roman" w:hAnsi="Times New Roman" w:cs="Times New Roman"/>
          <w:i/>
          <w:sz w:val="24"/>
          <w:szCs w:val="24"/>
          <w:u w:val="single"/>
        </w:rPr>
        <w:t>Увођење редовног прикупљања анкета после културних програма као форме критичког осврта публике, који се може графички и текстуално комуницирати у јавности</w:t>
      </w:r>
    </w:p>
    <w:p w:rsidR="00BF1177" w:rsidRPr="00BF1177" w:rsidRDefault="00BF1177" w:rsidP="00BF1177">
      <w:pPr>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На овај начин публика ће активно учествовати у програмима у области културе, док ће се додатно охрабривати како развој критичке мисли, тако и јавно испољавање ставова. Јавна презентација резултата има за циљ да се о култури све више прича и да мотивише грађане да управо због оцена публике одређене догађаје и посете.  </w:t>
      </w:r>
    </w:p>
    <w:p w:rsidR="0099762F" w:rsidRPr="0099762F" w:rsidRDefault="0099762F" w:rsidP="0099762F">
      <w:pPr>
        <w:spacing w:after="0"/>
        <w:jc w:val="both"/>
        <w:rPr>
          <w:rFonts w:ascii="Times New Roman" w:hAnsi="Times New Roman" w:cs="Times New Roman"/>
          <w:sz w:val="24"/>
          <w:szCs w:val="24"/>
        </w:rPr>
      </w:pPr>
    </w:p>
    <w:p w:rsidR="0099762F" w:rsidRPr="0099762F" w:rsidRDefault="0099762F" w:rsidP="00234574">
      <w:pPr>
        <w:pStyle w:val="Heading4"/>
        <w:shd w:val="clear" w:color="auto" w:fill="D9D9D9" w:themeFill="background1" w:themeFillShade="D9"/>
      </w:pPr>
      <w:r w:rsidRPr="0099762F">
        <w:t>Мера 4.3: Развој нових формата и потенцијала културне понуде</w:t>
      </w:r>
    </w:p>
    <w:p w:rsidR="0099762F" w:rsidRPr="0099762F" w:rsidRDefault="0099762F" w:rsidP="0099762F">
      <w:pPr>
        <w:spacing w:after="0"/>
        <w:jc w:val="both"/>
        <w:rPr>
          <w:rFonts w:ascii="Times New Roman" w:hAnsi="Times New Roman" w:cs="Times New Roman"/>
          <w:sz w:val="24"/>
          <w:szCs w:val="24"/>
        </w:rPr>
      </w:pPr>
    </w:p>
    <w:p w:rsidR="00234574" w:rsidRPr="00234574" w:rsidRDefault="00234574" w:rsidP="00B03CD2">
      <w:pPr>
        <w:pStyle w:val="ListParagraph"/>
        <w:numPr>
          <w:ilvl w:val="0"/>
          <w:numId w:val="24"/>
        </w:numPr>
        <w:spacing w:after="0"/>
        <w:jc w:val="both"/>
        <w:rPr>
          <w:rFonts w:ascii="Times New Roman" w:hAnsi="Times New Roman" w:cs="Times New Roman"/>
          <w:i/>
          <w:vanish/>
          <w:sz w:val="24"/>
          <w:szCs w:val="24"/>
          <w:u w:val="single"/>
        </w:rPr>
      </w:pPr>
    </w:p>
    <w:p w:rsidR="00234574" w:rsidRPr="00234574" w:rsidRDefault="00234574" w:rsidP="00B03CD2">
      <w:pPr>
        <w:pStyle w:val="ListParagraph"/>
        <w:numPr>
          <w:ilvl w:val="0"/>
          <w:numId w:val="24"/>
        </w:numPr>
        <w:spacing w:after="0"/>
        <w:jc w:val="both"/>
        <w:rPr>
          <w:rFonts w:ascii="Times New Roman" w:hAnsi="Times New Roman" w:cs="Times New Roman"/>
          <w:i/>
          <w:vanish/>
          <w:sz w:val="24"/>
          <w:szCs w:val="24"/>
          <w:u w:val="single"/>
        </w:rPr>
      </w:pPr>
    </w:p>
    <w:p w:rsidR="00234574" w:rsidRPr="00234574" w:rsidRDefault="00234574" w:rsidP="00B03CD2">
      <w:pPr>
        <w:pStyle w:val="ListParagraph"/>
        <w:numPr>
          <w:ilvl w:val="1"/>
          <w:numId w:val="24"/>
        </w:numPr>
        <w:spacing w:after="0"/>
        <w:jc w:val="both"/>
        <w:rPr>
          <w:rFonts w:ascii="Times New Roman" w:hAnsi="Times New Roman" w:cs="Times New Roman"/>
          <w:i/>
          <w:vanish/>
          <w:sz w:val="24"/>
          <w:szCs w:val="24"/>
          <w:u w:val="single"/>
        </w:rPr>
      </w:pPr>
    </w:p>
    <w:p w:rsidR="00234574" w:rsidRPr="00234574" w:rsidRDefault="00234574" w:rsidP="00B03CD2">
      <w:pPr>
        <w:pStyle w:val="ListParagraph"/>
        <w:numPr>
          <w:ilvl w:val="1"/>
          <w:numId w:val="24"/>
        </w:numPr>
        <w:spacing w:after="0"/>
        <w:jc w:val="both"/>
        <w:rPr>
          <w:rFonts w:ascii="Times New Roman" w:hAnsi="Times New Roman" w:cs="Times New Roman"/>
          <w:i/>
          <w:vanish/>
          <w:sz w:val="24"/>
          <w:szCs w:val="24"/>
          <w:u w:val="single"/>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Увођење система континуираног испитивања публике у сврху препознавања укуса, навика и потреба</w:t>
      </w:r>
    </w:p>
    <w:p w:rsid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lastRenderedPageBreak/>
        <w:t xml:space="preserve">Испитивање публике је од кључне важности за сваку установу, организацију или манифестацију у културу. Оно може дати смернице за будуће програме, дати увид у жеље публике, указати на то шта треба евентуално поправити у различитим програмима. међутим, установе културе најчешће то не раде, а када и раде, ова испитивања публике организују се </w:t>
      </w:r>
      <w:r w:rsidRPr="0099762F">
        <w:rPr>
          <w:rFonts w:ascii="Times New Roman" w:hAnsi="Times New Roman" w:cs="Times New Roman"/>
          <w:i/>
          <w:sz w:val="24"/>
          <w:szCs w:val="24"/>
        </w:rPr>
        <w:t>ad hoc</w:t>
      </w:r>
      <w:r w:rsidRPr="0099762F">
        <w:rPr>
          <w:rFonts w:ascii="Times New Roman" w:hAnsi="Times New Roman" w:cs="Times New Roman"/>
          <w:sz w:val="24"/>
          <w:szCs w:val="24"/>
        </w:rPr>
        <w:t>. немају континуитет који би омогућио поређење у различитим периодима рада. Стога је акционим планом предвиђено да свака установа успостави систем испитивања публике, односно корисника у Градској библиотеци. Одговори публике могу бити индикативни и за уобличавање мера културне политике.</w:t>
      </w:r>
    </w:p>
    <w:p w:rsidR="00BF1177" w:rsidRDefault="00BF1177" w:rsidP="0099762F">
      <w:pPr>
        <w:spacing w:after="0"/>
        <w:ind w:firstLine="720"/>
        <w:jc w:val="both"/>
        <w:rPr>
          <w:rFonts w:ascii="Times New Roman" w:hAnsi="Times New Roman" w:cs="Times New Roman"/>
          <w:sz w:val="24"/>
          <w:szCs w:val="24"/>
        </w:rPr>
      </w:pPr>
    </w:p>
    <w:p w:rsidR="004C541F" w:rsidRDefault="004C541F" w:rsidP="00B03CD2">
      <w:pPr>
        <w:pStyle w:val="ListParagraph"/>
        <w:numPr>
          <w:ilvl w:val="2"/>
          <w:numId w:val="24"/>
        </w:numPr>
        <w:spacing w:after="0"/>
        <w:jc w:val="both"/>
        <w:rPr>
          <w:rFonts w:ascii="Times New Roman" w:hAnsi="Times New Roman" w:cs="Times New Roman"/>
          <w:i/>
          <w:sz w:val="24"/>
          <w:szCs w:val="24"/>
          <w:u w:val="single"/>
          <w:lang/>
        </w:rPr>
      </w:pPr>
      <w:r w:rsidRPr="004C541F">
        <w:rPr>
          <w:rFonts w:ascii="Times New Roman" w:hAnsi="Times New Roman" w:cs="Times New Roman"/>
          <w:i/>
          <w:sz w:val="24"/>
          <w:szCs w:val="24"/>
          <w:u w:val="single"/>
          <w:lang/>
        </w:rPr>
        <w:t>Увођење система  испитивања мотива и потреба туриста у туристичким објектима Сомбора и сагледавање улоге културе у мотивацији туристичких кретања</w:t>
      </w:r>
    </w:p>
    <w:p w:rsidR="004C541F" w:rsidRPr="004C541F" w:rsidRDefault="004C541F" w:rsidP="00BF1177">
      <w:pPr>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П</w:t>
      </w:r>
      <w:r w:rsidRPr="004C541F">
        <w:rPr>
          <w:rFonts w:ascii="Times New Roman" w:hAnsi="Times New Roman" w:cs="Times New Roman"/>
          <w:sz w:val="24"/>
          <w:szCs w:val="24"/>
          <w:lang/>
        </w:rPr>
        <w:t>рема речима чланова Радне групе културни туризам иако је једна од снага развоја и културе и града није довољно развијен у Сомбору</w:t>
      </w:r>
      <w:r>
        <w:rPr>
          <w:rFonts w:ascii="Times New Roman" w:hAnsi="Times New Roman" w:cs="Times New Roman"/>
          <w:sz w:val="24"/>
          <w:szCs w:val="24"/>
          <w:lang/>
        </w:rPr>
        <w:t>.</w:t>
      </w:r>
      <w:r w:rsidRPr="004C541F">
        <w:rPr>
          <w:rFonts w:ascii="Times New Roman" w:hAnsi="Times New Roman" w:cs="Times New Roman"/>
          <w:sz w:val="24"/>
          <w:szCs w:val="24"/>
          <w:lang/>
        </w:rPr>
        <w:t xml:space="preserve"> </w:t>
      </w:r>
      <w:r>
        <w:rPr>
          <w:rFonts w:ascii="Times New Roman" w:hAnsi="Times New Roman" w:cs="Times New Roman"/>
          <w:sz w:val="24"/>
          <w:szCs w:val="24"/>
          <w:lang/>
        </w:rPr>
        <w:t xml:space="preserve">Стога </w:t>
      </w:r>
      <w:r w:rsidR="00D13C95">
        <w:rPr>
          <w:rFonts w:ascii="Times New Roman" w:hAnsi="Times New Roman" w:cs="Times New Roman"/>
          <w:sz w:val="24"/>
          <w:szCs w:val="24"/>
          <w:lang/>
        </w:rPr>
        <w:t>је, у</w:t>
      </w:r>
      <w:r w:rsidRPr="004C541F">
        <w:rPr>
          <w:rFonts w:ascii="Times New Roman" w:hAnsi="Times New Roman" w:cs="Times New Roman"/>
          <w:sz w:val="24"/>
          <w:szCs w:val="24"/>
          <w:lang/>
        </w:rPr>
        <w:t xml:space="preserve"> циљу усмеравања развоја културног туризма у Сомбору потребно је испитивати потребе и мотиве туриста у Сомбору</w:t>
      </w:r>
      <w:r>
        <w:rPr>
          <w:rFonts w:ascii="Times New Roman" w:hAnsi="Times New Roman" w:cs="Times New Roman"/>
          <w:sz w:val="24"/>
          <w:szCs w:val="24"/>
          <w:lang/>
        </w:rPr>
        <w:t xml:space="preserve">. </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 xml:space="preserve">Увођење испитивања културних потреба и навика становника руралних подручја </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Чак и када постоји систем испитивања културних потреба и навика грађана, село често остаје у другом плану. Стога је неопходно посебно прикупљати податке о културном животу на селу, потребама грађана који живе у руралним подручјима. То може бити једна од активности координатора. Модел, садржај као и термин испитивања треба уобличити тако да се за сва села користи исти како би и мишљења грађана могла бити део компаративне анализе. </w:t>
      </w:r>
    </w:p>
    <w:p w:rsidR="00ED29FD" w:rsidRPr="0099762F" w:rsidRDefault="00ED29FD"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 xml:space="preserve">Покретање програма дечје позоришне сцене у оквиру Културног центра </w:t>
      </w:r>
    </w:p>
    <w:p w:rsidR="0099762F" w:rsidRPr="00F85DF5" w:rsidRDefault="0099762F" w:rsidP="0099762F">
      <w:pPr>
        <w:spacing w:after="0"/>
        <w:ind w:firstLine="720"/>
        <w:jc w:val="both"/>
        <w:rPr>
          <w:rFonts w:ascii="Times New Roman" w:hAnsi="Times New Roman" w:cs="Times New Roman"/>
          <w:sz w:val="24"/>
          <w:szCs w:val="24"/>
          <w:lang/>
        </w:rPr>
      </w:pPr>
      <w:r w:rsidRPr="0099762F">
        <w:rPr>
          <w:rFonts w:ascii="Times New Roman" w:hAnsi="Times New Roman" w:cs="Times New Roman"/>
          <w:sz w:val="24"/>
          <w:szCs w:val="24"/>
        </w:rPr>
        <w:t>Град Сомбор нема дечје позориште, односно позориште за децу. Народно позориште Сомбор повремено организује гостовања дечјих представа, али се то испоставља као недовољно. Због тога се Акционим планом подржава оснивање дечје позоришне сцене при Културном центру којој би допринос дале и аматерске позоришне групе, али и школске драмске секције</w:t>
      </w:r>
      <w:r w:rsidRPr="00D13C95">
        <w:rPr>
          <w:rFonts w:ascii="Times New Roman" w:hAnsi="Times New Roman" w:cs="Times New Roman"/>
          <w:sz w:val="24"/>
          <w:szCs w:val="24"/>
        </w:rPr>
        <w:t xml:space="preserve">. </w:t>
      </w:r>
      <w:r w:rsidR="00F85DF5" w:rsidRPr="00D13C95">
        <w:rPr>
          <w:rFonts w:ascii="Times New Roman" w:hAnsi="Times New Roman" w:cs="Times New Roman"/>
          <w:sz w:val="24"/>
          <w:szCs w:val="24"/>
          <w:lang/>
        </w:rPr>
        <w:t xml:space="preserve">Једна од </w:t>
      </w:r>
      <w:r w:rsidR="00F85DF5" w:rsidRPr="00D13C95">
        <w:rPr>
          <w:rFonts w:ascii="Times New Roman" w:hAnsi="Times New Roman" w:cs="Times New Roman"/>
          <w:sz w:val="24"/>
          <w:szCs w:val="24"/>
        </w:rPr>
        <w:t xml:space="preserve">идеја је </w:t>
      </w:r>
      <w:r w:rsidR="00F85DF5" w:rsidRPr="00D13C95">
        <w:rPr>
          <w:rFonts w:ascii="Times New Roman" w:hAnsi="Times New Roman" w:cs="Times New Roman"/>
          <w:sz w:val="24"/>
          <w:szCs w:val="24"/>
          <w:lang/>
        </w:rPr>
        <w:t xml:space="preserve">организовање </w:t>
      </w:r>
      <w:r w:rsidR="00F85DF5" w:rsidRPr="00D13C95">
        <w:rPr>
          <w:rFonts w:ascii="Times New Roman" w:hAnsi="Times New Roman" w:cs="Times New Roman"/>
          <w:sz w:val="24"/>
          <w:szCs w:val="24"/>
        </w:rPr>
        <w:t>позоришта мјузикла за децу и младе, поставити на сцену бајке, басне, лектире, бавити се темама које интересују/ погађају младе</w:t>
      </w:r>
      <w:r w:rsidR="00F85DF5" w:rsidRPr="00D13C95">
        <w:rPr>
          <w:rFonts w:ascii="Times New Roman" w:hAnsi="Times New Roman" w:cs="Times New Roman"/>
          <w:sz w:val="24"/>
          <w:szCs w:val="24"/>
          <w:lang/>
        </w:rPr>
        <w:t>.</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Креирање програма за маргинализоване групе</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Око 40% анкетираних грађана сматра да не постоји довољан број програма за особе са инвалидитетом, поред тога што многе установе немају приступ за особе за физичким потешкоћама. Управо због тога наглашена је потреба да се посебно организују програми за особе за инвалидитетом и за особе са потешкоћама у развоју и то у сарадњи са удружењима која се бавим овим маргинализованим групама, како би садржаји у потпуности били прилагођени њиховим потребама и могућностима. Аудио водичи, машине и софтвери за титловање, као и тактилне стазе и тактилне табле, чија ће наб</w:t>
      </w:r>
      <w:r w:rsidR="0057644C">
        <w:rPr>
          <w:rFonts w:ascii="Times New Roman" w:hAnsi="Times New Roman" w:cs="Times New Roman"/>
          <w:sz w:val="24"/>
          <w:szCs w:val="24"/>
        </w:rPr>
        <w:t xml:space="preserve">авка </w:t>
      </w:r>
      <w:r w:rsidR="0057644C">
        <w:rPr>
          <w:rFonts w:ascii="Times New Roman" w:hAnsi="Times New Roman" w:cs="Times New Roman"/>
          <w:sz w:val="24"/>
          <w:szCs w:val="24"/>
        </w:rPr>
        <w:lastRenderedPageBreak/>
        <w:t>бити вршена кроз активност</w:t>
      </w:r>
      <w:r w:rsidRPr="0099762F">
        <w:rPr>
          <w:rFonts w:ascii="Times New Roman" w:hAnsi="Times New Roman" w:cs="Times New Roman"/>
          <w:sz w:val="24"/>
          <w:szCs w:val="24"/>
        </w:rPr>
        <w:t xml:space="preserve"> набавке опреме за установе (активност 2.2.1.), ће свакако поједине садржаје учинити доступнијим за слепе и слабовиде. </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Организација смотре/такмичења села у области културе</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Становништво околних насељених места препознато је као неактивно када је у питању културна партиципација. Отуда и имплементација идеје одржавања такмичења и смотри села у области културе. На смотрама би сви актери културе у селима могли да презентују своје стваралаштво, аматерско и професионално, као и да покажу познавање локалне културе и презентују специфичности (гастрономске, историјске, етнолошке...) свога краја. Смотре и такмичења би сваке године биле организоване у другом селу што би подстакло и већи културни активизам и размену искустава. Да је ова активност значајна показује и податак из анкетног дела истраживања за потребе Стратегије, да три четвртине грађана сматра да се у руралним подручјима само понекад или врло ретко реализују културни садржаји.</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Разматрање могућности међународне и прекограничне сарадње у пољу културе и културног туризма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У свим фокус групама наглашен је изостанак пројеката међународне сарадње. Акционим планом предвиђају се едукације за ову врсту активности, као и разматрање могућности за стимулативне мере и гаранције које би пружала локална самоуправа активним установама и организацијама у овој области. </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Профилисање филмског фестивала у јединствени културни програм у свету филма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Филмски фестивал у Сомбору је најновија манифестација покренута 2018. године. Настојања локалне самоуправе су да омогуће раст овог фестивала, и његово обликовање у бренд града. Такође, </w:t>
      </w:r>
      <w:r w:rsidR="007B1A7E" w:rsidRPr="00467279">
        <w:rPr>
          <w:rFonts w:ascii="Times New Roman" w:hAnsi="Times New Roman" w:cs="Times New Roman"/>
          <w:sz w:val="24"/>
          <w:szCs w:val="24"/>
          <w:lang/>
        </w:rPr>
        <w:t>Сомбор филм фест</w:t>
      </w:r>
      <w:r w:rsidR="007B1A7E">
        <w:rPr>
          <w:rFonts w:ascii="Times New Roman" w:hAnsi="Times New Roman" w:cs="Times New Roman"/>
          <w:sz w:val="24"/>
          <w:szCs w:val="24"/>
          <w:lang/>
        </w:rPr>
        <w:t xml:space="preserve"> </w:t>
      </w:r>
      <w:r w:rsidRPr="0099762F">
        <w:rPr>
          <w:rFonts w:ascii="Times New Roman" w:hAnsi="Times New Roman" w:cs="Times New Roman"/>
          <w:sz w:val="24"/>
          <w:szCs w:val="24"/>
        </w:rPr>
        <w:t xml:space="preserve">се сагледава и као значајан туристички потенцијал. Због тога се Акционим планом предвиђа профилисање фестивала као специфичног и јединственог у неком сегменту. Највероватније ће то бити сегмент филмских локација и сценографије. Овим решењем би филмски фестивал имао пратеће садржаје едукативног карактера у областима које нису покривене постојећим темама фестивала.  </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 xml:space="preserve">Иницирање нових уписа на листу НКН </w:t>
      </w:r>
    </w:p>
    <w:p w:rsidR="0099762F" w:rsidRPr="0099762F" w:rsidRDefault="00A45D57" w:rsidP="0099762F">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Град Сомбор ће у сарадњи са релевантним институцијама, иницирати упис нових </w:t>
      </w:r>
      <w:r w:rsidR="0099762F" w:rsidRPr="0099762F">
        <w:rPr>
          <w:rFonts w:ascii="Times New Roman" w:hAnsi="Times New Roman" w:cs="Times New Roman"/>
          <w:sz w:val="24"/>
          <w:szCs w:val="24"/>
        </w:rPr>
        <w:t xml:space="preserve">елемената у Национални регистар нематеријалног културног наслеђа, поред већ два уписа. </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Конзервација и презентација Повеље слободног и краљевског града Сомбора</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Сомбор је једини град у</w:t>
      </w:r>
      <w:r w:rsidR="00E22DAD">
        <w:rPr>
          <w:rFonts w:ascii="Times New Roman" w:hAnsi="Times New Roman" w:cs="Times New Roman"/>
          <w:sz w:val="24"/>
          <w:szCs w:val="24"/>
          <w:lang/>
        </w:rPr>
        <w:t xml:space="preserve"> Републици Србији</w:t>
      </w:r>
      <w:r w:rsidRPr="0099762F">
        <w:rPr>
          <w:rFonts w:ascii="Times New Roman" w:hAnsi="Times New Roman" w:cs="Times New Roman"/>
          <w:sz w:val="24"/>
          <w:szCs w:val="24"/>
        </w:rPr>
        <w:t xml:space="preserve"> који је сачувао документ којим Сомбор добија статус независног слободног краљевског града. Град планира да у наредном периоду овај вредан документ конзервира према стандардима струке и презентује јавности у простору Грашалковићеве палате.  </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234574" w:rsidP="00B03CD2">
      <w:pPr>
        <w:pStyle w:val="ListParagraph"/>
        <w:numPr>
          <w:ilvl w:val="2"/>
          <w:numId w:val="24"/>
        </w:numPr>
        <w:spacing w:after="0"/>
        <w:jc w:val="both"/>
        <w:rPr>
          <w:rFonts w:ascii="Times New Roman" w:hAnsi="Times New Roman" w:cs="Times New Roman"/>
          <w:i/>
          <w:sz w:val="24"/>
          <w:szCs w:val="24"/>
          <w:u w:val="single"/>
        </w:rPr>
      </w:pPr>
      <w:r>
        <w:rPr>
          <w:rFonts w:ascii="Times New Roman" w:hAnsi="Times New Roman" w:cs="Times New Roman"/>
          <w:i/>
          <w:sz w:val="24"/>
          <w:szCs w:val="24"/>
          <w:u w:val="single"/>
        </w:rPr>
        <w:t>Спровођење систематског</w:t>
      </w:r>
      <w:r w:rsidR="0099762F" w:rsidRPr="00234574">
        <w:rPr>
          <w:rFonts w:ascii="Times New Roman" w:hAnsi="Times New Roman" w:cs="Times New Roman"/>
          <w:i/>
          <w:sz w:val="24"/>
          <w:szCs w:val="24"/>
          <w:u w:val="single"/>
        </w:rPr>
        <w:t xml:space="preserve"> археолошког ископавања на локалитету Магарећи млин на којем је пронађен фрагмент лобање из периода мезолита, јединог локалитета из тог периода на територији АП Војводина</w:t>
      </w:r>
    </w:p>
    <w:p w:rsid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Анализа фрагмента лобање датовала је локалитет Магарећи млин у период средњег каменог доба (мезолит) чиме се потврђује да је територија околине Сомбора била насељена пре 9500 година. Потврде насељавања територије Војводине у мезолиту до сада нису археолошки </w:t>
      </w:r>
      <w:r w:rsidRPr="0099762F">
        <w:rPr>
          <w:rFonts w:ascii="Times New Roman" w:hAnsi="Times New Roman" w:cs="Times New Roman"/>
          <w:noProof/>
          <w:sz w:val="24"/>
          <w:szCs w:val="24"/>
          <w:lang w:val="sr-Cyrl-CS"/>
        </w:rPr>
        <w:t>документован</w:t>
      </w:r>
      <w:r w:rsidRPr="0099762F">
        <w:rPr>
          <w:rFonts w:ascii="Times New Roman" w:hAnsi="Times New Roman" w:cs="Times New Roman"/>
          <w:sz w:val="24"/>
          <w:szCs w:val="24"/>
          <w:lang w:val="sr-Cyrl-CS"/>
        </w:rPr>
        <w:t>е</w:t>
      </w:r>
      <w:r w:rsidRPr="0099762F">
        <w:rPr>
          <w:rFonts w:ascii="Times New Roman" w:hAnsi="Times New Roman" w:cs="Times New Roman"/>
          <w:sz w:val="24"/>
          <w:szCs w:val="24"/>
        </w:rPr>
        <w:t xml:space="preserve">, те би систематско археолошко ископавање овог локалитета са унапред утврђеном методологијом имало не само локални, него и национални значај. Потенцијално овај локалитет након истраживања може имати и туристичке капацитете. </w:t>
      </w:r>
    </w:p>
    <w:p w:rsidR="000D2612" w:rsidRDefault="000D2612" w:rsidP="0099762F">
      <w:pPr>
        <w:spacing w:after="0"/>
        <w:ind w:firstLine="720"/>
        <w:jc w:val="both"/>
        <w:rPr>
          <w:rFonts w:ascii="Times New Roman" w:hAnsi="Times New Roman" w:cs="Times New Roman"/>
          <w:sz w:val="24"/>
          <w:szCs w:val="24"/>
        </w:rPr>
      </w:pPr>
    </w:p>
    <w:p w:rsidR="000D2612" w:rsidRDefault="000D2612" w:rsidP="00B03CD2">
      <w:pPr>
        <w:pStyle w:val="ListParagraph"/>
        <w:numPr>
          <w:ilvl w:val="2"/>
          <w:numId w:val="24"/>
        </w:numPr>
        <w:spacing w:after="0"/>
        <w:jc w:val="both"/>
        <w:rPr>
          <w:rFonts w:ascii="Times New Roman" w:hAnsi="Times New Roman" w:cs="Times New Roman"/>
          <w:i/>
          <w:sz w:val="24"/>
          <w:szCs w:val="24"/>
          <w:u w:val="single"/>
          <w:lang/>
        </w:rPr>
      </w:pPr>
      <w:r w:rsidRPr="000D2612">
        <w:rPr>
          <w:rFonts w:ascii="Times New Roman" w:hAnsi="Times New Roman" w:cs="Times New Roman"/>
          <w:i/>
          <w:sz w:val="24"/>
          <w:szCs w:val="24"/>
          <w:u w:val="single"/>
          <w:lang/>
        </w:rPr>
        <w:t>Обележав</w:t>
      </w:r>
      <w:r>
        <w:rPr>
          <w:rFonts w:ascii="Times New Roman" w:hAnsi="Times New Roman" w:cs="Times New Roman"/>
          <w:i/>
          <w:sz w:val="24"/>
          <w:szCs w:val="24"/>
          <w:u w:val="single"/>
          <w:lang/>
        </w:rPr>
        <w:t>ање 140 година Градског музеја С</w:t>
      </w:r>
      <w:r w:rsidRPr="000D2612">
        <w:rPr>
          <w:rFonts w:ascii="Times New Roman" w:hAnsi="Times New Roman" w:cs="Times New Roman"/>
          <w:i/>
          <w:sz w:val="24"/>
          <w:szCs w:val="24"/>
          <w:u w:val="single"/>
          <w:lang/>
        </w:rPr>
        <w:t>омбор реализацијом Годишње Скупштине Српског археолошког друштва у Сомбору</w:t>
      </w:r>
    </w:p>
    <w:p w:rsidR="0099762F" w:rsidRPr="00E21054" w:rsidRDefault="000D2612" w:rsidP="00BF1177">
      <w:pPr>
        <w:spacing w:after="0"/>
        <w:ind w:firstLine="720"/>
        <w:jc w:val="both"/>
        <w:rPr>
          <w:rFonts w:ascii="Times New Roman" w:hAnsi="Times New Roman" w:cs="Times New Roman"/>
          <w:sz w:val="24"/>
          <w:szCs w:val="24"/>
        </w:rPr>
      </w:pPr>
      <w:r w:rsidRPr="00D13C95">
        <w:rPr>
          <w:rFonts w:ascii="Times New Roman" w:hAnsi="Times New Roman" w:cs="Times New Roman"/>
          <w:sz w:val="24"/>
          <w:szCs w:val="24"/>
          <w:lang/>
        </w:rPr>
        <w:t xml:space="preserve">Градски музеј Сомбор 2023. године обележава 140 година свог рада, </w:t>
      </w:r>
      <w:r w:rsidR="00046A3D" w:rsidRPr="00D13C95">
        <w:rPr>
          <w:rFonts w:ascii="Times New Roman" w:hAnsi="Times New Roman" w:cs="Times New Roman"/>
          <w:sz w:val="24"/>
          <w:szCs w:val="24"/>
          <w:lang/>
        </w:rPr>
        <w:t>а</w:t>
      </w:r>
      <w:r w:rsidRPr="00D13C95">
        <w:rPr>
          <w:rFonts w:ascii="Times New Roman" w:hAnsi="Times New Roman" w:cs="Times New Roman"/>
          <w:sz w:val="24"/>
          <w:szCs w:val="24"/>
          <w:lang/>
        </w:rPr>
        <w:t xml:space="preserve"> током свог рада био је значајна тачка археолошких ископавања и истраживања, због чега и данас поседује вредну археолошку збирку. Кустоси – археолози чланову су Српског археолошког друштва, струковног репрезентативног удружења у култури, због чега би било веома важно да се Годишња Скупштина друштва одржи 2023. године у С</w:t>
      </w:r>
      <w:r w:rsidR="00046A3D" w:rsidRPr="00D13C95">
        <w:rPr>
          <w:rFonts w:ascii="Times New Roman" w:hAnsi="Times New Roman" w:cs="Times New Roman"/>
          <w:sz w:val="24"/>
          <w:szCs w:val="24"/>
          <w:lang/>
        </w:rPr>
        <w:t xml:space="preserve">омбору. Одржавање Годишње Скупштине би </w:t>
      </w:r>
      <w:r w:rsidR="00E21054" w:rsidRPr="00D13C95">
        <w:rPr>
          <w:rFonts w:ascii="Times New Roman" w:hAnsi="Times New Roman" w:cs="Times New Roman"/>
          <w:sz w:val="24"/>
          <w:szCs w:val="24"/>
          <w:lang/>
        </w:rPr>
        <w:t>допринело промоцији Сомбора као културно – туристичке дестинације, а едукатини карактер Скупштине би допринео развоју интересовања стручњака за архолошка истраживања и очување археолошких локалитета у Сомбору. Такође, на Скупштини би стручњацима из Србије и других европских земаља били презентовани резултати истраживања археолошког локалитета Магарећи млин.</w:t>
      </w:r>
      <w:r w:rsidR="00E21054" w:rsidRPr="00E21054">
        <w:rPr>
          <w:rFonts w:ascii="Times New Roman" w:hAnsi="Times New Roman" w:cs="Times New Roman"/>
          <w:sz w:val="24"/>
          <w:szCs w:val="24"/>
          <w:lang/>
        </w:rPr>
        <w:t xml:space="preserve"> </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Креирање завичајних збирки насељених места која припадају граду Сомбору</w:t>
      </w:r>
    </w:p>
    <w:p w:rsidR="0099762F" w:rsidRPr="0099762F"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Територија града Сомбора је етнички мешовита, а посебно насељена места. У циљу очувања идентитета и презентовања специфичности локалних заједница, један од модела може бити креирање завичајних збирки, које истовремено укључиле у културну партиципацију рурално становништво. У креирању завичајних збирки, стручну и саветодавну подршку пружиће Градски музеј Сомбор.</w:t>
      </w:r>
    </w:p>
    <w:p w:rsidR="0099762F" w:rsidRPr="0099762F" w:rsidRDefault="0099762F" w:rsidP="0099762F">
      <w:pPr>
        <w:spacing w:after="0"/>
        <w:ind w:firstLine="720"/>
        <w:jc w:val="both"/>
        <w:rPr>
          <w:rFonts w:ascii="Times New Roman" w:hAnsi="Times New Roman" w:cs="Times New Roman"/>
          <w:sz w:val="24"/>
          <w:szCs w:val="24"/>
        </w:rPr>
      </w:pPr>
    </w:p>
    <w:p w:rsidR="0099762F" w:rsidRPr="00234574" w:rsidRDefault="0099762F" w:rsidP="00B03CD2">
      <w:pPr>
        <w:pStyle w:val="ListParagraph"/>
        <w:numPr>
          <w:ilvl w:val="2"/>
          <w:numId w:val="24"/>
        </w:numPr>
        <w:spacing w:after="0"/>
        <w:jc w:val="both"/>
        <w:rPr>
          <w:rFonts w:ascii="Times New Roman" w:hAnsi="Times New Roman" w:cs="Times New Roman"/>
          <w:i/>
          <w:sz w:val="24"/>
          <w:szCs w:val="24"/>
          <w:u w:val="single"/>
        </w:rPr>
      </w:pPr>
      <w:r w:rsidRPr="00234574">
        <w:rPr>
          <w:rFonts w:ascii="Times New Roman" w:hAnsi="Times New Roman" w:cs="Times New Roman"/>
          <w:i/>
          <w:sz w:val="24"/>
          <w:szCs w:val="24"/>
          <w:u w:val="single"/>
        </w:rPr>
        <w:t>Разматрање могућности учешћа у културним рутама Савета Европе</w:t>
      </w:r>
    </w:p>
    <w:p w:rsidR="00D03014" w:rsidRDefault="0099762F" w:rsidP="0099762F">
      <w:pPr>
        <w:spacing w:after="0"/>
        <w:ind w:firstLine="720"/>
        <w:jc w:val="both"/>
        <w:rPr>
          <w:rFonts w:ascii="Times New Roman" w:hAnsi="Times New Roman" w:cs="Times New Roman"/>
          <w:sz w:val="24"/>
          <w:szCs w:val="24"/>
        </w:rPr>
      </w:pPr>
      <w:r w:rsidRPr="0099762F">
        <w:rPr>
          <w:rFonts w:ascii="Times New Roman" w:hAnsi="Times New Roman" w:cs="Times New Roman"/>
          <w:sz w:val="24"/>
          <w:szCs w:val="24"/>
        </w:rPr>
        <w:t xml:space="preserve">У складу са циљем развоја културног туризма, према Програму развоја туризма Града Сомбора 2017-2025, и развојем прекограничне и шире међународне сарадње у области културе, ова активност подразумева разматрање свих могућности за прикључење сертификованим рутама Савета Европе.   </w:t>
      </w: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pPr>
    </w:p>
    <w:p w:rsidR="00D33C02" w:rsidRPr="002E7B6E" w:rsidRDefault="00D33C02" w:rsidP="00D33C02">
      <w:pPr>
        <w:pStyle w:val="Heading1"/>
        <w:shd w:val="clear" w:color="auto" w:fill="9CC2E5" w:themeFill="accent1" w:themeFillTint="99"/>
        <w:jc w:val="center"/>
        <w:rPr>
          <w:b/>
          <w:color w:val="FFFFFF" w:themeColor="background1"/>
          <w:lang/>
        </w:rPr>
      </w:pPr>
      <w:bookmarkStart w:id="27" w:name="_Toc36072303"/>
      <w:r>
        <w:rPr>
          <w:b/>
          <w:color w:val="FFFFFF" w:themeColor="background1"/>
          <w:lang/>
        </w:rPr>
        <w:t>АНЕКС 1</w:t>
      </w:r>
      <w:r w:rsidRPr="002E7B6E">
        <w:rPr>
          <w:b/>
          <w:color w:val="FFFFFF" w:themeColor="background1"/>
          <w:lang/>
        </w:rPr>
        <w:t xml:space="preserve">: </w:t>
      </w:r>
      <w:r w:rsidRPr="00D33C02">
        <w:rPr>
          <w:rFonts w:ascii="Times New Roman" w:hAnsi="Times New Roman" w:cs="Times New Roman"/>
          <w:b/>
          <w:color w:val="FFFFFF" w:themeColor="background1"/>
          <w:sz w:val="24"/>
          <w:szCs w:val="24"/>
          <w:lang/>
        </w:rPr>
        <w:t>Анализа потреба, навика и ставова публике Сомбора о култури у њиховом граду</w:t>
      </w:r>
      <w:bookmarkEnd w:id="27"/>
    </w:p>
    <w:p w:rsidR="00D33C02" w:rsidRDefault="00D33C02" w:rsidP="00D33C02">
      <w:pPr>
        <w:spacing w:after="0"/>
        <w:rPr>
          <w:rFonts w:ascii="Times New Roman" w:hAnsi="Times New Roman" w:cs="Times New Roman"/>
          <w:b/>
          <w:color w:val="FF0000"/>
          <w:sz w:val="28"/>
          <w:szCs w:val="28"/>
          <w:lang/>
        </w:rPr>
      </w:pPr>
    </w:p>
    <w:p w:rsidR="00D33C02" w:rsidRPr="00EF1BF9" w:rsidRDefault="00D33C02" w:rsidP="00EF1BF9">
      <w:pPr>
        <w:pStyle w:val="Heading1"/>
        <w:numPr>
          <w:ilvl w:val="0"/>
          <w:numId w:val="39"/>
        </w:numPr>
        <w:spacing w:before="0" w:after="240"/>
        <w:rPr>
          <w:b/>
          <w:lang/>
        </w:rPr>
      </w:pPr>
      <w:bookmarkStart w:id="28" w:name="_Toc36072304"/>
      <w:r w:rsidRPr="00EF1BF9">
        <w:rPr>
          <w:b/>
          <w:lang/>
        </w:rPr>
        <w:t>Опис истраживања</w:t>
      </w:r>
      <w:bookmarkEnd w:id="28"/>
    </w:p>
    <w:p w:rsidR="00D33C02" w:rsidRPr="006C6FB5" w:rsidRDefault="00D33C02" w:rsidP="00EF1BF9">
      <w:pPr>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У оквиру израде првог стратешког документа у култури града Сомбора</w:t>
      </w:r>
      <w:r w:rsidRPr="006C6FB5">
        <w:rPr>
          <w:rFonts w:ascii="Times New Roman" w:hAnsi="Times New Roman" w:cs="Times New Roman"/>
          <w:sz w:val="24"/>
          <w:szCs w:val="24"/>
          <w:lang/>
        </w:rPr>
        <w:t xml:space="preserve">, </w:t>
      </w:r>
      <w:r w:rsidRPr="006C6FB5">
        <w:rPr>
          <w:rFonts w:ascii="Times New Roman" w:hAnsi="Times New Roman" w:cs="Times New Roman"/>
          <w:sz w:val="24"/>
          <w:szCs w:val="24"/>
          <w:lang/>
        </w:rPr>
        <w:t xml:space="preserve">један од циљева био је стицање увида у културне потребе, навике и ставове грађана Сомбора. Посебан акценат стављен је на мишљење грађана о томе шта је потребно унапредити на пољу културе и шта недостаје у културној понуди Сомбора. Резултати овог сегмента питања коришћени су за формулисање појединих мера у Стратегији развоја културе града Сомбора </w:t>
      </w:r>
      <w:r w:rsidR="00C931CA">
        <w:rPr>
          <w:rFonts w:ascii="Times New Roman" w:hAnsi="Times New Roman" w:cs="Times New Roman"/>
          <w:sz w:val="24"/>
          <w:szCs w:val="24"/>
          <w:lang/>
        </w:rPr>
        <w:t>2021</w:t>
      </w:r>
      <w:r w:rsidRPr="006C6FB5">
        <w:rPr>
          <w:rFonts w:ascii="Times New Roman" w:hAnsi="Times New Roman" w:cs="Times New Roman"/>
          <w:sz w:val="24"/>
          <w:szCs w:val="24"/>
          <w:lang/>
        </w:rPr>
        <w:t xml:space="preserve">-2025. </w:t>
      </w:r>
    </w:p>
    <w:p w:rsidR="00D33C02" w:rsidRPr="006C6FB5" w:rsidRDefault="00D33C02" w:rsidP="00EF1BF9">
      <w:pPr>
        <w:spacing w:after="0"/>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 xml:space="preserve">Истраживање је под координацијом Завода за проучавање културног развитка спроведено уз помоћ Културног центра „Лаза Костић“ и запослених у овој установи. </w:t>
      </w:r>
    </w:p>
    <w:p w:rsidR="00D33C02" w:rsidRPr="006C6FB5" w:rsidRDefault="00D33C02" w:rsidP="00D33C02">
      <w:pPr>
        <w:spacing w:after="0"/>
        <w:rPr>
          <w:rFonts w:ascii="Times New Roman" w:hAnsi="Times New Roman" w:cs="Times New Roman"/>
          <w:b/>
          <w:sz w:val="28"/>
          <w:szCs w:val="28"/>
          <w:lang/>
        </w:rPr>
      </w:pPr>
    </w:p>
    <w:p w:rsidR="00D33C02" w:rsidRPr="00EF1BF9" w:rsidRDefault="00D33C02" w:rsidP="00EF1BF9">
      <w:pPr>
        <w:pStyle w:val="Heading1"/>
        <w:numPr>
          <w:ilvl w:val="0"/>
          <w:numId w:val="39"/>
        </w:numPr>
        <w:spacing w:before="0" w:after="240"/>
        <w:rPr>
          <w:b/>
          <w:lang/>
        </w:rPr>
      </w:pPr>
      <w:bookmarkStart w:id="29" w:name="_Toc36072305"/>
      <w:r w:rsidRPr="00EF1BF9">
        <w:rPr>
          <w:b/>
          <w:lang/>
        </w:rPr>
        <w:t>Методологија истраживања</w:t>
      </w:r>
      <w:bookmarkEnd w:id="29"/>
    </w:p>
    <w:p w:rsidR="00D33C02" w:rsidRPr="006C6FB5" w:rsidRDefault="00D33C02" w:rsidP="00EF1BF9">
      <w:pPr>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 xml:space="preserve">Културне потребе грађана за потребе истраживања дефинисане су као мотивација за учешће у културним активностима, док се под културним навикама подразумевало актуелно понашање у области културне партиципације. </w:t>
      </w:r>
    </w:p>
    <w:p w:rsidR="00D33C02" w:rsidRPr="006C6FB5" w:rsidRDefault="00D33C02" w:rsidP="00EF1BF9">
      <w:pPr>
        <w:spacing w:after="0"/>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Као метода испитивања коришћена је анкета коју су у сарадњи креирали Завод за проучавање кул</w:t>
      </w:r>
      <w:r w:rsidR="00F3753D" w:rsidRPr="006C6FB5">
        <w:rPr>
          <w:rFonts w:ascii="Times New Roman" w:hAnsi="Times New Roman" w:cs="Times New Roman"/>
          <w:sz w:val="24"/>
          <w:szCs w:val="24"/>
          <w:lang/>
        </w:rPr>
        <w:t>турног развитка и Р</w:t>
      </w:r>
      <w:r w:rsidRPr="006C6FB5">
        <w:rPr>
          <w:rFonts w:ascii="Times New Roman" w:hAnsi="Times New Roman" w:cs="Times New Roman"/>
          <w:sz w:val="24"/>
          <w:szCs w:val="24"/>
          <w:lang/>
        </w:rPr>
        <w:t xml:space="preserve">адна група за израду стратешког документа. </w:t>
      </w:r>
    </w:p>
    <w:p w:rsidR="00EF1BF9" w:rsidRPr="00D33C02" w:rsidRDefault="00EF1BF9" w:rsidP="00EF1BF9">
      <w:pPr>
        <w:spacing w:after="0"/>
        <w:jc w:val="both"/>
        <w:rPr>
          <w:rFonts w:ascii="Times New Roman" w:hAnsi="Times New Roman" w:cs="Times New Roman"/>
          <w:color w:val="FF0000"/>
          <w:sz w:val="24"/>
          <w:szCs w:val="24"/>
          <w:lang/>
        </w:rPr>
      </w:pPr>
    </w:p>
    <w:p w:rsidR="00D33C02" w:rsidRPr="00EF1BF9" w:rsidRDefault="00EF1BF9" w:rsidP="00EF1BF9">
      <w:pPr>
        <w:pStyle w:val="Heading2"/>
        <w:spacing w:before="0"/>
        <w:rPr>
          <w:b/>
          <w:lang/>
        </w:rPr>
      </w:pPr>
      <w:bookmarkStart w:id="30" w:name="_Toc36072306"/>
      <w:r w:rsidRPr="00EF1BF9">
        <w:rPr>
          <w:b/>
          <w:lang/>
        </w:rPr>
        <w:t xml:space="preserve">2.1. </w:t>
      </w:r>
      <w:r w:rsidR="00D33C02" w:rsidRPr="00EF1BF9">
        <w:rPr>
          <w:b/>
          <w:lang/>
        </w:rPr>
        <w:t>Узорак</w:t>
      </w:r>
      <w:bookmarkEnd w:id="30"/>
    </w:p>
    <w:p w:rsidR="00D33C02" w:rsidRPr="006C6FB5" w:rsidRDefault="00D33C02" w:rsidP="00EF1BF9">
      <w:pPr>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Узорак истраживања чинили су грађани Сомбора који су барем једном у последњих 6 месеци посетили неки догађај у области културе. Веома важно са становишта израде Стратегије да узорак чине грађани који су активни у култури и који могу на основу искуства да формирају ставове о културној понуди и политици.</w:t>
      </w:r>
    </w:p>
    <w:p w:rsidR="00D33C02" w:rsidRPr="006C6FB5" w:rsidRDefault="00D33C02" w:rsidP="00EF1BF9">
      <w:pPr>
        <w:spacing w:after="0"/>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Узорак је обухватио 626 грађана Сомбора чије су особине:</w:t>
      </w:r>
    </w:p>
    <w:p w:rsidR="00D33C02" w:rsidRPr="006C6FB5" w:rsidRDefault="00D33C02" w:rsidP="00EF1BF9">
      <w:pPr>
        <w:shd w:val="clear" w:color="auto" w:fill="D9D9D9" w:themeFill="background1" w:themeFillShade="D9"/>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Полна структура</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58,8%</w:t>
      </w:r>
      <w:r w:rsidRPr="006C6FB5">
        <w:rPr>
          <w:rFonts w:ascii="Times New Roman" w:hAnsi="Times New Roman" w:cs="Times New Roman"/>
          <w:sz w:val="24"/>
          <w:szCs w:val="24"/>
          <w:lang/>
        </w:rPr>
        <w:t xml:space="preserve"> </w:t>
      </w:r>
      <w:r w:rsidRPr="006C6FB5">
        <w:rPr>
          <w:rFonts w:ascii="Times New Roman" w:hAnsi="Times New Roman" w:cs="Times New Roman"/>
          <w:sz w:val="24"/>
          <w:szCs w:val="24"/>
          <w:lang/>
        </w:rPr>
        <w:t>жене</w:t>
      </w:r>
      <w:r w:rsidRPr="006C6FB5">
        <w:rPr>
          <w:rFonts w:ascii="Times New Roman" w:hAnsi="Times New Roman" w:cs="Times New Roman"/>
          <w:sz w:val="24"/>
          <w:szCs w:val="24"/>
          <w:lang/>
        </w:rPr>
        <w:t>;</w:t>
      </w:r>
      <w:r w:rsidRPr="006C6FB5">
        <w:rPr>
          <w:rFonts w:ascii="Times New Roman" w:hAnsi="Times New Roman" w:cs="Times New Roman"/>
          <w:sz w:val="24"/>
          <w:szCs w:val="24"/>
          <w:lang/>
        </w:rPr>
        <w:t xml:space="preserve"> </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lastRenderedPageBreak/>
        <w:t>41,2%</w:t>
      </w:r>
      <w:r w:rsidRPr="006C6FB5">
        <w:rPr>
          <w:rFonts w:ascii="Times New Roman" w:hAnsi="Times New Roman" w:cs="Times New Roman"/>
          <w:sz w:val="24"/>
          <w:szCs w:val="24"/>
          <w:lang/>
        </w:rPr>
        <w:t xml:space="preserve"> </w:t>
      </w:r>
      <w:r w:rsidRPr="006C6FB5">
        <w:rPr>
          <w:rFonts w:ascii="Times New Roman" w:hAnsi="Times New Roman" w:cs="Times New Roman"/>
          <w:sz w:val="24"/>
          <w:szCs w:val="24"/>
          <w:lang/>
        </w:rPr>
        <w:t>мушкарци</w:t>
      </w:r>
    </w:p>
    <w:p w:rsidR="00EF1BF9" w:rsidRPr="006C6FB5" w:rsidRDefault="00EF1BF9" w:rsidP="00EF1BF9">
      <w:pPr>
        <w:spacing w:after="0" w:line="240" w:lineRule="auto"/>
        <w:jc w:val="center"/>
        <w:rPr>
          <w:rFonts w:ascii="Times New Roman" w:hAnsi="Times New Roman" w:cs="Times New Roman"/>
          <w:sz w:val="24"/>
          <w:szCs w:val="24"/>
          <w:lang/>
        </w:rPr>
      </w:pPr>
    </w:p>
    <w:p w:rsidR="00D33C02" w:rsidRPr="006C6FB5" w:rsidRDefault="00D33C02" w:rsidP="00EF1BF9">
      <w:pPr>
        <w:shd w:val="clear" w:color="auto" w:fill="D9D9D9" w:themeFill="background1" w:themeFillShade="D9"/>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Старосна структура</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21,1%</w:t>
      </w:r>
      <w:r w:rsidRPr="006C6FB5">
        <w:rPr>
          <w:rFonts w:ascii="Times New Roman" w:hAnsi="Times New Roman" w:cs="Times New Roman"/>
          <w:sz w:val="24"/>
          <w:szCs w:val="24"/>
          <w:lang/>
        </w:rPr>
        <w:t xml:space="preserve"> старосна група од 15 до 29 године; </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44,5%</w:t>
      </w:r>
      <w:r w:rsidRPr="006C6FB5">
        <w:rPr>
          <w:rFonts w:ascii="Times New Roman" w:hAnsi="Times New Roman" w:cs="Times New Roman"/>
          <w:sz w:val="24"/>
          <w:szCs w:val="24"/>
          <w:lang/>
        </w:rPr>
        <w:t xml:space="preserve"> старосна група од 30 до 49 година; </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34,4%</w:t>
      </w:r>
      <w:r w:rsidRPr="006C6FB5">
        <w:rPr>
          <w:rFonts w:ascii="Times New Roman" w:hAnsi="Times New Roman" w:cs="Times New Roman"/>
          <w:sz w:val="24"/>
          <w:szCs w:val="24"/>
          <w:lang/>
        </w:rPr>
        <w:t xml:space="preserve"> старосна група од 50 година и старијих</w:t>
      </w:r>
    </w:p>
    <w:p w:rsidR="00EF1BF9" w:rsidRPr="006C6FB5" w:rsidRDefault="00EF1BF9" w:rsidP="00EF1BF9">
      <w:pPr>
        <w:spacing w:after="0" w:line="240" w:lineRule="auto"/>
        <w:jc w:val="center"/>
        <w:rPr>
          <w:rFonts w:ascii="Times New Roman" w:hAnsi="Times New Roman" w:cs="Times New Roman"/>
          <w:sz w:val="24"/>
          <w:szCs w:val="24"/>
          <w:lang/>
        </w:rPr>
      </w:pPr>
    </w:p>
    <w:p w:rsidR="00D33C02" w:rsidRPr="006C6FB5" w:rsidRDefault="00D33C02" w:rsidP="00EF1BF9">
      <w:pPr>
        <w:shd w:val="clear" w:color="auto" w:fill="D9D9D9" w:themeFill="background1" w:themeFillShade="D9"/>
        <w:spacing w:after="0" w:line="240" w:lineRule="auto"/>
        <w:jc w:val="center"/>
        <w:rPr>
          <w:rFonts w:ascii="Times New Roman" w:hAnsi="Times New Roman" w:cs="Times New Roman"/>
          <w:b/>
          <w:sz w:val="24"/>
          <w:szCs w:val="24"/>
          <w:lang w:val="sr-Cyrl-CS"/>
        </w:rPr>
      </w:pPr>
      <w:r w:rsidRPr="006C6FB5">
        <w:rPr>
          <w:rFonts w:ascii="Times New Roman" w:hAnsi="Times New Roman" w:cs="Times New Roman"/>
          <w:b/>
          <w:noProof/>
          <w:sz w:val="24"/>
          <w:szCs w:val="24"/>
          <w:lang w:val="sr-Cyrl-CS"/>
        </w:rPr>
        <w:t>Образовна структура</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11,6%</w:t>
      </w:r>
      <w:r w:rsidRPr="006C6FB5">
        <w:rPr>
          <w:rFonts w:ascii="Times New Roman" w:hAnsi="Times New Roman" w:cs="Times New Roman"/>
          <w:sz w:val="24"/>
          <w:szCs w:val="24"/>
          <w:lang/>
        </w:rPr>
        <w:t xml:space="preserve"> основна школа и ниже</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53%</w:t>
      </w:r>
      <w:r w:rsidRPr="006C6FB5">
        <w:rPr>
          <w:rFonts w:ascii="Times New Roman" w:hAnsi="Times New Roman" w:cs="Times New Roman"/>
          <w:sz w:val="24"/>
          <w:szCs w:val="24"/>
          <w:lang/>
        </w:rPr>
        <w:t xml:space="preserve"> средња школа</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8,8%</w:t>
      </w:r>
      <w:r w:rsidRPr="006C6FB5">
        <w:rPr>
          <w:rFonts w:ascii="Times New Roman" w:hAnsi="Times New Roman" w:cs="Times New Roman"/>
          <w:sz w:val="24"/>
          <w:szCs w:val="24"/>
          <w:lang/>
        </w:rPr>
        <w:t xml:space="preserve"> више образовање</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20,2%</w:t>
      </w:r>
      <w:r w:rsidRPr="006C6FB5">
        <w:rPr>
          <w:rFonts w:ascii="Times New Roman" w:hAnsi="Times New Roman" w:cs="Times New Roman"/>
          <w:sz w:val="24"/>
          <w:szCs w:val="24"/>
          <w:lang/>
        </w:rPr>
        <w:t xml:space="preserve"> високо образовање</w:t>
      </w:r>
    </w:p>
    <w:p w:rsidR="00D33C02" w:rsidRPr="006C6FB5" w:rsidRDefault="00D33C02" w:rsidP="00EF1BF9">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6,4%</w:t>
      </w:r>
      <w:r w:rsidRPr="006C6FB5">
        <w:rPr>
          <w:rFonts w:ascii="Times New Roman" w:hAnsi="Times New Roman" w:cs="Times New Roman"/>
          <w:sz w:val="24"/>
          <w:szCs w:val="24"/>
          <w:lang/>
        </w:rPr>
        <w:t xml:space="preserve"> мр, др</w:t>
      </w:r>
    </w:p>
    <w:p w:rsidR="00EF1BF9" w:rsidRPr="006C6FB5" w:rsidRDefault="00EF1BF9" w:rsidP="00EF1BF9">
      <w:pPr>
        <w:spacing w:after="0" w:line="240" w:lineRule="auto"/>
        <w:jc w:val="center"/>
        <w:rPr>
          <w:rFonts w:ascii="Times New Roman" w:hAnsi="Times New Roman" w:cs="Times New Roman"/>
          <w:sz w:val="24"/>
          <w:szCs w:val="24"/>
          <w:lang/>
        </w:rPr>
      </w:pPr>
    </w:p>
    <w:p w:rsidR="00D33C02" w:rsidRPr="006C6FB5" w:rsidRDefault="00D33C02" w:rsidP="00D33C02">
      <w:pPr>
        <w:shd w:val="clear" w:color="auto" w:fill="D9D9D9" w:themeFill="background1" w:themeFillShade="D9"/>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Место становања</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68,4%</w:t>
      </w:r>
      <w:r w:rsidRPr="006C6FB5">
        <w:rPr>
          <w:rFonts w:ascii="Times New Roman" w:hAnsi="Times New Roman" w:cs="Times New Roman"/>
          <w:sz w:val="24"/>
          <w:szCs w:val="24"/>
          <w:lang/>
        </w:rPr>
        <w:t xml:space="preserve"> урбано подручје града Сомбора</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31,6%</w:t>
      </w:r>
      <w:r w:rsidRPr="006C6FB5">
        <w:rPr>
          <w:rFonts w:ascii="Times New Roman" w:hAnsi="Times New Roman" w:cs="Times New Roman"/>
          <w:sz w:val="24"/>
          <w:szCs w:val="24"/>
          <w:lang/>
        </w:rPr>
        <w:t xml:space="preserve"> рурално подручје града Сомбора</w:t>
      </w:r>
    </w:p>
    <w:p w:rsidR="00EF1BF9" w:rsidRPr="006C6FB5" w:rsidRDefault="00EF1BF9" w:rsidP="00D33C02">
      <w:pPr>
        <w:spacing w:after="0" w:line="240" w:lineRule="auto"/>
        <w:jc w:val="center"/>
        <w:rPr>
          <w:rFonts w:ascii="Times New Roman" w:hAnsi="Times New Roman" w:cs="Times New Roman"/>
          <w:sz w:val="24"/>
          <w:szCs w:val="24"/>
          <w:lang/>
        </w:rPr>
      </w:pPr>
    </w:p>
    <w:p w:rsidR="00D33C02" w:rsidRPr="006C6FB5" w:rsidRDefault="00D33C02" w:rsidP="00D33C02">
      <w:pPr>
        <w:shd w:val="clear" w:color="auto" w:fill="D9D9D9" w:themeFill="background1" w:themeFillShade="D9"/>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Брачно стање</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 xml:space="preserve">28,9% </w:t>
      </w:r>
      <w:r w:rsidRPr="006C6FB5">
        <w:rPr>
          <w:rFonts w:ascii="Times New Roman" w:hAnsi="Times New Roman" w:cs="Times New Roman"/>
          <w:sz w:val="24"/>
          <w:szCs w:val="24"/>
          <w:lang/>
        </w:rPr>
        <w:t xml:space="preserve">невенчани/никад у браку </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55,2%</w:t>
      </w:r>
      <w:r w:rsidRPr="006C6FB5">
        <w:rPr>
          <w:rFonts w:ascii="Times New Roman" w:hAnsi="Times New Roman" w:cs="Times New Roman"/>
          <w:sz w:val="24"/>
          <w:szCs w:val="24"/>
          <w:lang/>
        </w:rPr>
        <w:t xml:space="preserve"> у браку/ванбрачној заједници</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7,5%</w:t>
      </w:r>
      <w:r w:rsidRPr="006C6FB5">
        <w:rPr>
          <w:rFonts w:ascii="Times New Roman" w:hAnsi="Times New Roman" w:cs="Times New Roman"/>
          <w:sz w:val="24"/>
          <w:szCs w:val="24"/>
          <w:lang/>
        </w:rPr>
        <w:t xml:space="preserve"> удовац/удовица</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8,3%</w:t>
      </w:r>
      <w:r w:rsidRPr="006C6FB5">
        <w:rPr>
          <w:rFonts w:ascii="Times New Roman" w:hAnsi="Times New Roman" w:cs="Times New Roman"/>
          <w:sz w:val="24"/>
          <w:szCs w:val="24"/>
          <w:lang/>
        </w:rPr>
        <w:t xml:space="preserve"> разведен/разведена</w:t>
      </w:r>
    </w:p>
    <w:p w:rsidR="00EF1BF9" w:rsidRPr="006C6FB5" w:rsidRDefault="00EF1BF9" w:rsidP="00D33C02">
      <w:pPr>
        <w:spacing w:after="0" w:line="240" w:lineRule="auto"/>
        <w:jc w:val="center"/>
        <w:rPr>
          <w:rFonts w:ascii="Times New Roman" w:hAnsi="Times New Roman" w:cs="Times New Roman"/>
          <w:sz w:val="24"/>
          <w:szCs w:val="24"/>
          <w:lang/>
        </w:rPr>
      </w:pPr>
    </w:p>
    <w:p w:rsidR="00D33C02" w:rsidRPr="006C6FB5" w:rsidRDefault="00D33C02" w:rsidP="00D33C02">
      <w:pPr>
        <w:shd w:val="clear" w:color="auto" w:fill="D9D9D9" w:themeFill="background1" w:themeFillShade="D9"/>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Деца</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65,8%</w:t>
      </w:r>
      <w:r w:rsidRPr="006C6FB5">
        <w:rPr>
          <w:rFonts w:ascii="Times New Roman" w:hAnsi="Times New Roman" w:cs="Times New Roman"/>
          <w:sz w:val="24"/>
          <w:szCs w:val="24"/>
          <w:lang/>
        </w:rPr>
        <w:t xml:space="preserve"> има децу (</w:t>
      </w:r>
      <w:r w:rsidRPr="006C6FB5">
        <w:rPr>
          <w:rFonts w:ascii="Times New Roman" w:hAnsi="Times New Roman" w:cs="Times New Roman"/>
          <w:b/>
          <w:sz w:val="24"/>
          <w:szCs w:val="24"/>
          <w:lang/>
        </w:rPr>
        <w:t>31,8%</w:t>
      </w:r>
      <w:r w:rsidRPr="006C6FB5">
        <w:rPr>
          <w:rFonts w:ascii="Times New Roman" w:hAnsi="Times New Roman" w:cs="Times New Roman"/>
          <w:sz w:val="24"/>
          <w:szCs w:val="24"/>
          <w:lang/>
        </w:rPr>
        <w:t xml:space="preserve"> има децу млађу од 15 година)</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 xml:space="preserve">34,2% </w:t>
      </w:r>
      <w:r w:rsidRPr="006C6FB5">
        <w:rPr>
          <w:rFonts w:ascii="Times New Roman" w:hAnsi="Times New Roman" w:cs="Times New Roman"/>
          <w:sz w:val="24"/>
          <w:szCs w:val="24"/>
          <w:lang/>
        </w:rPr>
        <w:t>нема децу</w:t>
      </w:r>
    </w:p>
    <w:p w:rsidR="00EF1BF9" w:rsidRPr="006C6FB5" w:rsidRDefault="00EF1BF9" w:rsidP="00D33C02">
      <w:pPr>
        <w:spacing w:after="0" w:line="240" w:lineRule="auto"/>
        <w:jc w:val="center"/>
        <w:rPr>
          <w:rFonts w:ascii="Times New Roman" w:hAnsi="Times New Roman" w:cs="Times New Roman"/>
          <w:sz w:val="24"/>
          <w:szCs w:val="24"/>
          <w:lang/>
        </w:rPr>
      </w:pPr>
    </w:p>
    <w:p w:rsidR="00D33C02" w:rsidRPr="006C6FB5" w:rsidRDefault="00D33C02" w:rsidP="00D33C02">
      <w:pPr>
        <w:shd w:val="clear" w:color="auto" w:fill="D9D9D9" w:themeFill="background1" w:themeFillShade="D9"/>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Радни статус</w:t>
      </w:r>
    </w:p>
    <w:p w:rsidR="00D33C02" w:rsidRPr="006C6FB5" w:rsidRDefault="00D33C02" w:rsidP="00D33C02">
      <w:pPr>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 xml:space="preserve">58,9% </w:t>
      </w:r>
      <w:r w:rsidRPr="006C6FB5">
        <w:rPr>
          <w:rFonts w:ascii="Times New Roman" w:hAnsi="Times New Roman" w:cs="Times New Roman"/>
          <w:sz w:val="24"/>
          <w:szCs w:val="24"/>
          <w:lang/>
        </w:rPr>
        <w:t>у радном односу</w:t>
      </w:r>
    </w:p>
    <w:p w:rsidR="00D33C02" w:rsidRPr="006C6FB5" w:rsidRDefault="00D33C02" w:rsidP="00D33C02">
      <w:pPr>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 xml:space="preserve">15,1% </w:t>
      </w:r>
      <w:r w:rsidRPr="006C6FB5">
        <w:rPr>
          <w:rFonts w:ascii="Times New Roman" w:hAnsi="Times New Roman" w:cs="Times New Roman"/>
          <w:sz w:val="24"/>
          <w:szCs w:val="24"/>
          <w:lang/>
        </w:rPr>
        <w:t>незапослен/незапослена</w:t>
      </w:r>
    </w:p>
    <w:p w:rsidR="00D33C02" w:rsidRPr="006C6FB5" w:rsidRDefault="00D33C02" w:rsidP="00D33C02">
      <w:pPr>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 xml:space="preserve">3% </w:t>
      </w:r>
      <w:r w:rsidRPr="006C6FB5">
        <w:rPr>
          <w:rFonts w:ascii="Times New Roman" w:hAnsi="Times New Roman" w:cs="Times New Roman"/>
          <w:sz w:val="24"/>
          <w:szCs w:val="24"/>
          <w:lang/>
        </w:rPr>
        <w:t>студент/студенткиња</w:t>
      </w:r>
    </w:p>
    <w:p w:rsidR="00D33C02" w:rsidRPr="006C6FB5" w:rsidRDefault="00D33C02" w:rsidP="00D33C02">
      <w:pPr>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 xml:space="preserve">6.6% </w:t>
      </w:r>
      <w:r w:rsidRPr="006C6FB5">
        <w:rPr>
          <w:rFonts w:ascii="Times New Roman" w:hAnsi="Times New Roman" w:cs="Times New Roman"/>
          <w:sz w:val="24"/>
          <w:szCs w:val="24"/>
          <w:lang/>
        </w:rPr>
        <w:t>ученик/ученица</w:t>
      </w:r>
    </w:p>
    <w:p w:rsidR="00D33C02" w:rsidRPr="006C6FB5" w:rsidRDefault="00D33C02" w:rsidP="00D33C02">
      <w:pPr>
        <w:spacing w:after="0" w:line="240" w:lineRule="auto"/>
        <w:jc w:val="center"/>
        <w:rPr>
          <w:rFonts w:ascii="Times New Roman" w:hAnsi="Times New Roman" w:cs="Times New Roman"/>
          <w:b/>
          <w:sz w:val="24"/>
          <w:szCs w:val="24"/>
          <w:lang/>
        </w:rPr>
      </w:pPr>
      <w:r w:rsidRPr="006C6FB5">
        <w:rPr>
          <w:rFonts w:ascii="Times New Roman" w:hAnsi="Times New Roman" w:cs="Times New Roman"/>
          <w:b/>
          <w:sz w:val="24"/>
          <w:szCs w:val="24"/>
          <w:lang/>
        </w:rPr>
        <w:t xml:space="preserve">15,1% </w:t>
      </w:r>
      <w:r w:rsidRPr="006C6FB5">
        <w:rPr>
          <w:rFonts w:ascii="Times New Roman" w:hAnsi="Times New Roman" w:cs="Times New Roman"/>
          <w:sz w:val="24"/>
          <w:szCs w:val="24"/>
          <w:lang/>
        </w:rPr>
        <w:t>пензионер/пензионерка</w:t>
      </w:r>
    </w:p>
    <w:p w:rsidR="00D33C02" w:rsidRPr="006C6FB5" w:rsidRDefault="00D33C02" w:rsidP="00D33C02">
      <w:pPr>
        <w:spacing w:after="0" w:line="240" w:lineRule="auto"/>
        <w:jc w:val="center"/>
        <w:rPr>
          <w:rFonts w:ascii="Times New Roman" w:hAnsi="Times New Roman" w:cs="Times New Roman"/>
          <w:sz w:val="24"/>
          <w:szCs w:val="24"/>
          <w:lang/>
        </w:rPr>
      </w:pPr>
      <w:r w:rsidRPr="006C6FB5">
        <w:rPr>
          <w:rFonts w:ascii="Times New Roman" w:hAnsi="Times New Roman" w:cs="Times New Roman"/>
          <w:b/>
          <w:sz w:val="24"/>
          <w:szCs w:val="24"/>
          <w:lang/>
        </w:rPr>
        <w:t xml:space="preserve">1,3% </w:t>
      </w:r>
      <w:r w:rsidRPr="006C6FB5">
        <w:rPr>
          <w:rFonts w:ascii="Times New Roman" w:hAnsi="Times New Roman" w:cs="Times New Roman"/>
          <w:sz w:val="24"/>
          <w:szCs w:val="24"/>
          <w:lang/>
        </w:rPr>
        <w:t>друго неактивно лице</w:t>
      </w:r>
    </w:p>
    <w:p w:rsidR="00D33C02" w:rsidRPr="00EF1BF9" w:rsidRDefault="00D33C02" w:rsidP="00EF1BF9">
      <w:pPr>
        <w:pStyle w:val="Heading1"/>
        <w:numPr>
          <w:ilvl w:val="0"/>
          <w:numId w:val="39"/>
        </w:numPr>
        <w:spacing w:after="240"/>
        <w:rPr>
          <w:b/>
          <w:lang/>
        </w:rPr>
      </w:pPr>
      <w:bookmarkStart w:id="31" w:name="_Toc36072307"/>
      <w:r w:rsidRPr="00EF1BF9">
        <w:rPr>
          <w:b/>
          <w:lang/>
        </w:rPr>
        <w:t>Културне потребе и афинитети</w:t>
      </w:r>
      <w:bookmarkEnd w:id="31"/>
    </w:p>
    <w:p w:rsidR="00D33C02" w:rsidRPr="006C6FB5" w:rsidRDefault="00D33C02" w:rsidP="006C6FB5">
      <w:pPr>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 xml:space="preserve">Важан део сагледавања културне партиципације представља увид у афинитете публике, односно увид у то којим садржајима је публика мање или више наклоњена. </w:t>
      </w:r>
    </w:p>
    <w:p w:rsidR="00EF1BF9" w:rsidRPr="006C6FB5" w:rsidRDefault="00D33C02" w:rsidP="00EF1BF9">
      <w:pPr>
        <w:ind w:firstLine="720"/>
        <w:jc w:val="both"/>
        <w:rPr>
          <w:rFonts w:ascii="Times New Roman" w:hAnsi="Times New Roman" w:cs="Times New Roman"/>
          <w:sz w:val="24"/>
          <w:szCs w:val="24"/>
          <w:lang/>
        </w:rPr>
      </w:pPr>
      <w:r w:rsidRPr="006C6FB5">
        <w:rPr>
          <w:rFonts w:ascii="Times New Roman" w:hAnsi="Times New Roman" w:cs="Times New Roman"/>
          <w:sz w:val="24"/>
          <w:szCs w:val="24"/>
          <w:lang/>
        </w:rPr>
        <w:t>Посетиоци културних догађаја у Сомбору, као и популација на нивоу Србије</w:t>
      </w:r>
      <w:r w:rsidRPr="006C6FB5">
        <w:rPr>
          <w:rFonts w:ascii="Times New Roman" w:hAnsi="Times New Roman" w:cs="Times New Roman"/>
          <w:sz w:val="24"/>
          <w:szCs w:val="24"/>
          <w:vertAlign w:val="superscript"/>
          <w:lang/>
        </w:rPr>
        <w:footnoteReference w:id="36"/>
      </w:r>
      <w:r w:rsidRPr="006C6FB5">
        <w:rPr>
          <w:rFonts w:ascii="Times New Roman" w:hAnsi="Times New Roman" w:cs="Times New Roman"/>
          <w:sz w:val="24"/>
          <w:szCs w:val="24"/>
          <w:lang/>
        </w:rPr>
        <w:t xml:space="preserve">, највише воле филмске и позоришне садржаје. Најмању наклоност сомборска публика </w:t>
      </w:r>
      <w:r w:rsidRPr="006C6FB5">
        <w:rPr>
          <w:rFonts w:ascii="Times New Roman" w:hAnsi="Times New Roman" w:cs="Times New Roman"/>
          <w:sz w:val="24"/>
          <w:szCs w:val="24"/>
          <w:lang/>
        </w:rPr>
        <w:lastRenderedPageBreak/>
        <w:t xml:space="preserve">показује према џез и класичној музици. Интересантно је да публика не само да воли да посећује садржаје из културе, него показује и велику склоност ка културној продукцији и уметничким хобијима, па око 43% истиче да воли ове активности. Судећи према наведеним потребама, културна понуда Сомбора би могла бити обогаћена већим бројем филмских и позоришних садржаја, што ће свакако бити један од фокуса у наредном периоду, будући да је Сомбор покренуо филмски фестивал пре две године, и да се планира отварање дечје позоришне сцене при Културном центру. </w:t>
      </w:r>
      <w:r w:rsidR="00EF1BF9" w:rsidRPr="006C6FB5">
        <w:rPr>
          <w:rFonts w:ascii="Times New Roman" w:hAnsi="Times New Roman" w:cs="Times New Roman"/>
          <w:sz w:val="24"/>
          <w:szCs w:val="24"/>
          <w:lang/>
        </w:rPr>
        <w:t>Уколико се у обзир узму и активности које у ширем смислу спадају у културу, публика у Сомбору највише воли да гледа телевизију и претражује интернет, што је и основна одлика културне партиципације грађана Србије.</w:t>
      </w:r>
    </w:p>
    <w:p w:rsidR="00D33C02" w:rsidRPr="00AF0C06" w:rsidRDefault="00D33C02" w:rsidP="00D33C02">
      <w:pPr>
        <w:rPr>
          <w:rFonts w:ascii="Times New Roman" w:hAnsi="Times New Roman" w:cs="Times New Roman"/>
          <w:sz w:val="24"/>
          <w:szCs w:val="24"/>
          <w:lang/>
        </w:rPr>
      </w:pPr>
      <w:r w:rsidRPr="00AF0C06">
        <w:rPr>
          <w:rFonts w:ascii="Times New Roman" w:hAnsi="Times New Roman" w:cs="Times New Roman"/>
          <w:sz w:val="24"/>
          <w:szCs w:val="24"/>
          <w:lang/>
        </w:rPr>
        <w:t>Табела</w:t>
      </w:r>
      <w:r w:rsidR="00EF1BF9" w:rsidRPr="00AF0C06">
        <w:rPr>
          <w:rFonts w:ascii="Times New Roman" w:hAnsi="Times New Roman" w:cs="Times New Roman"/>
          <w:sz w:val="24"/>
          <w:szCs w:val="24"/>
          <w:lang/>
        </w:rPr>
        <w:t xml:space="preserve"> 1</w:t>
      </w:r>
      <w:r w:rsidRPr="00AF0C06">
        <w:rPr>
          <w:rFonts w:ascii="Times New Roman" w:hAnsi="Times New Roman" w:cs="Times New Roman"/>
          <w:sz w:val="24"/>
          <w:szCs w:val="24"/>
          <w:lang/>
        </w:rPr>
        <w:t>: Склоност грађана ка одређеним садржајима</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110"/>
        <w:gridCol w:w="1110"/>
        <w:gridCol w:w="1111"/>
        <w:gridCol w:w="1110"/>
        <w:gridCol w:w="1110"/>
        <w:gridCol w:w="1111"/>
      </w:tblGrid>
      <w:tr w:rsidR="00D33C02" w:rsidRPr="00AF0C06" w:rsidTr="00D33C02">
        <w:trPr>
          <w:trHeight w:val="507"/>
          <w:jc w:val="center"/>
        </w:trPr>
        <w:tc>
          <w:tcPr>
            <w:tcW w:w="254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hAnsi="Times New Roman" w:cs="Times New Roman"/>
                <w:sz w:val="24"/>
                <w:szCs w:val="24"/>
                <w:lang/>
              </w:rPr>
              <w:t xml:space="preserve"> </w:t>
            </w:r>
            <w:r w:rsidRPr="00AF0C06">
              <w:rPr>
                <w:rFonts w:ascii="Times New Roman" w:eastAsia="Calibri" w:hAnsi="Times New Roman" w:cs="Times New Roman"/>
                <w:noProof/>
                <w:sz w:val="20"/>
                <w:szCs w:val="20"/>
                <w:lang w:val="sr-Cyrl-CS"/>
              </w:rPr>
              <w:t>Активност</w:t>
            </w:r>
          </w:p>
        </w:tc>
        <w:tc>
          <w:tcPr>
            <w:tcW w:w="1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Јако волим</w:t>
            </w:r>
          </w:p>
        </w:tc>
        <w:tc>
          <w:tcPr>
            <w:tcW w:w="1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Волим</w:t>
            </w:r>
          </w:p>
        </w:tc>
        <w:tc>
          <w:tcPr>
            <w:tcW w:w="11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Равнодушан/а сам</w:t>
            </w:r>
          </w:p>
        </w:tc>
        <w:tc>
          <w:tcPr>
            <w:tcW w:w="1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Не волим</w:t>
            </w:r>
          </w:p>
        </w:tc>
        <w:tc>
          <w:tcPr>
            <w:tcW w:w="11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Уопште не волим</w:t>
            </w:r>
          </w:p>
        </w:tc>
        <w:tc>
          <w:tcPr>
            <w:tcW w:w="1111" w:type="dxa"/>
            <w:tcBorders>
              <w:top w:val="single" w:sz="4" w:space="0" w:color="auto"/>
              <w:left w:val="single" w:sz="4" w:space="0" w:color="auto"/>
              <w:bottom w:val="single" w:sz="4" w:space="0" w:color="auto"/>
              <w:right w:val="single" w:sz="4" w:space="0" w:color="auto"/>
            </w:tcBorders>
            <w:shd w:val="clear" w:color="auto" w:fill="D9D9D9"/>
            <w:vAlign w:val="center"/>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Без одговора</w:t>
            </w:r>
          </w:p>
        </w:tc>
      </w:tr>
      <w:tr w:rsidR="00D33C02" w:rsidRPr="00AF0C06" w:rsidTr="00D33C02">
        <w:trPr>
          <w:trHeight w:val="522"/>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Одлазак на позоришну представу</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27,8</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42,2</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16,8</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5,6</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1,4</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6,2</w:t>
            </w:r>
          </w:p>
        </w:tc>
      </w:tr>
      <w:tr w:rsidR="00D33C02" w:rsidRPr="00AF0C06" w:rsidTr="00D33C02">
        <w:trPr>
          <w:trHeight w:val="245"/>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Одлазак у биоскоп</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27</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47,1</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13,3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5,1</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1,1</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6,4</w:t>
            </w:r>
          </w:p>
        </w:tc>
      </w:tr>
      <w:tr w:rsidR="00D33C02" w:rsidRPr="00AF0C06" w:rsidTr="00D33C02">
        <w:trPr>
          <w:trHeight w:val="522"/>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Одлазак у музеј или галерију</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10,2</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39,6</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30,7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8,3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2,7</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8,5</w:t>
            </w:r>
          </w:p>
        </w:tc>
      </w:tr>
      <w:tr w:rsidR="00D33C02" w:rsidRPr="00AF0C06" w:rsidTr="00D33C02">
        <w:trPr>
          <w:trHeight w:val="507"/>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Обилазак споменика и археолошких локалитета</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13,1</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36,4</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31</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8,8</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2,6</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8,1</w:t>
            </w:r>
          </w:p>
        </w:tc>
      </w:tr>
      <w:tr w:rsidR="00D33C02" w:rsidRPr="00AF0C06" w:rsidTr="00D33C02">
        <w:trPr>
          <w:trHeight w:val="137"/>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Слушање класичне музике</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9,3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28,6</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29,2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19</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6,4</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7,5</w:t>
            </w:r>
          </w:p>
        </w:tc>
      </w:tr>
      <w:tr w:rsidR="00D33C02" w:rsidRPr="00AF0C06" w:rsidTr="00D33C02">
        <w:trPr>
          <w:trHeight w:val="245"/>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Слушање џез музике</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8,3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20,1</w:t>
            </w:r>
          </w:p>
        </w:tc>
        <w:tc>
          <w:tcPr>
            <w:tcW w:w="1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32,4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22,7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8,1</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8,3</w:t>
            </w:r>
          </w:p>
        </w:tc>
      </w:tr>
      <w:tr w:rsidR="00D33C02" w:rsidRPr="00AF0C06" w:rsidTr="00D33C02">
        <w:trPr>
          <w:trHeight w:val="260"/>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Слушање рок музике</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23,6</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35,8</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16,1</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13,3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4,5</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6,7</w:t>
            </w:r>
          </w:p>
        </w:tc>
      </w:tr>
      <w:tr w:rsidR="00D33C02" w:rsidRPr="00AF0C06" w:rsidTr="00D33C02">
        <w:trPr>
          <w:trHeight w:val="209"/>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Слушање народне музике</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14,4</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33,1</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23,3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12,3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9,3</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7,7</w:t>
            </w:r>
          </w:p>
        </w:tc>
      </w:tr>
      <w:tr w:rsidR="00D33C02" w:rsidRPr="00AF0C06" w:rsidTr="00D33C02">
        <w:trPr>
          <w:trHeight w:val="227"/>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Претраживање интернета</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25,7</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44,4</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15,7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4,3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3</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6,9</w:t>
            </w:r>
          </w:p>
        </w:tc>
      </w:tr>
      <w:tr w:rsidR="00D33C02" w:rsidRPr="00AF0C06" w:rsidTr="00D33C02">
        <w:trPr>
          <w:trHeight w:val="245"/>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Друштвене мреже</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21,2</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37,4</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18,7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9,3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6,9</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6,5</w:t>
            </w:r>
          </w:p>
        </w:tc>
      </w:tr>
      <w:tr w:rsidR="00D33C02" w:rsidRPr="00AF0C06" w:rsidTr="00D33C02">
        <w:trPr>
          <w:trHeight w:val="260"/>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Гледање телевизије</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20,3</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43,6</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21,2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6,1</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3</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5,8</w:t>
            </w:r>
          </w:p>
        </w:tc>
      </w:tr>
      <w:tr w:rsidR="00D33C02" w:rsidRPr="00AF0C06" w:rsidTr="00D33C02">
        <w:trPr>
          <w:trHeight w:val="245"/>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Гледање филмова</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33,9</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46,5</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11,2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0,5</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5,6</w:t>
            </w:r>
          </w:p>
        </w:tc>
      </w:tr>
      <w:tr w:rsidR="00D33C02" w:rsidRPr="00AF0C06" w:rsidTr="00D33C02">
        <w:trPr>
          <w:trHeight w:val="260"/>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Читање књига (укључујући и е-издања)</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31,2</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37,7</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17,7</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5,3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2,6</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5,6</w:t>
            </w:r>
          </w:p>
        </w:tc>
      </w:tr>
      <w:tr w:rsidR="00D33C02" w:rsidRPr="00AF0C06" w:rsidTr="00D33C02">
        <w:trPr>
          <w:trHeight w:val="245"/>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Читање новина</w:t>
            </w:r>
            <w:r w:rsidRPr="00AF0C06">
              <w:rPr>
                <w:rFonts w:ascii="Times New Roman" w:eastAsia="Times New Roman" w:hAnsi="Times New Roman" w:cs="Times New Roman"/>
                <w:sz w:val="20"/>
                <w:szCs w:val="20"/>
                <w:lang w:val="ro-RO"/>
              </w:rPr>
              <w:t xml:space="preserve"> </w:t>
            </w:r>
            <w:r w:rsidRPr="00AF0C06">
              <w:rPr>
                <w:rFonts w:ascii="Times New Roman" w:eastAsia="Times New Roman" w:hAnsi="Times New Roman" w:cs="Times New Roman"/>
                <w:sz w:val="20"/>
                <w:szCs w:val="20"/>
                <w:lang/>
              </w:rPr>
              <w:t>(</w:t>
            </w:r>
            <w:r w:rsidRPr="00AF0C06">
              <w:rPr>
                <w:rFonts w:ascii="Times New Roman" w:eastAsia="Calibri" w:hAnsi="Times New Roman" w:cs="Times New Roman"/>
                <w:noProof/>
                <w:sz w:val="20"/>
                <w:szCs w:val="20"/>
                <w:lang w:val="sr-Cyrl-CS"/>
              </w:rPr>
              <w:t>укључујући и е-издања)</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13,4</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36,1</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25,4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12,3</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6,4</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6,4</w:t>
            </w:r>
          </w:p>
        </w:tc>
      </w:tr>
      <w:tr w:rsidR="00D33C02" w:rsidRPr="00AF0C06" w:rsidTr="00D33C02">
        <w:trPr>
          <w:trHeight w:val="794"/>
          <w:jc w:val="center"/>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3C02" w:rsidRPr="00AF0C06" w:rsidRDefault="00D33C02" w:rsidP="00D33C02">
            <w:pPr>
              <w:spacing w:after="0" w:line="240" w:lineRule="auto"/>
              <w:jc w:val="center"/>
              <w:rPr>
                <w:rFonts w:ascii="Times New Roman" w:eastAsia="Calibri" w:hAnsi="Times New Roman" w:cs="Times New Roman"/>
                <w:noProof/>
                <w:sz w:val="20"/>
                <w:szCs w:val="20"/>
                <w:lang w:val="sr-Cyrl-CS"/>
              </w:rPr>
            </w:pPr>
            <w:r w:rsidRPr="00AF0C06">
              <w:rPr>
                <w:rFonts w:ascii="Times New Roman" w:eastAsia="Calibri" w:hAnsi="Times New Roman" w:cs="Times New Roman"/>
                <w:noProof/>
                <w:sz w:val="20"/>
                <w:szCs w:val="20"/>
                <w:lang w:val="sr-Cyrl-CS"/>
              </w:rPr>
              <w:t>Бављење уметничком активношћу (сликање, певање…)</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20,4</w:t>
            </w:r>
          </w:p>
        </w:tc>
        <w:tc>
          <w:tcPr>
            <w:tcW w:w="11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3C02" w:rsidRPr="00AF0C06" w:rsidRDefault="00D33C02" w:rsidP="00D33C02">
            <w:pPr>
              <w:spacing w:after="0" w:line="240" w:lineRule="auto"/>
              <w:jc w:val="center"/>
              <w:rPr>
                <w:rFonts w:ascii="Times New Roman" w:eastAsia="Calibri" w:hAnsi="Times New Roman" w:cs="Times New Roman"/>
                <w:b/>
                <w:noProof/>
                <w:lang w:val="sr-Cyrl-CS"/>
              </w:rPr>
            </w:pPr>
            <w:r w:rsidRPr="00AF0C06">
              <w:rPr>
                <w:rFonts w:ascii="Times New Roman" w:eastAsia="Calibri" w:hAnsi="Times New Roman" w:cs="Times New Roman"/>
                <w:b/>
                <w:noProof/>
                <w:lang w:val="sr-Cyrl-CS"/>
              </w:rPr>
              <w:t>22,8</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23,2</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14,4</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9,3</w:t>
            </w:r>
          </w:p>
        </w:tc>
        <w:tc>
          <w:tcPr>
            <w:tcW w:w="1111" w:type="dxa"/>
            <w:tcBorders>
              <w:top w:val="single" w:sz="4" w:space="0" w:color="auto"/>
              <w:left w:val="single" w:sz="4" w:space="0" w:color="auto"/>
              <w:bottom w:val="single" w:sz="4" w:space="0" w:color="auto"/>
              <w:right w:val="single" w:sz="4" w:space="0" w:color="auto"/>
            </w:tcBorders>
            <w:vAlign w:val="center"/>
          </w:tcPr>
          <w:p w:rsidR="00D33C02" w:rsidRPr="00AF0C06" w:rsidRDefault="00D33C02" w:rsidP="00D33C02">
            <w:pPr>
              <w:spacing w:after="0" w:line="240" w:lineRule="auto"/>
              <w:jc w:val="center"/>
              <w:rPr>
                <w:rFonts w:ascii="Times New Roman" w:eastAsia="Calibri" w:hAnsi="Times New Roman" w:cs="Times New Roman"/>
                <w:noProof/>
                <w:lang w:val="sr-Cyrl-CS"/>
              </w:rPr>
            </w:pPr>
            <w:r w:rsidRPr="00AF0C06">
              <w:rPr>
                <w:rFonts w:ascii="Times New Roman" w:eastAsia="Calibri" w:hAnsi="Times New Roman" w:cs="Times New Roman"/>
                <w:noProof/>
                <w:lang w:val="sr-Cyrl-CS"/>
              </w:rPr>
              <w:t>9,9</w:t>
            </w:r>
          </w:p>
        </w:tc>
      </w:tr>
    </w:tbl>
    <w:p w:rsidR="00D33C02" w:rsidRPr="00AF0C06" w:rsidRDefault="00D33C02" w:rsidP="00D33C02">
      <w:pPr>
        <w:spacing w:after="0"/>
        <w:rPr>
          <w:rFonts w:ascii="Times New Roman" w:hAnsi="Times New Roman" w:cs="Times New Roman"/>
          <w:sz w:val="24"/>
          <w:szCs w:val="24"/>
          <w:lang/>
        </w:rPr>
      </w:pPr>
      <w:r w:rsidRPr="00AF0C06">
        <w:rPr>
          <w:rFonts w:ascii="Times New Roman" w:hAnsi="Times New Roman" w:cs="Times New Roman"/>
          <w:sz w:val="24"/>
          <w:szCs w:val="24"/>
          <w:lang/>
        </w:rPr>
        <w:t xml:space="preserve"> </w:t>
      </w:r>
    </w:p>
    <w:p w:rsidR="00D33C02" w:rsidRPr="00AF0C06" w:rsidRDefault="00D33C02" w:rsidP="00EF1BF9">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Упитани да спецификују да ли понуда задовољава њихове потребе и који то програми недостају у културном животу града, 51% испитаних је истакло да је понуда садржаја задовољавајућа, а 28,4% је истакло да би одређених садржаја требало да буде више. Када је реч о недостајућим садржајима, на првом месту сомборска публика уочава недостатак концерата и музичких програма</w:t>
      </w:r>
      <w:r w:rsidRPr="00AF0C06">
        <w:rPr>
          <w:rFonts w:ascii="Times New Roman" w:hAnsi="Times New Roman" w:cs="Times New Roman"/>
          <w:sz w:val="24"/>
          <w:szCs w:val="24"/>
          <w:lang/>
        </w:rPr>
        <w:t xml:space="preserve">, </w:t>
      </w:r>
      <w:r w:rsidRPr="00AF0C06">
        <w:rPr>
          <w:rFonts w:ascii="Times New Roman" w:hAnsi="Times New Roman" w:cs="Times New Roman"/>
          <w:noProof/>
          <w:sz w:val="24"/>
          <w:szCs w:val="24"/>
          <w:lang w:val="sr-Cyrl-CS"/>
        </w:rPr>
        <w:t>и то пре свега рок и класичне музик</w:t>
      </w:r>
      <w:r w:rsidRPr="00AF0C06">
        <w:rPr>
          <w:rFonts w:ascii="Times New Roman" w:hAnsi="Times New Roman" w:cs="Times New Roman"/>
          <w:sz w:val="24"/>
          <w:szCs w:val="24"/>
          <w:lang w:val="sr-Cyrl-CS"/>
        </w:rPr>
        <w:t>е</w:t>
      </w:r>
      <w:r w:rsidRPr="00AF0C06">
        <w:rPr>
          <w:rFonts w:ascii="Times New Roman" w:hAnsi="Times New Roman" w:cs="Times New Roman"/>
          <w:sz w:val="24"/>
          <w:szCs w:val="24"/>
          <w:lang/>
        </w:rPr>
        <w:t xml:space="preserve">. </w:t>
      </w:r>
    </w:p>
    <w:p w:rsidR="00D33C02" w:rsidRPr="00AF0C06" w:rsidRDefault="00D33C02" w:rsidP="00D33C02">
      <w:pPr>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F1BF9" w:rsidRPr="00AF0C06">
        <w:rPr>
          <w:rFonts w:ascii="Times New Roman" w:hAnsi="Times New Roman" w:cs="Times New Roman"/>
          <w:sz w:val="24"/>
          <w:szCs w:val="24"/>
          <w:lang/>
        </w:rPr>
        <w:t xml:space="preserve"> 1</w:t>
      </w:r>
      <w:r w:rsidRPr="00AF0C06">
        <w:rPr>
          <w:rFonts w:ascii="Times New Roman" w:hAnsi="Times New Roman" w:cs="Times New Roman"/>
          <w:sz w:val="24"/>
          <w:szCs w:val="24"/>
          <w:lang/>
        </w:rPr>
        <w:t xml:space="preserve">: Ставови грађана о присутности догађаја које воле </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lastRenderedPageBreak/>
        <w:drawing>
          <wp:inline distT="0" distB="0" distL="0" distR="0">
            <wp:extent cx="2790825" cy="23622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33C02">
        <w:rPr>
          <w:rFonts w:ascii="Times New Roman" w:hAnsi="Times New Roman" w:cs="Times New Roman"/>
          <w:noProof/>
          <w:color w:val="FF0000"/>
          <w:sz w:val="24"/>
          <w:szCs w:val="24"/>
          <w:lang/>
        </w:rPr>
        <w:t xml:space="preserve">  </w:t>
      </w:r>
      <w:r w:rsidRPr="00D33C02">
        <w:rPr>
          <w:rFonts w:ascii="Times New Roman" w:hAnsi="Times New Roman" w:cs="Times New Roman"/>
          <w:noProof/>
          <w:color w:val="FF0000"/>
          <w:sz w:val="24"/>
          <w:szCs w:val="24"/>
        </w:rPr>
        <w:drawing>
          <wp:inline distT="0" distB="0" distL="0" distR="0">
            <wp:extent cx="3067050" cy="2362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33C02" w:rsidRPr="00AF0C06" w:rsidRDefault="00D33C02" w:rsidP="00EF1BF9">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Међу одговорима „остало“ значајно је поменути да публика жели више програма на мађарском језику, као и биоскопских пројекција на отвореном и садржаја који промовишу Сомбор и његову историју. Петина анкетираних се изјаснила да не зна да ли понуда у Сомбору задовољава њихове потребе, због чега се намеће закључак да, иако представљају публику, не граде критички осврт на културну сцену у граду. Међутим, подаци показују да  највећи део испитаних који је дао одговор „не знам“ припада позоришној публици (64% њих бар једном годишње посети позориште), која ретко посећује друга дешавања, тако да </w:t>
      </w:r>
      <w:r w:rsidR="00F3753D" w:rsidRPr="00AF0C06">
        <w:rPr>
          <w:rFonts w:ascii="Times New Roman" w:hAnsi="Times New Roman" w:cs="Times New Roman"/>
          <w:sz w:val="24"/>
          <w:szCs w:val="24"/>
          <w:lang/>
        </w:rPr>
        <w:t xml:space="preserve">се може </w:t>
      </w:r>
      <w:r w:rsidRPr="00AF0C06">
        <w:rPr>
          <w:rFonts w:ascii="Times New Roman" w:hAnsi="Times New Roman" w:cs="Times New Roman"/>
          <w:sz w:val="24"/>
          <w:szCs w:val="24"/>
          <w:lang/>
        </w:rPr>
        <w:t xml:space="preserve">рећи да се ради о специјализованој групи публике, која има изграђену наклоност према одређеном типу садржаја, те није склона да оцењује културну понуду у целини.    </w:t>
      </w:r>
    </w:p>
    <w:p w:rsidR="00D33C02" w:rsidRPr="00EF1BF9" w:rsidRDefault="00D33C02" w:rsidP="00EF1BF9">
      <w:pPr>
        <w:pStyle w:val="Heading1"/>
        <w:numPr>
          <w:ilvl w:val="0"/>
          <w:numId w:val="39"/>
        </w:numPr>
        <w:spacing w:after="240"/>
        <w:rPr>
          <w:b/>
          <w:lang/>
        </w:rPr>
      </w:pPr>
      <w:bookmarkStart w:id="32" w:name="_Toc36072308"/>
      <w:r w:rsidRPr="00EF1BF9">
        <w:rPr>
          <w:b/>
          <w:lang/>
        </w:rPr>
        <w:t>Културна партиципација</w:t>
      </w:r>
      <w:bookmarkEnd w:id="32"/>
    </w:p>
    <w:p w:rsidR="00D33C02" w:rsidRPr="00AF0C06" w:rsidRDefault="00D33C02" w:rsidP="00EF1BF9">
      <w:pPr>
        <w:ind w:firstLine="720"/>
        <w:jc w:val="both"/>
        <w:rPr>
          <w:rFonts w:ascii="Times New Roman" w:hAnsi="Times New Roman" w:cs="Times New Roman"/>
          <w:noProof/>
          <w:sz w:val="24"/>
          <w:szCs w:val="24"/>
          <w:lang w:val="sr-Cyrl-CS"/>
        </w:rPr>
      </w:pPr>
      <w:r w:rsidRPr="00AF0C06">
        <w:rPr>
          <w:rFonts w:ascii="Times New Roman" w:hAnsi="Times New Roman" w:cs="Times New Roman"/>
          <w:noProof/>
          <w:sz w:val="24"/>
          <w:szCs w:val="24"/>
          <w:lang w:val="sr-Cyrl-CS"/>
        </w:rPr>
        <w:t xml:space="preserve">Као што је већ поменуто у анализи, у циљу израде стратешког документа културе у Сомбору анкетирани су грађани који су барем једном у последњих 6 месеци посетили неки културни догађај. </w:t>
      </w:r>
    </w:p>
    <w:p w:rsidR="00D33C02" w:rsidRDefault="00D33C02" w:rsidP="00EF1BF9">
      <w:pPr>
        <w:pStyle w:val="Heading2"/>
        <w:numPr>
          <w:ilvl w:val="1"/>
          <w:numId w:val="39"/>
        </w:numPr>
        <w:rPr>
          <w:b/>
          <w:noProof/>
          <w:lang w:val="sr-Cyrl-CS"/>
        </w:rPr>
      </w:pPr>
      <w:bookmarkStart w:id="33" w:name="_Toc36072309"/>
      <w:r w:rsidRPr="00EF1BF9">
        <w:rPr>
          <w:b/>
          <w:noProof/>
          <w:lang w:val="sr-Cyrl-CS"/>
        </w:rPr>
        <w:t>Посећивање јавних културних догађаја</w:t>
      </w:r>
      <w:bookmarkEnd w:id="33"/>
    </w:p>
    <w:p w:rsidR="00EF1BF9" w:rsidRPr="00EF1BF9" w:rsidRDefault="00EF1BF9" w:rsidP="00EF1BF9">
      <w:pPr>
        <w:spacing w:after="0"/>
        <w:rPr>
          <w:lang w:val="sr-Cyrl-CS"/>
        </w:rPr>
      </w:pPr>
    </w:p>
    <w:p w:rsidR="00D33C02" w:rsidRPr="00AF0C06" w:rsidRDefault="00D33C02" w:rsidP="00EF1BF9">
      <w:pPr>
        <w:ind w:firstLine="720"/>
        <w:jc w:val="both"/>
        <w:rPr>
          <w:rFonts w:ascii="Times New Roman" w:hAnsi="Times New Roman" w:cs="Times New Roman"/>
          <w:noProof/>
          <w:sz w:val="24"/>
          <w:szCs w:val="24"/>
          <w:lang/>
        </w:rPr>
      </w:pPr>
      <w:r w:rsidRPr="00D33C02">
        <w:rPr>
          <w:rFonts w:ascii="Times New Roman" w:hAnsi="Times New Roman" w:cs="Times New Roman"/>
          <w:noProof/>
          <w:sz w:val="24"/>
          <w:szCs w:val="24"/>
          <w:lang w:val="sr-Cyrl-CS"/>
        </w:rPr>
        <w:t xml:space="preserve">Када посећују културне догађаје, резултати анкетирања показују да је најпосећенија установа културе Народно позориште које годишње барем једном посети </w:t>
      </w:r>
      <w:r w:rsidRPr="00D33C02">
        <w:rPr>
          <w:rFonts w:ascii="Times New Roman" w:hAnsi="Times New Roman" w:cs="Times New Roman"/>
          <w:noProof/>
          <w:sz w:val="24"/>
          <w:szCs w:val="24"/>
          <w:lang/>
        </w:rPr>
        <w:t>83,5%</w:t>
      </w:r>
      <w:r w:rsidRPr="00D33C02">
        <w:rPr>
          <w:rFonts w:ascii="Times New Roman" w:hAnsi="Times New Roman" w:cs="Times New Roman"/>
          <w:noProof/>
          <w:sz w:val="24"/>
          <w:szCs w:val="24"/>
          <w:lang/>
        </w:rPr>
        <w:t xml:space="preserve"> испитаника</w:t>
      </w:r>
      <w:r w:rsidRPr="00D33C02">
        <w:rPr>
          <w:rFonts w:ascii="Times New Roman" w:hAnsi="Times New Roman" w:cs="Times New Roman"/>
          <w:noProof/>
          <w:sz w:val="24"/>
          <w:szCs w:val="24"/>
          <w:lang/>
        </w:rPr>
        <w:t xml:space="preserve">, </w:t>
      </w:r>
      <w:r w:rsidRPr="00D33C02">
        <w:rPr>
          <w:rFonts w:ascii="Times New Roman" w:hAnsi="Times New Roman" w:cs="Times New Roman"/>
          <w:noProof/>
          <w:sz w:val="24"/>
          <w:szCs w:val="24"/>
          <w:lang/>
        </w:rPr>
        <w:t xml:space="preserve">од којих 38,6% једном до два пута у току године. </w:t>
      </w:r>
      <w:r w:rsidRPr="00AF0C06">
        <w:rPr>
          <w:rFonts w:ascii="Times New Roman" w:hAnsi="Times New Roman" w:cs="Times New Roman"/>
          <w:noProof/>
          <w:sz w:val="24"/>
          <w:szCs w:val="24"/>
          <w:lang/>
        </w:rPr>
        <w:t>Значајно је поменути да скоро 30% сомборске публике позориште посети и 3 до 5 пута у току године</w:t>
      </w:r>
      <w:r w:rsidRPr="00D33C02">
        <w:rPr>
          <w:rFonts w:ascii="Times New Roman" w:hAnsi="Times New Roman" w:cs="Times New Roman"/>
          <w:noProof/>
          <w:sz w:val="24"/>
          <w:szCs w:val="24"/>
          <w:lang/>
        </w:rPr>
        <w:t xml:space="preserve">. Са друге стране, анкетирани грађани </w:t>
      </w:r>
      <w:r w:rsidRPr="00AF0C06">
        <w:rPr>
          <w:rFonts w:ascii="Times New Roman" w:hAnsi="Times New Roman" w:cs="Times New Roman"/>
          <w:noProof/>
          <w:sz w:val="24"/>
          <w:szCs w:val="24"/>
          <w:lang/>
        </w:rPr>
        <w:t>убедљиво најређе посећују Историјски архив Сомбор (свега 18,6% испитаника годишње посети Архив), што је и очекивано, јер Архив већ дуже време, због недостатка простора, не организује редовно програме</w:t>
      </w:r>
      <w:r w:rsidR="00AF0C06">
        <w:rPr>
          <w:rStyle w:val="FootnoteReference"/>
          <w:rFonts w:ascii="Times New Roman" w:hAnsi="Times New Roman" w:cs="Times New Roman"/>
          <w:noProof/>
          <w:sz w:val="24"/>
          <w:szCs w:val="24"/>
          <w:lang/>
        </w:rPr>
        <w:footnoteReference w:id="37"/>
      </w:r>
      <w:r w:rsidR="00F3753D" w:rsidRPr="00AF0C06">
        <w:rPr>
          <w:rFonts w:ascii="Times New Roman" w:hAnsi="Times New Roman" w:cs="Times New Roman"/>
          <w:noProof/>
          <w:sz w:val="24"/>
          <w:szCs w:val="24"/>
          <w:lang/>
        </w:rPr>
        <w:t xml:space="preserve"> </w:t>
      </w:r>
      <w:r w:rsidRPr="00AF0C06">
        <w:rPr>
          <w:rFonts w:ascii="Times New Roman" w:hAnsi="Times New Roman" w:cs="Times New Roman"/>
          <w:noProof/>
          <w:sz w:val="24"/>
          <w:szCs w:val="24"/>
          <w:lang/>
        </w:rPr>
        <w:t xml:space="preserve">Стопа непосећености се у другим установама креће око 30%, односно 40%. </w:t>
      </w:r>
    </w:p>
    <w:p w:rsidR="00D33C02" w:rsidRPr="00D33C02" w:rsidRDefault="00D33C02" w:rsidP="00D33C02">
      <w:pPr>
        <w:spacing w:after="0"/>
        <w:jc w:val="both"/>
        <w:rPr>
          <w:rFonts w:ascii="Times New Roman" w:hAnsi="Times New Roman" w:cs="Times New Roman"/>
          <w:noProof/>
          <w:sz w:val="24"/>
          <w:szCs w:val="24"/>
          <w:lang w:val="sr-Cyrl-CS"/>
        </w:rPr>
      </w:pPr>
      <w:r w:rsidRPr="00EF1BF9">
        <w:rPr>
          <w:rFonts w:ascii="Times New Roman" w:hAnsi="Times New Roman" w:cs="Times New Roman"/>
          <w:noProof/>
          <w:sz w:val="24"/>
          <w:szCs w:val="24"/>
          <w:lang w:val="sr-Cyrl-CS"/>
        </w:rPr>
        <w:lastRenderedPageBreak/>
        <w:t>Графикон</w:t>
      </w:r>
      <w:r w:rsidR="00EF1BF9" w:rsidRPr="00EF1BF9">
        <w:rPr>
          <w:rFonts w:ascii="Times New Roman" w:hAnsi="Times New Roman" w:cs="Times New Roman"/>
          <w:noProof/>
          <w:sz w:val="24"/>
          <w:szCs w:val="24"/>
          <w:lang w:val="sr-Cyrl-CS"/>
        </w:rPr>
        <w:t xml:space="preserve"> 2</w:t>
      </w:r>
      <w:r w:rsidRPr="00EF1BF9">
        <w:rPr>
          <w:rFonts w:ascii="Times New Roman" w:hAnsi="Times New Roman" w:cs="Times New Roman"/>
          <w:noProof/>
          <w:sz w:val="24"/>
          <w:szCs w:val="24"/>
          <w:lang w:val="sr-Cyrl-CS"/>
        </w:rPr>
        <w:t>: Посећеност</w:t>
      </w:r>
      <w:r w:rsidRPr="00D33C02">
        <w:rPr>
          <w:rFonts w:ascii="Times New Roman" w:hAnsi="Times New Roman" w:cs="Times New Roman"/>
          <w:noProof/>
          <w:sz w:val="24"/>
          <w:szCs w:val="24"/>
          <w:lang w:val="sr-Cyrl-CS"/>
        </w:rPr>
        <w:t xml:space="preserve"> установа културе у Сомбору</w:t>
      </w:r>
    </w:p>
    <w:p w:rsidR="00D33C02" w:rsidRPr="00D33C02" w:rsidRDefault="00D33C02" w:rsidP="00D33C02">
      <w:pPr>
        <w:jc w:val="both"/>
        <w:rPr>
          <w:rFonts w:ascii="Times New Roman" w:hAnsi="Times New Roman" w:cs="Times New Roman"/>
          <w:noProof/>
          <w:sz w:val="24"/>
          <w:szCs w:val="24"/>
          <w:lang/>
        </w:rPr>
      </w:pPr>
      <w:r w:rsidRPr="00D33C02">
        <w:rPr>
          <w:rFonts w:ascii="Times New Roman" w:hAnsi="Times New Roman" w:cs="Times New Roman"/>
          <w:noProof/>
          <w:sz w:val="24"/>
          <w:szCs w:val="24"/>
        </w:rPr>
        <w:drawing>
          <wp:inline distT="0" distB="0" distL="0" distR="0">
            <wp:extent cx="5838825" cy="265747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3C02" w:rsidRPr="00AF0C06" w:rsidRDefault="00D33C02" w:rsidP="00EF1BF9">
      <w:pPr>
        <w:ind w:firstLine="720"/>
        <w:jc w:val="both"/>
        <w:rPr>
          <w:rFonts w:ascii="Times New Roman" w:hAnsi="Times New Roman" w:cs="Times New Roman"/>
          <w:noProof/>
          <w:sz w:val="24"/>
          <w:szCs w:val="24"/>
          <w:lang w:val="sr-Cyrl-CS"/>
        </w:rPr>
      </w:pPr>
      <w:r w:rsidRPr="00D33C02">
        <w:rPr>
          <w:rFonts w:ascii="Times New Roman" w:hAnsi="Times New Roman" w:cs="Times New Roman"/>
          <w:noProof/>
          <w:sz w:val="24"/>
          <w:szCs w:val="24"/>
          <w:lang w:val="sr-Cyrl-CS"/>
        </w:rPr>
        <w:t>На основу социо-демографских карактеристика може се направити профил</w:t>
      </w:r>
      <w:r w:rsidRPr="00D33C02">
        <w:rPr>
          <w:rFonts w:ascii="Times New Roman" w:hAnsi="Times New Roman" w:cs="Times New Roman"/>
          <w:noProof/>
          <w:sz w:val="24"/>
          <w:szCs w:val="24"/>
          <w:lang/>
        </w:rPr>
        <w:t xml:space="preserve"> </w:t>
      </w:r>
      <w:r w:rsidRPr="00AF0C06">
        <w:rPr>
          <w:rFonts w:ascii="Times New Roman" w:hAnsi="Times New Roman" w:cs="Times New Roman"/>
          <w:noProof/>
          <w:sz w:val="24"/>
          <w:szCs w:val="24"/>
          <w:lang/>
        </w:rPr>
        <w:t xml:space="preserve">типичног </w:t>
      </w:r>
      <w:r w:rsidRPr="00AF0C06">
        <w:rPr>
          <w:rFonts w:ascii="Times New Roman" w:hAnsi="Times New Roman" w:cs="Times New Roman"/>
          <w:noProof/>
          <w:sz w:val="24"/>
          <w:szCs w:val="24"/>
          <w:lang w:val="sr-Cyrl-CS"/>
        </w:rPr>
        <w:t xml:space="preserve">посетиоца установа културе у Сомбору: </w:t>
      </w:r>
    </w:p>
    <w:p w:rsidR="00D33C02" w:rsidRPr="00EF1BF9" w:rsidRDefault="00D33C02" w:rsidP="00EF1BF9">
      <w:pPr>
        <w:pStyle w:val="ListParagraph"/>
        <w:numPr>
          <w:ilvl w:val="0"/>
          <w:numId w:val="40"/>
        </w:numPr>
        <w:jc w:val="both"/>
        <w:rPr>
          <w:rFonts w:ascii="Times New Roman" w:hAnsi="Times New Roman" w:cs="Times New Roman"/>
          <w:noProof/>
          <w:sz w:val="24"/>
          <w:szCs w:val="24"/>
          <w:lang w:val="sr-Cyrl-CS"/>
        </w:rPr>
      </w:pPr>
      <w:r w:rsidRPr="00AF0C06">
        <w:rPr>
          <w:rFonts w:ascii="Times New Roman" w:hAnsi="Times New Roman" w:cs="Times New Roman"/>
          <w:b/>
          <w:noProof/>
          <w:sz w:val="24"/>
          <w:szCs w:val="24"/>
          <w:lang w:val="sr-Cyrl-CS"/>
        </w:rPr>
        <w:t>Посетилац Градског музеја Сомбор</w:t>
      </w:r>
      <w:r w:rsidRPr="00AF0C06">
        <w:rPr>
          <w:rFonts w:ascii="Times New Roman" w:hAnsi="Times New Roman" w:cs="Times New Roman"/>
          <w:b/>
          <w:noProof/>
          <w:sz w:val="24"/>
          <w:szCs w:val="24"/>
          <w:lang/>
        </w:rPr>
        <w:t xml:space="preserve">, </w:t>
      </w:r>
      <w:r w:rsidRPr="00AF0C06">
        <w:rPr>
          <w:rFonts w:ascii="Times New Roman" w:hAnsi="Times New Roman" w:cs="Times New Roman"/>
          <w:b/>
          <w:noProof/>
          <w:sz w:val="24"/>
          <w:szCs w:val="24"/>
          <w:lang w:val="sr-Cyrl-CS"/>
        </w:rPr>
        <w:t>Галеријe „Милан Ко</w:t>
      </w:r>
      <w:r w:rsidRPr="00AF0C06">
        <w:rPr>
          <w:rFonts w:ascii="Times New Roman" w:hAnsi="Times New Roman" w:cs="Times New Roman"/>
          <w:b/>
          <w:noProof/>
          <w:sz w:val="24"/>
          <w:szCs w:val="24"/>
          <w:lang/>
        </w:rPr>
        <w:t>њ</w:t>
      </w:r>
      <w:r w:rsidRPr="00AF0C06">
        <w:rPr>
          <w:rFonts w:ascii="Times New Roman" w:hAnsi="Times New Roman" w:cs="Times New Roman"/>
          <w:b/>
          <w:noProof/>
          <w:sz w:val="24"/>
          <w:szCs w:val="24"/>
          <w:lang w:val="sr-Cyrl-CS"/>
        </w:rPr>
        <w:t xml:space="preserve">овић“ </w:t>
      </w:r>
      <w:r w:rsidRPr="00AF0C06">
        <w:rPr>
          <w:rFonts w:ascii="Times New Roman" w:hAnsi="Times New Roman" w:cs="Times New Roman"/>
          <w:b/>
          <w:noProof/>
          <w:sz w:val="24"/>
          <w:szCs w:val="24"/>
          <w:lang/>
        </w:rPr>
        <w:t>и Културног центра</w:t>
      </w:r>
      <w:r w:rsidRPr="00AF0C06">
        <w:rPr>
          <w:rFonts w:ascii="Times New Roman" w:hAnsi="Times New Roman" w:cs="Times New Roman"/>
          <w:noProof/>
          <w:sz w:val="24"/>
          <w:szCs w:val="24"/>
          <w:lang w:val="sr-Cyrl-CS"/>
        </w:rPr>
        <w:t xml:space="preserve"> је високообразована жена, старија од 50 година која живи у урбаном </w:t>
      </w:r>
      <w:r w:rsidRPr="00EF1BF9">
        <w:rPr>
          <w:rFonts w:ascii="Times New Roman" w:hAnsi="Times New Roman" w:cs="Times New Roman"/>
          <w:noProof/>
          <w:sz w:val="24"/>
          <w:szCs w:val="24"/>
          <w:lang w:val="sr-Cyrl-CS"/>
        </w:rPr>
        <w:t>делу Сомбора.</w:t>
      </w:r>
    </w:p>
    <w:p w:rsidR="00D33C02" w:rsidRPr="00EF1BF9" w:rsidRDefault="00D33C02" w:rsidP="00EF1BF9">
      <w:pPr>
        <w:pStyle w:val="ListParagraph"/>
        <w:numPr>
          <w:ilvl w:val="0"/>
          <w:numId w:val="40"/>
        </w:numPr>
        <w:jc w:val="both"/>
        <w:rPr>
          <w:rFonts w:ascii="Times New Roman" w:hAnsi="Times New Roman" w:cs="Times New Roman"/>
          <w:noProof/>
          <w:sz w:val="24"/>
          <w:szCs w:val="24"/>
          <w:lang w:val="sr-Cyrl-CS"/>
        </w:rPr>
      </w:pPr>
      <w:r w:rsidRPr="00EF1BF9">
        <w:rPr>
          <w:rFonts w:ascii="Times New Roman" w:hAnsi="Times New Roman" w:cs="Times New Roman"/>
          <w:b/>
          <w:noProof/>
          <w:sz w:val="24"/>
          <w:szCs w:val="24"/>
          <w:lang w:val="sr-Cyrl-CS"/>
        </w:rPr>
        <w:t>Народно позориште Сомбор</w:t>
      </w:r>
      <w:r w:rsidRPr="00EF1BF9">
        <w:rPr>
          <w:rFonts w:ascii="Times New Roman" w:hAnsi="Times New Roman" w:cs="Times New Roman"/>
          <w:noProof/>
          <w:sz w:val="24"/>
          <w:szCs w:val="24"/>
          <w:lang w:val="sr-Cyrl-CS"/>
        </w:rPr>
        <w:t xml:space="preserve"> најчешће посећују високообразоване жене које живе у градском  подручју и имају више од 30 година (припадају средњој и старијој генерацији). </w:t>
      </w:r>
    </w:p>
    <w:p w:rsidR="00D33C02" w:rsidRPr="00EF1BF9" w:rsidRDefault="00D33C02" w:rsidP="00EF1BF9">
      <w:pPr>
        <w:pStyle w:val="ListParagraph"/>
        <w:numPr>
          <w:ilvl w:val="0"/>
          <w:numId w:val="40"/>
        </w:numPr>
        <w:jc w:val="both"/>
        <w:rPr>
          <w:rFonts w:ascii="Times New Roman" w:hAnsi="Times New Roman" w:cs="Times New Roman"/>
          <w:noProof/>
          <w:sz w:val="24"/>
          <w:szCs w:val="24"/>
          <w:lang w:val="sr-Cyrl-CS"/>
        </w:rPr>
      </w:pPr>
      <w:r w:rsidRPr="00EF1BF9">
        <w:rPr>
          <w:rFonts w:ascii="Times New Roman" w:hAnsi="Times New Roman" w:cs="Times New Roman"/>
          <w:b/>
          <w:noProof/>
          <w:sz w:val="24"/>
          <w:szCs w:val="24"/>
          <w:lang w:val="sr-Cyrl-CS"/>
        </w:rPr>
        <w:t>Посетилац Градске библиотеке „Карло Бијелицки“</w:t>
      </w:r>
      <w:r w:rsidRPr="00EF1BF9">
        <w:rPr>
          <w:rFonts w:ascii="Times New Roman" w:hAnsi="Times New Roman" w:cs="Times New Roman"/>
          <w:noProof/>
          <w:sz w:val="24"/>
          <w:szCs w:val="24"/>
          <w:lang w:val="sr-Cyrl-CS"/>
        </w:rPr>
        <w:t xml:space="preserve">  је високобразована жена која живи у граду и има од 30 до 49 година.</w:t>
      </w:r>
    </w:p>
    <w:p w:rsidR="00D33C02" w:rsidRPr="00AF0C06" w:rsidRDefault="00D33C02" w:rsidP="00EF1BF9">
      <w:pPr>
        <w:ind w:firstLine="720"/>
        <w:jc w:val="both"/>
        <w:rPr>
          <w:rFonts w:ascii="Times New Roman" w:hAnsi="Times New Roman" w:cs="Times New Roman"/>
          <w:noProof/>
          <w:sz w:val="24"/>
          <w:szCs w:val="24"/>
          <w:lang w:val="sr-Cyrl-CS"/>
        </w:rPr>
      </w:pPr>
      <w:r w:rsidRPr="00AF0C06">
        <w:rPr>
          <w:rFonts w:ascii="Times New Roman" w:hAnsi="Times New Roman" w:cs="Times New Roman"/>
          <w:noProof/>
          <w:sz w:val="24"/>
          <w:szCs w:val="24"/>
          <w:lang w:val="sr-Cyrl-CS"/>
        </w:rPr>
        <w:t>Уколико</w:t>
      </w:r>
      <w:r w:rsidR="00F3753D" w:rsidRPr="00AF0C06">
        <w:rPr>
          <w:rFonts w:ascii="Times New Roman" w:hAnsi="Times New Roman" w:cs="Times New Roman"/>
          <w:noProof/>
          <w:sz w:val="24"/>
          <w:szCs w:val="24"/>
          <w:lang w:val="sr-Cyrl-CS"/>
        </w:rPr>
        <w:t xml:space="preserve"> се</w:t>
      </w:r>
      <w:r w:rsidR="00AF0C06" w:rsidRPr="00AF0C06">
        <w:rPr>
          <w:rFonts w:ascii="Times New Roman" w:hAnsi="Times New Roman" w:cs="Times New Roman"/>
          <w:noProof/>
          <w:sz w:val="24"/>
          <w:szCs w:val="24"/>
          <w:lang w:val="sr-Cyrl-CS"/>
        </w:rPr>
        <w:t xml:space="preserve"> културна партиципација сагледа</w:t>
      </w:r>
      <w:r w:rsidRPr="00AF0C06">
        <w:rPr>
          <w:rFonts w:ascii="Times New Roman" w:hAnsi="Times New Roman" w:cs="Times New Roman"/>
          <w:noProof/>
          <w:sz w:val="24"/>
          <w:szCs w:val="24"/>
          <w:lang w:val="sr-Cyrl-CS"/>
        </w:rPr>
        <w:t xml:space="preserve"> кроз визуру радног статуса, што је посебно значајно у погледу младих, приметно је да млади у статусу ученика и студента у највећем проценту посећују позориште, као и остале категорије анкетираних. Ученици након позоришта најчешће посећују Музеј, а затим Галерију и Библиотеку. Из овог податка се може закључити да наведене установе имају добру сарадњу са школама, јер ученици, како су показала ранија истраивања Завода за проучавање културног развитка, најчешће културне садржаје посећују организовано. Са друге стране, студенти након позоришта најчешће посете програме Културног центра, па Библиотеку. Када је реч о пензионерима, они су, после </w:t>
      </w:r>
      <w:r w:rsidR="00F3753D" w:rsidRPr="00AF0C06">
        <w:rPr>
          <w:rFonts w:ascii="Times New Roman" w:hAnsi="Times New Roman" w:cs="Times New Roman"/>
          <w:noProof/>
          <w:sz w:val="24"/>
          <w:szCs w:val="24"/>
          <w:lang w:val="sr-Cyrl-CS"/>
        </w:rPr>
        <w:t>П</w:t>
      </w:r>
      <w:r w:rsidRPr="00AF0C06">
        <w:rPr>
          <w:rFonts w:ascii="Times New Roman" w:hAnsi="Times New Roman" w:cs="Times New Roman"/>
          <w:noProof/>
          <w:sz w:val="24"/>
          <w:szCs w:val="24"/>
          <w:lang w:val="sr-Cyrl-CS"/>
        </w:rPr>
        <w:t xml:space="preserve">озоришта, најчешће посетиоци програма </w:t>
      </w:r>
      <w:r w:rsidRPr="00AF0C06">
        <w:rPr>
          <w:rFonts w:ascii="Times New Roman" w:hAnsi="Times New Roman" w:cs="Times New Roman"/>
          <w:smallCaps/>
          <w:noProof/>
          <w:sz w:val="24"/>
          <w:szCs w:val="24"/>
          <w:lang w:val="sr-Cyrl-CS"/>
        </w:rPr>
        <w:t>К</w:t>
      </w:r>
      <w:r w:rsidRPr="00AF0C06">
        <w:rPr>
          <w:rFonts w:ascii="Times New Roman" w:hAnsi="Times New Roman" w:cs="Times New Roman"/>
          <w:noProof/>
          <w:sz w:val="24"/>
          <w:szCs w:val="24"/>
          <w:lang w:val="sr-Cyrl-CS"/>
        </w:rPr>
        <w:t xml:space="preserve">ултурног центра, Галерије и Музеја. </w:t>
      </w:r>
    </w:p>
    <w:p w:rsidR="00D33C02" w:rsidRPr="00AF0C06" w:rsidRDefault="00D33C02" w:rsidP="00D33C02">
      <w:pPr>
        <w:jc w:val="both"/>
        <w:rPr>
          <w:rFonts w:ascii="Times New Roman" w:hAnsi="Times New Roman" w:cs="Times New Roman"/>
          <w:noProof/>
          <w:sz w:val="24"/>
          <w:szCs w:val="24"/>
          <w:lang w:val="sr-Cyrl-CS"/>
        </w:rPr>
      </w:pPr>
      <w:r w:rsidRPr="00AF0C06">
        <w:rPr>
          <w:rFonts w:ascii="Times New Roman" w:hAnsi="Times New Roman" w:cs="Times New Roman"/>
          <w:noProof/>
          <w:sz w:val="24"/>
          <w:szCs w:val="24"/>
          <w:lang w:val="sr-Cyrl-CS"/>
        </w:rPr>
        <w:t>Табела</w:t>
      </w:r>
      <w:r w:rsidR="00EF1BF9" w:rsidRPr="00AF0C06">
        <w:rPr>
          <w:rFonts w:ascii="Times New Roman" w:hAnsi="Times New Roman" w:cs="Times New Roman"/>
          <w:noProof/>
          <w:sz w:val="24"/>
          <w:szCs w:val="24"/>
          <w:lang w:val="sr-Cyrl-CS"/>
        </w:rPr>
        <w:t xml:space="preserve"> 2</w:t>
      </w:r>
      <w:r w:rsidRPr="00AF0C06">
        <w:rPr>
          <w:rFonts w:ascii="Times New Roman" w:hAnsi="Times New Roman" w:cs="Times New Roman"/>
          <w:noProof/>
          <w:sz w:val="24"/>
          <w:szCs w:val="24"/>
          <w:lang w:val="sr-Cyrl-CS"/>
        </w:rPr>
        <w:t xml:space="preserve">: Проценат оних који су бар једном у претходних годину дана посетили програм у одређеној установи културе према радном статусу  </w:t>
      </w:r>
    </w:p>
    <w:tbl>
      <w:tblPr>
        <w:tblStyle w:val="LightGrid-Accent12"/>
        <w:tblW w:w="0" w:type="auto"/>
        <w:tblLook w:val="04A0"/>
      </w:tblPr>
      <w:tblGrid>
        <w:gridCol w:w="1545"/>
        <w:gridCol w:w="917"/>
        <w:gridCol w:w="1184"/>
        <w:gridCol w:w="1275"/>
        <w:gridCol w:w="959"/>
        <w:gridCol w:w="1324"/>
        <w:gridCol w:w="1391"/>
        <w:gridCol w:w="981"/>
      </w:tblGrid>
      <w:tr w:rsidR="00D33C02" w:rsidRPr="00D33C02" w:rsidTr="00D33C02">
        <w:trPr>
          <w:cnfStyle w:val="100000000000"/>
        </w:trPr>
        <w:tc>
          <w:tcPr>
            <w:cnfStyle w:val="001000000000"/>
            <w:tcW w:w="1547" w:type="dxa"/>
            <w:vAlign w:val="center"/>
          </w:tcPr>
          <w:p w:rsidR="00D33C02" w:rsidRPr="00AF0C06" w:rsidRDefault="00D33C02" w:rsidP="00D33C02">
            <w:pPr>
              <w:jc w:val="center"/>
              <w:rPr>
                <w:rFonts w:ascii="Times New Roman" w:hAnsi="Times New Roman"/>
                <w:noProof/>
                <w:sz w:val="20"/>
                <w:szCs w:val="20"/>
                <w:lang/>
              </w:rPr>
            </w:pPr>
          </w:p>
        </w:tc>
        <w:tc>
          <w:tcPr>
            <w:tcW w:w="919" w:type="dxa"/>
            <w:vAlign w:val="center"/>
          </w:tcPr>
          <w:p w:rsidR="00D33C02" w:rsidRPr="00AF0C06" w:rsidRDefault="00D33C02" w:rsidP="00D33C02">
            <w:pPr>
              <w:jc w:val="center"/>
              <w:cnfStyle w:val="100000000000"/>
              <w:rPr>
                <w:rFonts w:ascii="Times New Roman" w:hAnsi="Times New Roman"/>
                <w:noProof/>
                <w:sz w:val="20"/>
                <w:szCs w:val="20"/>
                <w:lang w:val="sr-Cyrl-CS"/>
              </w:rPr>
            </w:pPr>
            <w:r w:rsidRPr="00AF0C06">
              <w:rPr>
                <w:rFonts w:ascii="Times New Roman" w:hAnsi="Times New Roman"/>
                <w:noProof/>
                <w:sz w:val="20"/>
                <w:szCs w:val="20"/>
                <w:lang w:val="sr-Cyrl-CS"/>
              </w:rPr>
              <w:t>музеј</w:t>
            </w:r>
          </w:p>
        </w:tc>
        <w:tc>
          <w:tcPr>
            <w:tcW w:w="1186" w:type="dxa"/>
            <w:vAlign w:val="center"/>
          </w:tcPr>
          <w:p w:rsidR="00D33C02" w:rsidRPr="00AF0C06" w:rsidRDefault="00D33C02" w:rsidP="00D33C02">
            <w:pPr>
              <w:jc w:val="center"/>
              <w:cnfStyle w:val="100000000000"/>
              <w:rPr>
                <w:rFonts w:ascii="Times New Roman" w:hAnsi="Times New Roman"/>
                <w:noProof/>
                <w:sz w:val="20"/>
                <w:szCs w:val="20"/>
                <w:lang w:val="sr-Cyrl-CS"/>
              </w:rPr>
            </w:pPr>
            <w:r w:rsidRPr="00AF0C06">
              <w:rPr>
                <w:rFonts w:ascii="Times New Roman" w:hAnsi="Times New Roman"/>
                <w:noProof/>
                <w:sz w:val="20"/>
                <w:szCs w:val="20"/>
                <w:lang w:val="sr-Cyrl-CS"/>
              </w:rPr>
              <w:t>галерија</w:t>
            </w:r>
          </w:p>
        </w:tc>
        <w:tc>
          <w:tcPr>
            <w:tcW w:w="1277" w:type="dxa"/>
            <w:vAlign w:val="center"/>
          </w:tcPr>
          <w:p w:rsidR="00D33C02" w:rsidRPr="00AF0C06" w:rsidRDefault="00D33C02" w:rsidP="00D33C02">
            <w:pPr>
              <w:jc w:val="center"/>
              <w:cnfStyle w:val="100000000000"/>
              <w:rPr>
                <w:rFonts w:ascii="Times New Roman" w:hAnsi="Times New Roman"/>
                <w:noProof/>
                <w:sz w:val="20"/>
                <w:szCs w:val="20"/>
                <w:lang w:val="sr-Cyrl-CS"/>
              </w:rPr>
            </w:pPr>
            <w:r w:rsidRPr="00AF0C06">
              <w:rPr>
                <w:rFonts w:ascii="Times New Roman" w:hAnsi="Times New Roman"/>
                <w:noProof/>
                <w:sz w:val="20"/>
                <w:szCs w:val="20"/>
                <w:lang w:val="sr-Cyrl-CS"/>
              </w:rPr>
              <w:t>културни центар</w:t>
            </w:r>
          </w:p>
        </w:tc>
        <w:tc>
          <w:tcPr>
            <w:tcW w:w="961" w:type="dxa"/>
            <w:vAlign w:val="center"/>
          </w:tcPr>
          <w:p w:rsidR="00D33C02" w:rsidRPr="00AF0C06" w:rsidRDefault="00D33C02" w:rsidP="00D33C02">
            <w:pPr>
              <w:jc w:val="center"/>
              <w:cnfStyle w:val="100000000000"/>
              <w:rPr>
                <w:rFonts w:ascii="Times New Roman" w:hAnsi="Times New Roman"/>
                <w:noProof/>
                <w:sz w:val="20"/>
                <w:szCs w:val="20"/>
                <w:lang w:val="sr-Cyrl-CS"/>
              </w:rPr>
            </w:pPr>
            <w:r w:rsidRPr="00AF0C06">
              <w:rPr>
                <w:rFonts w:ascii="Times New Roman" w:hAnsi="Times New Roman"/>
                <w:noProof/>
                <w:sz w:val="20"/>
                <w:szCs w:val="20"/>
                <w:lang w:val="sr-Cyrl-CS"/>
              </w:rPr>
              <w:t>архив</w:t>
            </w:r>
          </w:p>
        </w:tc>
        <w:tc>
          <w:tcPr>
            <w:tcW w:w="1325" w:type="dxa"/>
            <w:vAlign w:val="center"/>
          </w:tcPr>
          <w:p w:rsidR="00D33C02" w:rsidRPr="00AF0C06" w:rsidRDefault="00D33C02" w:rsidP="00D33C02">
            <w:pPr>
              <w:jc w:val="center"/>
              <w:cnfStyle w:val="100000000000"/>
              <w:rPr>
                <w:rFonts w:ascii="Times New Roman" w:hAnsi="Times New Roman"/>
                <w:noProof/>
                <w:sz w:val="20"/>
                <w:szCs w:val="20"/>
                <w:lang w:val="sr-Cyrl-CS"/>
              </w:rPr>
            </w:pPr>
            <w:r w:rsidRPr="00AF0C06">
              <w:rPr>
                <w:rFonts w:ascii="Times New Roman" w:hAnsi="Times New Roman"/>
                <w:noProof/>
                <w:sz w:val="20"/>
                <w:szCs w:val="20"/>
                <w:lang w:val="sr-Cyrl-CS"/>
              </w:rPr>
              <w:t>позориште</w:t>
            </w:r>
          </w:p>
        </w:tc>
        <w:tc>
          <w:tcPr>
            <w:tcW w:w="1392" w:type="dxa"/>
            <w:vAlign w:val="center"/>
          </w:tcPr>
          <w:p w:rsidR="00D33C02" w:rsidRPr="00AF0C06" w:rsidRDefault="00D33C02" w:rsidP="00D33C02">
            <w:pPr>
              <w:jc w:val="center"/>
              <w:cnfStyle w:val="100000000000"/>
              <w:rPr>
                <w:rFonts w:ascii="Times New Roman" w:hAnsi="Times New Roman"/>
                <w:noProof/>
                <w:sz w:val="20"/>
                <w:szCs w:val="20"/>
                <w:lang w:val="sr-Cyrl-CS"/>
              </w:rPr>
            </w:pPr>
            <w:r w:rsidRPr="00AF0C06">
              <w:rPr>
                <w:rFonts w:ascii="Times New Roman" w:hAnsi="Times New Roman"/>
                <w:noProof/>
                <w:sz w:val="20"/>
                <w:szCs w:val="20"/>
                <w:lang w:val="sr-Cyrl-CS"/>
              </w:rPr>
              <w:t>библиотека</w:t>
            </w:r>
          </w:p>
        </w:tc>
        <w:tc>
          <w:tcPr>
            <w:tcW w:w="743" w:type="dxa"/>
            <w:vAlign w:val="center"/>
          </w:tcPr>
          <w:p w:rsidR="00D33C02" w:rsidRPr="00AF0C06" w:rsidRDefault="00D33C02" w:rsidP="00D33C02">
            <w:pPr>
              <w:jc w:val="center"/>
              <w:cnfStyle w:val="100000000000"/>
              <w:rPr>
                <w:rFonts w:ascii="Times New Roman" w:hAnsi="Times New Roman"/>
                <w:noProof/>
                <w:sz w:val="20"/>
                <w:szCs w:val="20"/>
                <w:lang w:val="sr-Cyrl-CS"/>
              </w:rPr>
            </w:pPr>
            <w:r w:rsidRPr="00AF0C06">
              <w:rPr>
                <w:rFonts w:ascii="Times New Roman" w:hAnsi="Times New Roman"/>
                <w:noProof/>
                <w:sz w:val="20"/>
                <w:szCs w:val="20"/>
                <w:lang w:val="sr-Cyrl-CS"/>
              </w:rPr>
              <w:t>програм на селу</w:t>
            </w:r>
          </w:p>
        </w:tc>
      </w:tr>
      <w:tr w:rsidR="00D33C02" w:rsidRPr="00D33C02" w:rsidTr="00D33C02">
        <w:trPr>
          <w:cnfStyle w:val="000000100000"/>
        </w:trPr>
        <w:tc>
          <w:tcPr>
            <w:cnfStyle w:val="001000000000"/>
            <w:tcW w:w="1547" w:type="dxa"/>
          </w:tcPr>
          <w:p w:rsidR="00D33C02" w:rsidRPr="00AF0C06" w:rsidRDefault="00D33C02" w:rsidP="00D33C02">
            <w:pPr>
              <w:jc w:val="both"/>
              <w:rPr>
                <w:rFonts w:ascii="Times New Roman" w:hAnsi="Times New Roman"/>
                <w:noProof/>
                <w:sz w:val="20"/>
                <w:szCs w:val="20"/>
                <w:lang/>
              </w:rPr>
            </w:pPr>
            <w:r w:rsidRPr="00AF0C06">
              <w:rPr>
                <w:rFonts w:ascii="Times New Roman" w:hAnsi="Times New Roman"/>
                <w:noProof/>
                <w:sz w:val="20"/>
                <w:szCs w:val="20"/>
                <w:lang/>
              </w:rPr>
              <w:t>запослени</w:t>
            </w:r>
          </w:p>
        </w:tc>
        <w:tc>
          <w:tcPr>
            <w:tcW w:w="919"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60,8</w:t>
            </w:r>
          </w:p>
        </w:tc>
        <w:tc>
          <w:tcPr>
            <w:tcW w:w="1186"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61,9</w:t>
            </w:r>
          </w:p>
        </w:tc>
        <w:tc>
          <w:tcPr>
            <w:tcW w:w="1277"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64,6</w:t>
            </w:r>
          </w:p>
        </w:tc>
        <w:tc>
          <w:tcPr>
            <w:tcW w:w="961"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17,2</w:t>
            </w:r>
          </w:p>
        </w:tc>
        <w:tc>
          <w:tcPr>
            <w:tcW w:w="1325"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85,6</w:t>
            </w:r>
          </w:p>
        </w:tc>
        <w:tc>
          <w:tcPr>
            <w:tcW w:w="1392"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55,9</w:t>
            </w:r>
          </w:p>
        </w:tc>
        <w:tc>
          <w:tcPr>
            <w:tcW w:w="743"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58,3</w:t>
            </w:r>
          </w:p>
        </w:tc>
      </w:tr>
      <w:tr w:rsidR="00D33C02" w:rsidRPr="00D33C02" w:rsidTr="00D33C02">
        <w:trPr>
          <w:cnfStyle w:val="000000010000"/>
        </w:trPr>
        <w:tc>
          <w:tcPr>
            <w:cnfStyle w:val="001000000000"/>
            <w:tcW w:w="1547" w:type="dxa"/>
          </w:tcPr>
          <w:p w:rsidR="00D33C02" w:rsidRPr="00AF0C06" w:rsidRDefault="00D33C02" w:rsidP="00D33C02">
            <w:pPr>
              <w:jc w:val="both"/>
              <w:rPr>
                <w:rFonts w:ascii="Times New Roman" w:hAnsi="Times New Roman"/>
                <w:noProof/>
                <w:sz w:val="20"/>
                <w:szCs w:val="20"/>
                <w:lang w:val="sr-Cyrl-CS"/>
              </w:rPr>
            </w:pPr>
            <w:r w:rsidRPr="00AF0C06">
              <w:rPr>
                <w:rFonts w:ascii="Times New Roman" w:hAnsi="Times New Roman"/>
                <w:noProof/>
                <w:sz w:val="20"/>
                <w:szCs w:val="20"/>
                <w:lang w:val="sr-Cyrl-CS"/>
              </w:rPr>
              <w:lastRenderedPageBreak/>
              <w:t>незапослени</w:t>
            </w:r>
          </w:p>
        </w:tc>
        <w:tc>
          <w:tcPr>
            <w:tcW w:w="919"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47,9</w:t>
            </w:r>
          </w:p>
        </w:tc>
        <w:tc>
          <w:tcPr>
            <w:tcW w:w="1186"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39,4</w:t>
            </w:r>
          </w:p>
        </w:tc>
        <w:tc>
          <w:tcPr>
            <w:tcW w:w="1277"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59,6</w:t>
            </w:r>
          </w:p>
        </w:tc>
        <w:tc>
          <w:tcPr>
            <w:tcW w:w="961"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22,3</w:t>
            </w:r>
          </w:p>
        </w:tc>
        <w:tc>
          <w:tcPr>
            <w:tcW w:w="1325"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70,2</w:t>
            </w:r>
          </w:p>
        </w:tc>
        <w:tc>
          <w:tcPr>
            <w:tcW w:w="1392"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47,9</w:t>
            </w:r>
          </w:p>
        </w:tc>
        <w:tc>
          <w:tcPr>
            <w:tcW w:w="743"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61,7</w:t>
            </w:r>
          </w:p>
        </w:tc>
      </w:tr>
      <w:tr w:rsidR="00D33C02" w:rsidRPr="00D33C02" w:rsidTr="00D33C02">
        <w:trPr>
          <w:cnfStyle w:val="000000100000"/>
        </w:trPr>
        <w:tc>
          <w:tcPr>
            <w:cnfStyle w:val="001000000000"/>
            <w:tcW w:w="1547" w:type="dxa"/>
          </w:tcPr>
          <w:p w:rsidR="00D33C02" w:rsidRPr="00AF0C06" w:rsidRDefault="00D33C02" w:rsidP="00D33C02">
            <w:pPr>
              <w:jc w:val="both"/>
              <w:rPr>
                <w:rFonts w:ascii="Times New Roman" w:hAnsi="Times New Roman"/>
                <w:noProof/>
                <w:sz w:val="20"/>
                <w:szCs w:val="20"/>
                <w:lang w:val="sr-Cyrl-CS"/>
              </w:rPr>
            </w:pPr>
            <w:r w:rsidRPr="00AF0C06">
              <w:rPr>
                <w:rFonts w:ascii="Times New Roman" w:hAnsi="Times New Roman"/>
                <w:noProof/>
                <w:sz w:val="20"/>
                <w:szCs w:val="20"/>
                <w:lang w:val="sr-Cyrl-CS"/>
              </w:rPr>
              <w:t>студенти</w:t>
            </w:r>
          </w:p>
        </w:tc>
        <w:tc>
          <w:tcPr>
            <w:tcW w:w="919"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36,8</w:t>
            </w:r>
          </w:p>
        </w:tc>
        <w:tc>
          <w:tcPr>
            <w:tcW w:w="1186"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47,4</w:t>
            </w:r>
          </w:p>
        </w:tc>
        <w:tc>
          <w:tcPr>
            <w:tcW w:w="1277"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73,7</w:t>
            </w:r>
          </w:p>
        </w:tc>
        <w:tc>
          <w:tcPr>
            <w:tcW w:w="961"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10,5</w:t>
            </w:r>
          </w:p>
        </w:tc>
        <w:tc>
          <w:tcPr>
            <w:tcW w:w="1325"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89,5</w:t>
            </w:r>
          </w:p>
        </w:tc>
        <w:tc>
          <w:tcPr>
            <w:tcW w:w="1392"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63,2</w:t>
            </w:r>
          </w:p>
        </w:tc>
        <w:tc>
          <w:tcPr>
            <w:tcW w:w="743"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36,8</w:t>
            </w:r>
          </w:p>
        </w:tc>
      </w:tr>
      <w:tr w:rsidR="00D33C02" w:rsidRPr="00D33C02" w:rsidTr="00D33C02">
        <w:trPr>
          <w:cnfStyle w:val="000000010000"/>
        </w:trPr>
        <w:tc>
          <w:tcPr>
            <w:cnfStyle w:val="001000000000"/>
            <w:tcW w:w="1547" w:type="dxa"/>
          </w:tcPr>
          <w:p w:rsidR="00D33C02" w:rsidRPr="00AF0C06" w:rsidRDefault="00D33C02" w:rsidP="00D33C02">
            <w:pPr>
              <w:jc w:val="both"/>
              <w:rPr>
                <w:rFonts w:ascii="Times New Roman" w:hAnsi="Times New Roman"/>
                <w:noProof/>
                <w:sz w:val="20"/>
                <w:szCs w:val="20"/>
                <w:lang w:val="sr-Cyrl-CS"/>
              </w:rPr>
            </w:pPr>
            <w:r w:rsidRPr="00AF0C06">
              <w:rPr>
                <w:rFonts w:ascii="Times New Roman" w:hAnsi="Times New Roman"/>
                <w:noProof/>
                <w:sz w:val="20"/>
                <w:szCs w:val="20"/>
                <w:lang w:val="sr-Cyrl-CS"/>
              </w:rPr>
              <w:t>ученици</w:t>
            </w:r>
          </w:p>
        </w:tc>
        <w:tc>
          <w:tcPr>
            <w:tcW w:w="919"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75,6</w:t>
            </w:r>
          </w:p>
        </w:tc>
        <w:tc>
          <w:tcPr>
            <w:tcW w:w="1186"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58,5</w:t>
            </w:r>
          </w:p>
        </w:tc>
        <w:tc>
          <w:tcPr>
            <w:tcW w:w="1277"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43,9</w:t>
            </w:r>
          </w:p>
        </w:tc>
        <w:tc>
          <w:tcPr>
            <w:tcW w:w="961"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22</w:t>
            </w:r>
          </w:p>
        </w:tc>
        <w:tc>
          <w:tcPr>
            <w:tcW w:w="1325"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90,2</w:t>
            </w:r>
          </w:p>
        </w:tc>
        <w:tc>
          <w:tcPr>
            <w:tcW w:w="1392"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58,5</w:t>
            </w:r>
          </w:p>
        </w:tc>
        <w:tc>
          <w:tcPr>
            <w:tcW w:w="743"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51,2</w:t>
            </w:r>
          </w:p>
        </w:tc>
      </w:tr>
      <w:tr w:rsidR="00D33C02" w:rsidRPr="00D33C02" w:rsidTr="00D33C02">
        <w:trPr>
          <w:cnfStyle w:val="000000100000"/>
        </w:trPr>
        <w:tc>
          <w:tcPr>
            <w:cnfStyle w:val="001000000000"/>
            <w:tcW w:w="1547" w:type="dxa"/>
          </w:tcPr>
          <w:p w:rsidR="00D33C02" w:rsidRPr="00AF0C06" w:rsidRDefault="00D33C02" w:rsidP="00D33C02">
            <w:pPr>
              <w:jc w:val="both"/>
              <w:rPr>
                <w:rFonts w:ascii="Times New Roman" w:hAnsi="Times New Roman"/>
                <w:noProof/>
                <w:sz w:val="20"/>
                <w:szCs w:val="20"/>
                <w:lang w:val="sr-Cyrl-CS"/>
              </w:rPr>
            </w:pPr>
            <w:r w:rsidRPr="00AF0C06">
              <w:rPr>
                <w:rFonts w:ascii="Times New Roman" w:hAnsi="Times New Roman"/>
                <w:noProof/>
                <w:sz w:val="20"/>
                <w:szCs w:val="20"/>
                <w:lang w:val="sr-Cyrl-CS"/>
              </w:rPr>
              <w:t>пензионер</w:t>
            </w:r>
          </w:p>
        </w:tc>
        <w:tc>
          <w:tcPr>
            <w:tcW w:w="919"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60,6</w:t>
            </w:r>
          </w:p>
        </w:tc>
        <w:tc>
          <w:tcPr>
            <w:tcW w:w="1186"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61,7</w:t>
            </w:r>
          </w:p>
        </w:tc>
        <w:tc>
          <w:tcPr>
            <w:tcW w:w="1277"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64,9</w:t>
            </w:r>
          </w:p>
        </w:tc>
        <w:tc>
          <w:tcPr>
            <w:tcW w:w="961"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20,2</w:t>
            </w:r>
          </w:p>
        </w:tc>
        <w:tc>
          <w:tcPr>
            <w:tcW w:w="1325"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85,1</w:t>
            </w:r>
          </w:p>
        </w:tc>
        <w:tc>
          <w:tcPr>
            <w:tcW w:w="1392"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42,6</w:t>
            </w:r>
          </w:p>
        </w:tc>
        <w:tc>
          <w:tcPr>
            <w:tcW w:w="743" w:type="dxa"/>
          </w:tcPr>
          <w:p w:rsidR="00D33C02" w:rsidRPr="00AF0C06" w:rsidRDefault="00D33C02" w:rsidP="00D33C02">
            <w:pPr>
              <w:jc w:val="center"/>
              <w:cnfStyle w:val="000000100000"/>
              <w:rPr>
                <w:rFonts w:cs="Times New Roman"/>
                <w:noProof/>
                <w:szCs w:val="24"/>
                <w:lang w:val="sr-Cyrl-CS"/>
              </w:rPr>
            </w:pPr>
            <w:r w:rsidRPr="00AF0C06">
              <w:rPr>
                <w:rFonts w:cs="Times New Roman"/>
                <w:noProof/>
                <w:szCs w:val="24"/>
                <w:lang w:val="sr-Cyrl-CS"/>
              </w:rPr>
              <w:t>58,5</w:t>
            </w:r>
          </w:p>
        </w:tc>
      </w:tr>
      <w:tr w:rsidR="00D33C02" w:rsidRPr="00D33C02" w:rsidTr="00D33C02">
        <w:trPr>
          <w:cnfStyle w:val="000000010000"/>
        </w:trPr>
        <w:tc>
          <w:tcPr>
            <w:cnfStyle w:val="001000000000"/>
            <w:tcW w:w="1547" w:type="dxa"/>
          </w:tcPr>
          <w:p w:rsidR="00D33C02" w:rsidRPr="00AF0C06" w:rsidRDefault="00D33C02" w:rsidP="00D33C02">
            <w:pPr>
              <w:jc w:val="both"/>
              <w:rPr>
                <w:rFonts w:ascii="Times New Roman" w:hAnsi="Times New Roman"/>
                <w:noProof/>
                <w:sz w:val="20"/>
                <w:szCs w:val="20"/>
                <w:lang w:val="sr-Cyrl-CS"/>
              </w:rPr>
            </w:pPr>
            <w:r w:rsidRPr="00AF0C06">
              <w:rPr>
                <w:rFonts w:ascii="Times New Roman" w:hAnsi="Times New Roman"/>
                <w:noProof/>
                <w:sz w:val="20"/>
                <w:szCs w:val="20"/>
                <w:lang w:val="sr-Cyrl-CS"/>
              </w:rPr>
              <w:t>др.неакт.лица</w:t>
            </w:r>
          </w:p>
        </w:tc>
        <w:tc>
          <w:tcPr>
            <w:tcW w:w="919"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50</w:t>
            </w:r>
          </w:p>
        </w:tc>
        <w:tc>
          <w:tcPr>
            <w:tcW w:w="1186"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50</w:t>
            </w:r>
          </w:p>
        </w:tc>
        <w:tc>
          <w:tcPr>
            <w:tcW w:w="1277"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50</w:t>
            </w:r>
          </w:p>
        </w:tc>
        <w:tc>
          <w:tcPr>
            <w:tcW w:w="961"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0</w:t>
            </w:r>
          </w:p>
        </w:tc>
        <w:tc>
          <w:tcPr>
            <w:tcW w:w="1325"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75</w:t>
            </w:r>
          </w:p>
        </w:tc>
        <w:tc>
          <w:tcPr>
            <w:tcW w:w="1392"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37,5</w:t>
            </w:r>
          </w:p>
        </w:tc>
        <w:tc>
          <w:tcPr>
            <w:tcW w:w="743" w:type="dxa"/>
          </w:tcPr>
          <w:p w:rsidR="00D33C02" w:rsidRPr="00AF0C06" w:rsidRDefault="00D33C02" w:rsidP="00D33C02">
            <w:pPr>
              <w:jc w:val="center"/>
              <w:cnfStyle w:val="000000010000"/>
              <w:rPr>
                <w:rFonts w:cs="Times New Roman"/>
                <w:noProof/>
                <w:szCs w:val="24"/>
                <w:lang w:val="sr-Cyrl-CS"/>
              </w:rPr>
            </w:pPr>
            <w:r w:rsidRPr="00AF0C06">
              <w:rPr>
                <w:rFonts w:cs="Times New Roman"/>
                <w:noProof/>
                <w:szCs w:val="24"/>
                <w:lang w:val="sr-Cyrl-CS"/>
              </w:rPr>
              <w:t>37,5</w:t>
            </w:r>
          </w:p>
        </w:tc>
      </w:tr>
    </w:tbl>
    <w:p w:rsidR="00D33C02" w:rsidRPr="00D33C02" w:rsidRDefault="00D33C02" w:rsidP="00D33C02">
      <w:pPr>
        <w:spacing w:after="0"/>
        <w:jc w:val="both"/>
        <w:rPr>
          <w:rFonts w:ascii="Times New Roman" w:hAnsi="Times New Roman" w:cs="Times New Roman"/>
          <w:noProof/>
          <w:sz w:val="24"/>
          <w:szCs w:val="24"/>
          <w:lang w:val="sr-Cyrl-CS"/>
        </w:rPr>
      </w:pPr>
    </w:p>
    <w:p w:rsidR="00D33C02" w:rsidRPr="00AF0C06" w:rsidRDefault="00D33C02" w:rsidP="00D33C02">
      <w:pPr>
        <w:jc w:val="both"/>
        <w:rPr>
          <w:rFonts w:ascii="Times New Roman" w:hAnsi="Times New Roman" w:cs="Times New Roman"/>
          <w:noProof/>
          <w:sz w:val="24"/>
          <w:szCs w:val="24"/>
          <w:lang/>
        </w:rPr>
      </w:pPr>
      <w:r w:rsidRPr="00AF0C06">
        <w:rPr>
          <w:rFonts w:ascii="Times New Roman" w:hAnsi="Times New Roman" w:cs="Times New Roman"/>
          <w:noProof/>
          <w:sz w:val="24"/>
          <w:szCs w:val="24"/>
          <w:lang w:val="sr-Cyrl-CS"/>
        </w:rPr>
        <w:t>Међутим, узимајући у обзир генерално узраст испитаника, важно је напоменути да млади не посећују довољно установе културе. Наиме, према резултатима истраживања млади најчешће посећују Народно позориште Сомбор (само 14,7% не посећује ову установу културе). Међутим, остале установе културе у Сомбору не посећују чак око 50% младих. Наведени подаци указују да је  веома важно посветити се развијању културних потреба и деце и младих, али</w:t>
      </w:r>
      <w:r w:rsidRPr="00AF0C06">
        <w:rPr>
          <w:rFonts w:ascii="Times New Roman" w:hAnsi="Times New Roman" w:cs="Times New Roman"/>
          <w:noProof/>
          <w:sz w:val="24"/>
          <w:szCs w:val="24"/>
          <w:lang/>
        </w:rPr>
        <w:t xml:space="preserve"> и</w:t>
      </w:r>
      <w:r w:rsidRPr="00AF0C06">
        <w:rPr>
          <w:rFonts w:ascii="Times New Roman" w:hAnsi="Times New Roman" w:cs="Times New Roman"/>
          <w:noProof/>
          <w:sz w:val="24"/>
          <w:szCs w:val="24"/>
          <w:lang w:val="sr-Cyrl-CS"/>
        </w:rPr>
        <w:t xml:space="preserve"> радити истраживања о културним потребама и навикама ове популације, те креирати програме према њиховим афинитетима, тамо где је то оправдано</w:t>
      </w:r>
      <w:r w:rsidR="00EF1BF9" w:rsidRPr="00AF0C06">
        <w:rPr>
          <w:rFonts w:ascii="Times New Roman" w:hAnsi="Times New Roman" w:cs="Times New Roman"/>
          <w:noProof/>
          <w:sz w:val="24"/>
          <w:szCs w:val="24"/>
          <w:lang w:val="sr-Cyrl-CS"/>
        </w:rPr>
        <w:t>.</w:t>
      </w:r>
      <w:r w:rsidRPr="00AF0C06">
        <w:rPr>
          <w:rFonts w:ascii="Times New Roman" w:hAnsi="Times New Roman" w:cs="Times New Roman"/>
          <w:noProof/>
          <w:sz w:val="24"/>
          <w:szCs w:val="24"/>
          <w:lang w:val="sr-Cyrl-CS"/>
        </w:rPr>
        <w:t xml:space="preserve"> </w:t>
      </w:r>
    </w:p>
    <w:p w:rsidR="00EF1BF9" w:rsidRDefault="00EF1BF9" w:rsidP="00D33C02">
      <w:pPr>
        <w:spacing w:after="0"/>
        <w:jc w:val="both"/>
        <w:rPr>
          <w:rFonts w:ascii="Times New Roman" w:hAnsi="Times New Roman" w:cs="Times New Roman"/>
          <w:noProof/>
          <w:sz w:val="24"/>
          <w:szCs w:val="24"/>
          <w:highlight w:val="yellow"/>
          <w:lang w:val="sr-Cyrl-CS"/>
        </w:rPr>
      </w:pPr>
    </w:p>
    <w:p w:rsidR="00EF1BF9" w:rsidRDefault="00EF1BF9" w:rsidP="00D33C02">
      <w:pPr>
        <w:spacing w:after="0"/>
        <w:jc w:val="both"/>
        <w:rPr>
          <w:rFonts w:ascii="Times New Roman" w:hAnsi="Times New Roman" w:cs="Times New Roman"/>
          <w:noProof/>
          <w:sz w:val="24"/>
          <w:szCs w:val="24"/>
          <w:highlight w:val="yellow"/>
          <w:lang w:val="sr-Cyrl-CS"/>
        </w:rPr>
      </w:pPr>
    </w:p>
    <w:p w:rsidR="00EF1BF9" w:rsidRDefault="00EF1BF9" w:rsidP="00D33C02">
      <w:pPr>
        <w:spacing w:after="0"/>
        <w:jc w:val="both"/>
        <w:rPr>
          <w:rFonts w:ascii="Times New Roman" w:hAnsi="Times New Roman" w:cs="Times New Roman"/>
          <w:noProof/>
          <w:sz w:val="24"/>
          <w:szCs w:val="24"/>
          <w:highlight w:val="yellow"/>
          <w:lang w:val="sr-Cyrl-CS"/>
        </w:rPr>
      </w:pPr>
    </w:p>
    <w:p w:rsidR="00D33C02" w:rsidRPr="00D33C02" w:rsidRDefault="00D33C02" w:rsidP="00D33C02">
      <w:pPr>
        <w:spacing w:after="0"/>
        <w:jc w:val="both"/>
        <w:rPr>
          <w:rFonts w:ascii="Times New Roman" w:hAnsi="Times New Roman" w:cs="Times New Roman"/>
          <w:noProof/>
          <w:sz w:val="24"/>
          <w:szCs w:val="24"/>
          <w:lang w:val="sr-Cyrl-CS"/>
        </w:rPr>
      </w:pPr>
      <w:r w:rsidRPr="00EF1BF9">
        <w:rPr>
          <w:rFonts w:ascii="Times New Roman" w:hAnsi="Times New Roman" w:cs="Times New Roman"/>
          <w:noProof/>
          <w:sz w:val="24"/>
          <w:szCs w:val="24"/>
          <w:lang w:val="sr-Cyrl-CS"/>
        </w:rPr>
        <w:t>Графикон</w:t>
      </w:r>
      <w:r w:rsidR="00EF1BF9" w:rsidRPr="00EF1BF9">
        <w:rPr>
          <w:rFonts w:ascii="Times New Roman" w:hAnsi="Times New Roman" w:cs="Times New Roman"/>
          <w:noProof/>
          <w:sz w:val="24"/>
          <w:szCs w:val="24"/>
          <w:lang w:val="sr-Cyrl-CS"/>
        </w:rPr>
        <w:t xml:space="preserve"> 3</w:t>
      </w:r>
      <w:r w:rsidRPr="00EF1BF9">
        <w:rPr>
          <w:rFonts w:ascii="Times New Roman" w:hAnsi="Times New Roman" w:cs="Times New Roman"/>
          <w:noProof/>
          <w:sz w:val="24"/>
          <w:szCs w:val="24"/>
          <w:lang w:val="sr-Cyrl-CS"/>
        </w:rPr>
        <w:t>: Проценат</w:t>
      </w:r>
      <w:r w:rsidRPr="00D33C02">
        <w:rPr>
          <w:rFonts w:ascii="Times New Roman" w:hAnsi="Times New Roman" w:cs="Times New Roman"/>
          <w:noProof/>
          <w:sz w:val="24"/>
          <w:szCs w:val="24"/>
          <w:lang w:val="sr-Cyrl-CS"/>
        </w:rPr>
        <w:t xml:space="preserve"> младих који не посећују установе културе у Сомбору</w:t>
      </w:r>
    </w:p>
    <w:p w:rsidR="00C66488" w:rsidRDefault="00D33C02" w:rsidP="00C66488">
      <w:pPr>
        <w:spacing w:after="0"/>
        <w:jc w:val="both"/>
        <w:rPr>
          <w:rFonts w:ascii="Times New Roman" w:hAnsi="Times New Roman" w:cs="Times New Roman"/>
          <w:noProof/>
          <w:sz w:val="24"/>
          <w:szCs w:val="24"/>
          <w:lang w:val="sr-Cyrl-CS"/>
        </w:rPr>
      </w:pPr>
      <w:r w:rsidRPr="00D33C02">
        <w:rPr>
          <w:rFonts w:ascii="Times New Roman" w:hAnsi="Times New Roman" w:cs="Times New Roman"/>
          <w:noProof/>
          <w:sz w:val="24"/>
          <w:szCs w:val="24"/>
        </w:rPr>
        <w:drawing>
          <wp:inline distT="0" distB="0" distL="0" distR="0">
            <wp:extent cx="5876925" cy="1895475"/>
            <wp:effectExtent l="0" t="0" r="9525"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66488" w:rsidRPr="00C66488" w:rsidRDefault="00C66488" w:rsidP="00C66488">
      <w:pPr>
        <w:spacing w:after="0"/>
        <w:jc w:val="both"/>
        <w:rPr>
          <w:rFonts w:ascii="Times New Roman" w:hAnsi="Times New Roman" w:cs="Times New Roman"/>
          <w:noProof/>
          <w:sz w:val="24"/>
          <w:szCs w:val="24"/>
          <w:lang w:val="sr-Cyrl-CS"/>
        </w:rPr>
      </w:pPr>
    </w:p>
    <w:p w:rsidR="00D33C02" w:rsidRPr="00EF1BF9" w:rsidRDefault="00D33C02" w:rsidP="00EF1BF9">
      <w:pPr>
        <w:pStyle w:val="Heading2"/>
        <w:numPr>
          <w:ilvl w:val="1"/>
          <w:numId w:val="39"/>
        </w:numPr>
        <w:spacing w:after="240"/>
        <w:rPr>
          <w:b/>
          <w:noProof/>
          <w:lang/>
        </w:rPr>
      </w:pPr>
      <w:bookmarkStart w:id="34" w:name="_Toc36072310"/>
      <w:r w:rsidRPr="00EF1BF9">
        <w:rPr>
          <w:b/>
          <w:noProof/>
          <w:lang/>
        </w:rPr>
        <w:t>Оцена програма и мотиви за посету</w:t>
      </w:r>
      <w:bookmarkEnd w:id="34"/>
    </w:p>
    <w:p w:rsidR="00D33C02" w:rsidRPr="00D33C02" w:rsidRDefault="00D33C02" w:rsidP="00C66488">
      <w:pPr>
        <w:ind w:firstLine="720"/>
        <w:jc w:val="both"/>
        <w:rPr>
          <w:rFonts w:ascii="Times New Roman" w:hAnsi="Times New Roman" w:cs="Times New Roman"/>
          <w:noProof/>
          <w:sz w:val="24"/>
          <w:szCs w:val="24"/>
          <w:lang/>
        </w:rPr>
      </w:pPr>
      <w:r w:rsidRPr="00AF0C06">
        <w:rPr>
          <w:rFonts w:ascii="Times New Roman" w:hAnsi="Times New Roman" w:cs="Times New Roman"/>
          <w:noProof/>
          <w:sz w:val="24"/>
          <w:szCs w:val="24"/>
          <w:lang/>
        </w:rPr>
        <w:t>Када је реч о утиску о програмима установа културе, највећи проценат испитаника програме установа културе оцењује као „занимљиве“ (19,7%) али, са друге стране, и као „увек исте“</w:t>
      </w:r>
      <w:r w:rsidRPr="00AF0C06">
        <w:rPr>
          <w:rFonts w:ascii="Times New Roman" w:hAnsi="Times New Roman" w:cs="Times New Roman"/>
          <w:noProof/>
          <w:sz w:val="24"/>
          <w:szCs w:val="24"/>
          <w:lang/>
        </w:rPr>
        <w:t xml:space="preserve"> (12,7%)</w:t>
      </w:r>
      <w:r w:rsidRPr="00AF0C06">
        <w:rPr>
          <w:rFonts w:ascii="Times New Roman" w:hAnsi="Times New Roman" w:cs="Times New Roman"/>
          <w:noProof/>
          <w:sz w:val="24"/>
          <w:szCs w:val="24"/>
          <w:lang/>
        </w:rPr>
        <w:t xml:space="preserve">. Ипак, занемарљив проценат анкетираних грађана сматра да су програми Културног центра „Лаза Костић“ и Народног позоришта Сомбор „увек исти“, већ их оцењује </w:t>
      </w:r>
      <w:r w:rsidRPr="00AF0C06">
        <w:rPr>
          <w:rFonts w:ascii="Times New Roman" w:hAnsi="Times New Roman" w:cs="Times New Roman"/>
          <w:noProof/>
          <w:sz w:val="24"/>
          <w:szCs w:val="24"/>
          <w:lang w:val="sr-Cyrl-CS"/>
        </w:rPr>
        <w:t>као „заним</w:t>
      </w:r>
      <w:r w:rsidRPr="00AF0C06">
        <w:rPr>
          <w:rFonts w:ascii="Times New Roman" w:hAnsi="Times New Roman" w:cs="Times New Roman"/>
          <w:noProof/>
          <w:sz w:val="24"/>
          <w:szCs w:val="24"/>
          <w:lang/>
        </w:rPr>
        <w:t>љ</w:t>
      </w:r>
      <w:r w:rsidRPr="00AF0C06">
        <w:rPr>
          <w:rFonts w:ascii="Times New Roman" w:hAnsi="Times New Roman" w:cs="Times New Roman"/>
          <w:noProof/>
          <w:sz w:val="24"/>
          <w:szCs w:val="24"/>
          <w:lang w:val="sr-Cyrl-CS"/>
        </w:rPr>
        <w:t xml:space="preserve">иве“, док </w:t>
      </w:r>
      <w:r w:rsidRPr="00AF0C06">
        <w:rPr>
          <w:rFonts w:ascii="Times New Roman" w:hAnsi="Times New Roman" w:cs="Times New Roman"/>
          <w:noProof/>
          <w:sz w:val="24"/>
          <w:szCs w:val="24"/>
          <w:lang/>
        </w:rPr>
        <w:t xml:space="preserve">су програми Историјског архива Сомбор у највећем проценту сагледани као непроменљиви (увек исти). Програме установа културе у Сомбору занимљивим сматрају припадници средње и старије генерације, док највећи проценат младих програме оцењује као „превазиђене“. И овај податак говори у прилог тези да установе културе морају да раде </w:t>
      </w:r>
      <w:r w:rsidRPr="00AF0C06">
        <w:rPr>
          <w:rFonts w:ascii="Times New Roman" w:hAnsi="Times New Roman" w:cs="Times New Roman"/>
          <w:i/>
          <w:noProof/>
          <w:sz w:val="24"/>
          <w:szCs w:val="24"/>
          <w:lang/>
        </w:rPr>
        <w:t>са младима</w:t>
      </w:r>
      <w:r w:rsidRPr="00AF0C06">
        <w:rPr>
          <w:rFonts w:ascii="Times New Roman" w:hAnsi="Times New Roman" w:cs="Times New Roman"/>
          <w:noProof/>
          <w:sz w:val="24"/>
          <w:szCs w:val="24"/>
          <w:lang/>
        </w:rPr>
        <w:t xml:space="preserve">, а не искључиво </w:t>
      </w:r>
      <w:r w:rsidRPr="00AF0C06">
        <w:rPr>
          <w:rFonts w:ascii="Times New Roman" w:hAnsi="Times New Roman" w:cs="Times New Roman"/>
          <w:i/>
          <w:noProof/>
          <w:sz w:val="24"/>
          <w:szCs w:val="24"/>
          <w:lang/>
        </w:rPr>
        <w:t>за младе</w:t>
      </w:r>
      <w:r w:rsidRPr="00AF0C06">
        <w:rPr>
          <w:rFonts w:ascii="Times New Roman" w:hAnsi="Times New Roman" w:cs="Times New Roman"/>
          <w:noProof/>
          <w:sz w:val="24"/>
          <w:szCs w:val="24"/>
          <w:lang/>
        </w:rPr>
        <w:t>, како би програми одговарали њиховим потребама. Гледајући оцене програма појединачних установа културе према социо – демографским карактеристикама разлика се примећује код програма Галерије „Милан Коњовић“ чије програме „</w:t>
      </w:r>
      <w:r w:rsidRPr="00AF0C06">
        <w:rPr>
          <w:rFonts w:ascii="Times New Roman" w:hAnsi="Times New Roman" w:cs="Times New Roman"/>
          <w:noProof/>
          <w:sz w:val="24"/>
          <w:szCs w:val="24"/>
          <w:lang w:val="sr-Cyrl-CS"/>
        </w:rPr>
        <w:t>занимљивим“</w:t>
      </w:r>
      <w:r w:rsidRPr="00AF0C06">
        <w:rPr>
          <w:rFonts w:ascii="Times New Roman" w:hAnsi="Times New Roman" w:cs="Times New Roman"/>
          <w:noProof/>
          <w:sz w:val="24"/>
          <w:szCs w:val="24"/>
          <w:lang w:val="sr-Latn-CS"/>
        </w:rPr>
        <w:t xml:space="preserve"> </w:t>
      </w:r>
      <w:r w:rsidRPr="00AF0C06">
        <w:rPr>
          <w:rFonts w:ascii="Times New Roman" w:hAnsi="Times New Roman" w:cs="Times New Roman"/>
          <w:noProof/>
          <w:sz w:val="24"/>
          <w:szCs w:val="24"/>
          <w:lang/>
        </w:rPr>
        <w:t xml:space="preserve">на првом месту </w:t>
      </w:r>
      <w:r w:rsidRPr="00AF0C06">
        <w:rPr>
          <w:rFonts w:ascii="Times New Roman" w:hAnsi="Times New Roman" w:cs="Times New Roman"/>
          <w:noProof/>
          <w:sz w:val="24"/>
          <w:szCs w:val="24"/>
          <w:lang/>
        </w:rPr>
        <w:lastRenderedPageBreak/>
        <w:t xml:space="preserve">сматрају припадници старије генерације, док млади и они од 30 до 49 године ове програме виде као </w:t>
      </w:r>
      <w:r w:rsidRPr="00D33C02">
        <w:rPr>
          <w:rFonts w:ascii="Times New Roman" w:hAnsi="Times New Roman" w:cs="Times New Roman"/>
          <w:noProof/>
          <w:sz w:val="24"/>
          <w:szCs w:val="24"/>
          <w:lang/>
        </w:rPr>
        <w:t>увек исте. Такође, програме Градске библиотеке „Карло Бијелицки“ испитаници од 50 и више година оцењује као увек исте, док припадници средње генерације мисле да ова установа организује занимљиве програме.</w:t>
      </w:r>
    </w:p>
    <w:p w:rsidR="00D33C02" w:rsidRPr="00AF0C06" w:rsidRDefault="00D33C02" w:rsidP="00C66488">
      <w:pPr>
        <w:ind w:firstLine="720"/>
        <w:jc w:val="both"/>
        <w:rPr>
          <w:rFonts w:ascii="Times New Roman" w:hAnsi="Times New Roman" w:cs="Times New Roman"/>
          <w:noProof/>
          <w:sz w:val="24"/>
          <w:szCs w:val="24"/>
          <w:lang/>
        </w:rPr>
      </w:pPr>
      <w:r w:rsidRPr="00D33C02">
        <w:rPr>
          <w:rFonts w:ascii="Times New Roman" w:hAnsi="Times New Roman" w:cs="Times New Roman"/>
          <w:noProof/>
          <w:sz w:val="24"/>
          <w:szCs w:val="24"/>
          <w:lang/>
        </w:rPr>
        <w:t xml:space="preserve">Са друге стране, испитаници са завршеном средњом школом програме виде као досадне и елитистичке, док их високообразовани на првом месту сматрају „занимљивим“. </w:t>
      </w:r>
      <w:r w:rsidR="00AF0C06" w:rsidRPr="00AF0C06">
        <w:rPr>
          <w:rFonts w:ascii="Times New Roman" w:hAnsi="Times New Roman" w:cs="Times New Roman"/>
          <w:noProof/>
          <w:sz w:val="24"/>
          <w:szCs w:val="24"/>
          <w:lang/>
        </w:rPr>
        <w:t xml:space="preserve">Иако се може </w:t>
      </w:r>
      <w:r w:rsidRPr="00AF0C06">
        <w:rPr>
          <w:rFonts w:ascii="Times New Roman" w:hAnsi="Times New Roman" w:cs="Times New Roman"/>
          <w:noProof/>
          <w:sz w:val="24"/>
          <w:szCs w:val="24"/>
          <w:lang/>
        </w:rPr>
        <w:t xml:space="preserve">рећи да је веома позитивно и важно што интелектуални слој сомборске публике понуду установа културе оцењује као „квалитетну“, из наведеног податка може се закључити да установе културе, како би повећале бројност своје публике, морају да развијају садржаје који нису намењени већином високообразованој популацији. </w:t>
      </w:r>
    </w:p>
    <w:p w:rsidR="00D33C02" w:rsidRPr="00D33C02" w:rsidRDefault="00D33C02" w:rsidP="00C66488">
      <w:pPr>
        <w:ind w:firstLine="720"/>
        <w:jc w:val="both"/>
        <w:rPr>
          <w:rFonts w:ascii="Times New Roman" w:hAnsi="Times New Roman" w:cs="Times New Roman"/>
          <w:noProof/>
          <w:sz w:val="24"/>
          <w:szCs w:val="24"/>
          <w:lang/>
        </w:rPr>
      </w:pPr>
      <w:r w:rsidRPr="00AF0C06">
        <w:rPr>
          <w:rFonts w:ascii="Times New Roman" w:hAnsi="Times New Roman" w:cs="Times New Roman"/>
          <w:noProof/>
          <w:sz w:val="24"/>
          <w:szCs w:val="24"/>
          <w:lang/>
        </w:rPr>
        <w:t xml:space="preserve">Један од разлога непосећивања културних догађаја може бити и недовољна мотивација. Управо из тог разлога </w:t>
      </w:r>
      <w:r w:rsidRPr="00AF0C06">
        <w:rPr>
          <w:rFonts w:ascii="Times New Roman" w:hAnsi="Times New Roman" w:cs="Times New Roman"/>
          <w:noProof/>
          <w:sz w:val="24"/>
          <w:szCs w:val="24"/>
          <w:lang/>
        </w:rPr>
        <w:t xml:space="preserve">од </w:t>
      </w:r>
      <w:r w:rsidRPr="00AF0C06">
        <w:rPr>
          <w:rFonts w:ascii="Times New Roman" w:hAnsi="Times New Roman" w:cs="Times New Roman"/>
          <w:noProof/>
          <w:sz w:val="24"/>
          <w:szCs w:val="24"/>
          <w:lang/>
        </w:rPr>
        <w:t xml:space="preserve">грађана </w:t>
      </w:r>
      <w:r w:rsidRPr="00AF0C06">
        <w:rPr>
          <w:rFonts w:ascii="Times New Roman" w:hAnsi="Times New Roman" w:cs="Times New Roman"/>
          <w:noProof/>
          <w:sz w:val="24"/>
          <w:szCs w:val="24"/>
          <w:lang/>
        </w:rPr>
        <w:t>Сомбора</w:t>
      </w:r>
      <w:r w:rsidRPr="00AF0C06">
        <w:rPr>
          <w:rFonts w:ascii="Times New Roman" w:hAnsi="Times New Roman" w:cs="Times New Roman"/>
          <w:noProof/>
          <w:sz w:val="24"/>
          <w:szCs w:val="24"/>
          <w:lang/>
        </w:rPr>
        <w:t xml:space="preserve"> </w:t>
      </w:r>
      <w:r w:rsidRPr="00AF0C06">
        <w:rPr>
          <w:rFonts w:ascii="Times New Roman" w:hAnsi="Times New Roman" w:cs="Times New Roman"/>
          <w:noProof/>
          <w:sz w:val="24"/>
          <w:szCs w:val="24"/>
          <w:lang/>
        </w:rPr>
        <w:t>је тражено</w:t>
      </w:r>
      <w:r w:rsidRPr="00AF0C06">
        <w:rPr>
          <w:rFonts w:ascii="Times New Roman" w:hAnsi="Times New Roman" w:cs="Times New Roman"/>
          <w:noProof/>
          <w:sz w:val="24"/>
          <w:szCs w:val="24"/>
          <w:lang/>
        </w:rPr>
        <w:t xml:space="preserve"> да наведу шта их мотивише да посете неки културни догађај. Требало је изабрати </w:t>
      </w:r>
      <w:r w:rsidRPr="00AF0C06">
        <w:rPr>
          <w:rFonts w:ascii="Times New Roman" w:hAnsi="Times New Roman" w:cs="Times New Roman"/>
          <w:noProof/>
          <w:sz w:val="24"/>
          <w:szCs w:val="24"/>
          <w:lang/>
        </w:rPr>
        <w:t xml:space="preserve">два </w:t>
      </w:r>
      <w:r w:rsidRPr="00AF0C06">
        <w:rPr>
          <w:rFonts w:ascii="Times New Roman" w:hAnsi="Times New Roman" w:cs="Times New Roman"/>
          <w:noProof/>
          <w:sz w:val="24"/>
          <w:szCs w:val="24"/>
          <w:lang/>
        </w:rPr>
        <w:t>основна услова. Када су рангирани сви наведени критеријуми, примећено је да је</w:t>
      </w:r>
      <w:r w:rsidRPr="00AF0C06">
        <w:rPr>
          <w:rFonts w:ascii="Times New Roman" w:hAnsi="Times New Roman" w:cs="Times New Roman"/>
          <w:noProof/>
          <w:sz w:val="24"/>
          <w:szCs w:val="24"/>
          <w:lang/>
        </w:rPr>
        <w:t xml:space="preserve"> за</w:t>
      </w:r>
      <w:r w:rsidRPr="00AF0C06">
        <w:rPr>
          <w:rFonts w:ascii="Times New Roman" w:hAnsi="Times New Roman" w:cs="Times New Roman"/>
          <w:noProof/>
          <w:sz w:val="24"/>
          <w:szCs w:val="24"/>
          <w:lang/>
        </w:rPr>
        <w:t xml:space="preserve"> </w:t>
      </w:r>
      <w:r w:rsidRPr="00AF0C06">
        <w:rPr>
          <w:rFonts w:ascii="Times New Roman" w:hAnsi="Times New Roman" w:cs="Times New Roman"/>
          <w:noProof/>
          <w:sz w:val="24"/>
          <w:szCs w:val="24"/>
          <w:lang/>
        </w:rPr>
        <w:t xml:space="preserve">више од трећине испитаних </w:t>
      </w:r>
      <w:r w:rsidRPr="00D33C02">
        <w:rPr>
          <w:rFonts w:ascii="Times New Roman" w:hAnsi="Times New Roman" w:cs="Times New Roman"/>
          <w:noProof/>
          <w:sz w:val="24"/>
          <w:szCs w:val="24"/>
          <w:lang/>
        </w:rPr>
        <w:t>(33,8%)</w:t>
      </w:r>
      <w:r w:rsidRPr="00D33C02">
        <w:rPr>
          <w:rFonts w:ascii="Times New Roman" w:hAnsi="Times New Roman" w:cs="Times New Roman"/>
          <w:noProof/>
          <w:sz w:val="24"/>
          <w:szCs w:val="24"/>
          <w:lang/>
        </w:rPr>
        <w:t xml:space="preserve"> основни критеријум за одлазак на неки културно дешавање</w:t>
      </w:r>
      <w:r w:rsidRPr="00D33C02">
        <w:rPr>
          <w:rFonts w:ascii="Times New Roman" w:hAnsi="Times New Roman" w:cs="Times New Roman"/>
          <w:noProof/>
          <w:sz w:val="24"/>
          <w:szCs w:val="24"/>
          <w:lang/>
        </w:rPr>
        <w:t xml:space="preserve"> интересантна</w:t>
      </w:r>
      <w:r w:rsidRPr="00D33C02">
        <w:rPr>
          <w:rFonts w:ascii="Times New Roman" w:hAnsi="Times New Roman" w:cs="Times New Roman"/>
          <w:noProof/>
          <w:sz w:val="24"/>
          <w:szCs w:val="24"/>
          <w:lang/>
        </w:rPr>
        <w:t xml:space="preserve"> тема догађаја, док је на другом месту </w:t>
      </w:r>
      <w:r w:rsidRPr="00D33C02">
        <w:rPr>
          <w:rFonts w:ascii="Times New Roman" w:hAnsi="Times New Roman" w:cs="Times New Roman"/>
          <w:noProof/>
          <w:sz w:val="24"/>
          <w:szCs w:val="24"/>
          <w:lang/>
        </w:rPr>
        <w:t>квалитет догађаја</w:t>
      </w:r>
      <w:r w:rsidRPr="00D33C02">
        <w:rPr>
          <w:rFonts w:ascii="Times New Roman" w:hAnsi="Times New Roman" w:cs="Times New Roman"/>
          <w:noProof/>
          <w:sz w:val="24"/>
          <w:szCs w:val="24"/>
          <w:lang/>
        </w:rPr>
        <w:t xml:space="preserve">, који наводи </w:t>
      </w:r>
      <w:r w:rsidRPr="00D33C02">
        <w:rPr>
          <w:rFonts w:ascii="Times New Roman" w:hAnsi="Times New Roman" w:cs="Times New Roman"/>
          <w:noProof/>
          <w:sz w:val="24"/>
          <w:szCs w:val="24"/>
          <w:lang/>
        </w:rPr>
        <w:t>21,2</w:t>
      </w:r>
      <w:r w:rsidRPr="00D33C02">
        <w:rPr>
          <w:rFonts w:ascii="Times New Roman" w:hAnsi="Times New Roman" w:cs="Times New Roman"/>
          <w:noProof/>
          <w:sz w:val="24"/>
          <w:szCs w:val="24"/>
          <w:lang/>
        </w:rPr>
        <w:t>% грађана</w:t>
      </w:r>
      <w:r w:rsidR="00C66488">
        <w:rPr>
          <w:rFonts w:ascii="Times New Roman" w:hAnsi="Times New Roman" w:cs="Times New Roman"/>
          <w:noProof/>
          <w:sz w:val="24"/>
          <w:szCs w:val="24"/>
          <w:lang/>
        </w:rPr>
        <w:t>.</w:t>
      </w:r>
    </w:p>
    <w:p w:rsidR="00D33C02" w:rsidRPr="00D33C02" w:rsidRDefault="00D33C02" w:rsidP="00C66488">
      <w:pPr>
        <w:spacing w:after="0"/>
        <w:jc w:val="both"/>
        <w:rPr>
          <w:rFonts w:ascii="Times New Roman" w:hAnsi="Times New Roman" w:cs="Times New Roman"/>
          <w:noProof/>
          <w:sz w:val="24"/>
          <w:szCs w:val="24"/>
          <w:lang/>
        </w:rPr>
      </w:pPr>
      <w:r w:rsidRPr="00C66488">
        <w:rPr>
          <w:rFonts w:ascii="Times New Roman" w:hAnsi="Times New Roman" w:cs="Times New Roman"/>
          <w:noProof/>
          <w:sz w:val="24"/>
          <w:szCs w:val="24"/>
          <w:lang/>
        </w:rPr>
        <w:t>Табела</w:t>
      </w:r>
      <w:r w:rsidR="00C66488" w:rsidRPr="00C66488">
        <w:rPr>
          <w:rFonts w:ascii="Times New Roman" w:hAnsi="Times New Roman" w:cs="Times New Roman"/>
          <w:noProof/>
          <w:sz w:val="24"/>
          <w:szCs w:val="24"/>
          <w:lang/>
        </w:rPr>
        <w:t xml:space="preserve"> 3</w:t>
      </w:r>
      <w:r w:rsidRPr="00C66488">
        <w:rPr>
          <w:rFonts w:ascii="Times New Roman" w:hAnsi="Times New Roman" w:cs="Times New Roman"/>
          <w:noProof/>
          <w:sz w:val="24"/>
          <w:szCs w:val="24"/>
          <w:lang/>
        </w:rPr>
        <w:t>: Мотиви</w:t>
      </w:r>
      <w:r w:rsidRPr="00D33C02">
        <w:rPr>
          <w:rFonts w:ascii="Times New Roman" w:hAnsi="Times New Roman" w:cs="Times New Roman"/>
          <w:noProof/>
          <w:sz w:val="24"/>
          <w:szCs w:val="24"/>
          <w:lang/>
        </w:rPr>
        <w:t xml:space="preserve"> за посећивање културних догађаја према укупном броју одговора испитаника</w:t>
      </w:r>
    </w:p>
    <w:tbl>
      <w:tblPr>
        <w:tblStyle w:val="LightGrid-Accent12"/>
        <w:tblW w:w="8896" w:type="dxa"/>
        <w:tblInd w:w="198" w:type="dxa"/>
        <w:tblLook w:val="04A0"/>
      </w:tblPr>
      <w:tblGrid>
        <w:gridCol w:w="2745"/>
        <w:gridCol w:w="1603"/>
        <w:gridCol w:w="2650"/>
        <w:gridCol w:w="1898"/>
      </w:tblGrid>
      <w:tr w:rsidR="00D33C02" w:rsidRPr="00D33C02" w:rsidTr="00D33C02">
        <w:trPr>
          <w:cnfStyle w:val="100000000000"/>
          <w:trHeight w:val="227"/>
        </w:trPr>
        <w:tc>
          <w:tcPr>
            <w:cnfStyle w:val="001000000000"/>
            <w:tcW w:w="8896" w:type="dxa"/>
            <w:gridSpan w:val="4"/>
            <w:vAlign w:val="center"/>
          </w:tcPr>
          <w:p w:rsidR="00D33C02" w:rsidRPr="00D33C02" w:rsidRDefault="00D33C02" w:rsidP="00D33C02">
            <w:pPr>
              <w:jc w:val="center"/>
              <w:rPr>
                <w:rFonts w:ascii="Times New Roman" w:hAnsi="Times New Roman"/>
                <w:noProof/>
                <w:sz w:val="20"/>
                <w:szCs w:val="20"/>
              </w:rPr>
            </w:pPr>
            <w:r w:rsidRPr="00D33C02">
              <w:rPr>
                <w:rFonts w:ascii="Times New Roman" w:hAnsi="Times New Roman"/>
                <w:noProof/>
                <w:sz w:val="20"/>
                <w:szCs w:val="20"/>
              </w:rPr>
              <w:t>Мултипли одговори</w:t>
            </w:r>
          </w:p>
        </w:tc>
      </w:tr>
      <w:tr w:rsidR="00D33C02" w:rsidRPr="00D33C02" w:rsidTr="00D33C02">
        <w:trPr>
          <w:cnfStyle w:val="000000100000"/>
          <w:trHeight w:val="227"/>
        </w:trPr>
        <w:tc>
          <w:tcPr>
            <w:cnfStyle w:val="001000000000"/>
            <w:tcW w:w="2745" w:type="dxa"/>
            <w:vAlign w:val="center"/>
          </w:tcPr>
          <w:p w:rsidR="00D33C02" w:rsidRPr="00D33C02" w:rsidRDefault="00D33C02" w:rsidP="00D33C02">
            <w:pPr>
              <w:jc w:val="center"/>
              <w:rPr>
                <w:rFonts w:ascii="Times New Roman" w:hAnsi="Times New Roman"/>
                <w:noProof/>
                <w:sz w:val="20"/>
                <w:szCs w:val="20"/>
              </w:rPr>
            </w:pPr>
            <w:r w:rsidRPr="00D33C02">
              <w:rPr>
                <w:rFonts w:ascii="Times New Roman" w:hAnsi="Times New Roman"/>
                <w:noProof/>
                <w:sz w:val="20"/>
                <w:szCs w:val="20"/>
              </w:rPr>
              <w:t>Интересантна тематика</w:t>
            </w:r>
          </w:p>
        </w:tc>
        <w:tc>
          <w:tcPr>
            <w:tcW w:w="1603" w:type="dxa"/>
            <w:vAlign w:val="center"/>
          </w:tcPr>
          <w:p w:rsidR="00D33C02" w:rsidRPr="00D33C02" w:rsidRDefault="00D33C02" w:rsidP="00D33C02">
            <w:pPr>
              <w:jc w:val="center"/>
              <w:cnfStyle w:val="000000100000"/>
              <w:rPr>
                <w:rFonts w:eastAsia="Calibri" w:cs="Times New Roman"/>
                <w:noProof/>
                <w:sz w:val="20"/>
                <w:szCs w:val="20"/>
              </w:rPr>
            </w:pPr>
            <w:r w:rsidRPr="00D33C02">
              <w:rPr>
                <w:rFonts w:eastAsia="Calibri" w:cs="Times New Roman"/>
                <w:noProof/>
                <w:sz w:val="20"/>
                <w:szCs w:val="20"/>
              </w:rPr>
              <w:t>33,8%</w:t>
            </w:r>
          </w:p>
        </w:tc>
        <w:tc>
          <w:tcPr>
            <w:tcW w:w="2650" w:type="dxa"/>
            <w:vAlign w:val="center"/>
          </w:tcPr>
          <w:p w:rsidR="00D33C02" w:rsidRPr="00D33C02" w:rsidRDefault="00D33C02" w:rsidP="00D33C02">
            <w:pPr>
              <w:jc w:val="center"/>
              <w:cnfStyle w:val="000000100000"/>
              <w:rPr>
                <w:rFonts w:eastAsia="Calibri" w:cs="Times New Roman"/>
                <w:b/>
                <w:noProof/>
                <w:sz w:val="20"/>
                <w:szCs w:val="20"/>
              </w:rPr>
            </w:pPr>
            <w:r w:rsidRPr="00D33C02">
              <w:rPr>
                <w:rFonts w:eastAsia="Calibri" w:cs="Times New Roman"/>
                <w:b/>
                <w:noProof/>
                <w:sz w:val="20"/>
                <w:szCs w:val="20"/>
              </w:rPr>
              <w:t>Популарност учесника</w:t>
            </w:r>
          </w:p>
        </w:tc>
        <w:tc>
          <w:tcPr>
            <w:tcW w:w="1898" w:type="dxa"/>
            <w:vAlign w:val="center"/>
          </w:tcPr>
          <w:p w:rsidR="00D33C02" w:rsidRPr="00D33C02" w:rsidRDefault="00D33C02" w:rsidP="00D33C02">
            <w:pPr>
              <w:jc w:val="center"/>
              <w:cnfStyle w:val="000000100000"/>
              <w:rPr>
                <w:rFonts w:eastAsia="Calibri" w:cs="Times New Roman"/>
                <w:noProof/>
                <w:sz w:val="20"/>
                <w:szCs w:val="20"/>
              </w:rPr>
            </w:pPr>
            <w:r w:rsidRPr="00D33C02">
              <w:rPr>
                <w:rFonts w:eastAsia="Calibri" w:cs="Times New Roman"/>
                <w:noProof/>
                <w:sz w:val="20"/>
                <w:szCs w:val="20"/>
              </w:rPr>
              <w:t>6,1%</w:t>
            </w:r>
          </w:p>
        </w:tc>
      </w:tr>
      <w:tr w:rsidR="00D33C02" w:rsidRPr="00D33C02" w:rsidTr="00D33C02">
        <w:trPr>
          <w:cnfStyle w:val="000000010000"/>
          <w:trHeight w:val="227"/>
        </w:trPr>
        <w:tc>
          <w:tcPr>
            <w:cnfStyle w:val="001000000000"/>
            <w:tcW w:w="2745" w:type="dxa"/>
            <w:vAlign w:val="center"/>
          </w:tcPr>
          <w:p w:rsidR="00D33C02" w:rsidRPr="00D33C02" w:rsidRDefault="00D33C02" w:rsidP="00D33C02">
            <w:pPr>
              <w:jc w:val="center"/>
              <w:rPr>
                <w:rFonts w:ascii="Times New Roman" w:hAnsi="Times New Roman"/>
                <w:noProof/>
                <w:sz w:val="20"/>
                <w:szCs w:val="20"/>
              </w:rPr>
            </w:pPr>
            <w:r w:rsidRPr="00D33C02">
              <w:rPr>
                <w:rFonts w:ascii="Times New Roman" w:hAnsi="Times New Roman"/>
                <w:noProof/>
                <w:sz w:val="20"/>
                <w:szCs w:val="20"/>
              </w:rPr>
              <w:t>Место догађаја</w:t>
            </w:r>
          </w:p>
        </w:tc>
        <w:tc>
          <w:tcPr>
            <w:tcW w:w="1603" w:type="dxa"/>
            <w:vAlign w:val="center"/>
          </w:tcPr>
          <w:p w:rsidR="00D33C02" w:rsidRPr="00D33C02" w:rsidRDefault="00D33C02" w:rsidP="00D33C02">
            <w:pPr>
              <w:jc w:val="center"/>
              <w:cnfStyle w:val="000000010000"/>
              <w:rPr>
                <w:rFonts w:eastAsia="Calibri" w:cs="Times New Roman"/>
                <w:noProof/>
                <w:sz w:val="20"/>
                <w:szCs w:val="20"/>
              </w:rPr>
            </w:pPr>
            <w:r w:rsidRPr="00D33C02">
              <w:rPr>
                <w:rFonts w:eastAsia="Calibri" w:cs="Times New Roman"/>
                <w:noProof/>
                <w:sz w:val="20"/>
                <w:szCs w:val="20"/>
              </w:rPr>
              <w:t>5,5%</w:t>
            </w:r>
          </w:p>
        </w:tc>
        <w:tc>
          <w:tcPr>
            <w:tcW w:w="2650" w:type="dxa"/>
            <w:vAlign w:val="center"/>
          </w:tcPr>
          <w:p w:rsidR="00D33C02" w:rsidRPr="00D33C02" w:rsidRDefault="00D33C02" w:rsidP="00D33C02">
            <w:pPr>
              <w:jc w:val="center"/>
              <w:cnfStyle w:val="000000010000"/>
              <w:rPr>
                <w:rFonts w:eastAsia="Calibri" w:cs="Times New Roman"/>
                <w:b/>
                <w:noProof/>
                <w:sz w:val="20"/>
                <w:szCs w:val="20"/>
              </w:rPr>
            </w:pPr>
            <w:r w:rsidRPr="00D33C02">
              <w:rPr>
                <w:rFonts w:eastAsia="Calibri" w:cs="Times New Roman"/>
                <w:b/>
                <w:noProof/>
                <w:sz w:val="20"/>
                <w:szCs w:val="20"/>
              </w:rPr>
              <w:t>Цена</w:t>
            </w:r>
          </w:p>
        </w:tc>
        <w:tc>
          <w:tcPr>
            <w:tcW w:w="1898" w:type="dxa"/>
            <w:vAlign w:val="center"/>
          </w:tcPr>
          <w:p w:rsidR="00D33C02" w:rsidRPr="00D33C02" w:rsidRDefault="00D33C02" w:rsidP="00D33C02">
            <w:pPr>
              <w:jc w:val="center"/>
              <w:cnfStyle w:val="000000010000"/>
              <w:rPr>
                <w:rFonts w:eastAsia="Calibri" w:cs="Times New Roman"/>
                <w:noProof/>
                <w:sz w:val="20"/>
                <w:szCs w:val="20"/>
              </w:rPr>
            </w:pPr>
            <w:r w:rsidRPr="00D33C02">
              <w:rPr>
                <w:rFonts w:eastAsia="Calibri" w:cs="Times New Roman"/>
                <w:noProof/>
                <w:sz w:val="20"/>
                <w:szCs w:val="20"/>
              </w:rPr>
              <w:t>8,7%</w:t>
            </w:r>
          </w:p>
        </w:tc>
      </w:tr>
      <w:tr w:rsidR="00D33C02" w:rsidRPr="00D33C02" w:rsidTr="00D33C02">
        <w:trPr>
          <w:cnfStyle w:val="000000100000"/>
          <w:trHeight w:val="227"/>
        </w:trPr>
        <w:tc>
          <w:tcPr>
            <w:cnfStyle w:val="001000000000"/>
            <w:tcW w:w="2745" w:type="dxa"/>
            <w:vAlign w:val="center"/>
          </w:tcPr>
          <w:p w:rsidR="00D33C02" w:rsidRPr="00D33C02" w:rsidRDefault="00D33C02" w:rsidP="00D33C02">
            <w:pPr>
              <w:jc w:val="center"/>
              <w:rPr>
                <w:rFonts w:ascii="Times New Roman" w:hAnsi="Times New Roman"/>
                <w:noProof/>
                <w:sz w:val="20"/>
                <w:szCs w:val="20"/>
              </w:rPr>
            </w:pPr>
            <w:r w:rsidRPr="00D33C02">
              <w:rPr>
                <w:rFonts w:ascii="Times New Roman" w:hAnsi="Times New Roman"/>
                <w:noProof/>
                <w:sz w:val="20"/>
                <w:szCs w:val="20"/>
              </w:rPr>
              <w:t>Значај догађаја</w:t>
            </w:r>
          </w:p>
        </w:tc>
        <w:tc>
          <w:tcPr>
            <w:tcW w:w="1603" w:type="dxa"/>
            <w:vAlign w:val="center"/>
          </w:tcPr>
          <w:p w:rsidR="00D33C02" w:rsidRPr="00D33C02" w:rsidRDefault="00D33C02" w:rsidP="00D33C02">
            <w:pPr>
              <w:jc w:val="center"/>
              <w:cnfStyle w:val="000000100000"/>
              <w:rPr>
                <w:rFonts w:eastAsia="Calibri" w:cs="Times New Roman"/>
                <w:noProof/>
                <w:sz w:val="20"/>
                <w:szCs w:val="20"/>
              </w:rPr>
            </w:pPr>
            <w:r w:rsidRPr="00D33C02">
              <w:rPr>
                <w:rFonts w:eastAsia="Calibri" w:cs="Times New Roman"/>
                <w:noProof/>
                <w:sz w:val="20"/>
                <w:szCs w:val="20"/>
              </w:rPr>
              <w:t>6.9%</w:t>
            </w:r>
          </w:p>
        </w:tc>
        <w:tc>
          <w:tcPr>
            <w:tcW w:w="2650" w:type="dxa"/>
            <w:vAlign w:val="center"/>
          </w:tcPr>
          <w:p w:rsidR="00D33C02" w:rsidRPr="00D33C02" w:rsidRDefault="00D33C02" w:rsidP="00D33C02">
            <w:pPr>
              <w:jc w:val="center"/>
              <w:cnfStyle w:val="000000100000"/>
              <w:rPr>
                <w:rFonts w:eastAsia="Calibri" w:cs="Times New Roman"/>
                <w:b/>
                <w:noProof/>
                <w:sz w:val="20"/>
                <w:szCs w:val="20"/>
              </w:rPr>
            </w:pPr>
            <w:r w:rsidRPr="00D33C02">
              <w:rPr>
                <w:rFonts w:eastAsia="Calibri" w:cs="Times New Roman"/>
                <w:b/>
                <w:noProof/>
                <w:sz w:val="20"/>
                <w:szCs w:val="20"/>
              </w:rPr>
              <w:t>Квалитет догађаја</w:t>
            </w:r>
          </w:p>
        </w:tc>
        <w:tc>
          <w:tcPr>
            <w:tcW w:w="1898" w:type="dxa"/>
            <w:vAlign w:val="center"/>
          </w:tcPr>
          <w:p w:rsidR="00D33C02" w:rsidRPr="00D33C02" w:rsidRDefault="00D33C02" w:rsidP="00D33C02">
            <w:pPr>
              <w:jc w:val="center"/>
              <w:cnfStyle w:val="000000100000"/>
              <w:rPr>
                <w:rFonts w:eastAsia="Calibri" w:cs="Times New Roman"/>
                <w:noProof/>
                <w:sz w:val="20"/>
                <w:szCs w:val="20"/>
              </w:rPr>
            </w:pPr>
            <w:r w:rsidRPr="00D33C02">
              <w:rPr>
                <w:rFonts w:eastAsia="Calibri" w:cs="Times New Roman"/>
                <w:noProof/>
                <w:sz w:val="20"/>
                <w:szCs w:val="20"/>
              </w:rPr>
              <w:t>21,2%</w:t>
            </w:r>
          </w:p>
        </w:tc>
      </w:tr>
      <w:tr w:rsidR="00D33C02" w:rsidRPr="00D33C02" w:rsidTr="00D33C02">
        <w:trPr>
          <w:cnfStyle w:val="000000010000"/>
          <w:trHeight w:val="227"/>
        </w:trPr>
        <w:tc>
          <w:tcPr>
            <w:cnfStyle w:val="001000000000"/>
            <w:tcW w:w="2745" w:type="dxa"/>
            <w:vAlign w:val="center"/>
          </w:tcPr>
          <w:p w:rsidR="00D33C02" w:rsidRPr="00D33C02" w:rsidRDefault="00D33C02" w:rsidP="00D33C02">
            <w:pPr>
              <w:jc w:val="center"/>
              <w:rPr>
                <w:rFonts w:ascii="Times New Roman" w:hAnsi="Times New Roman"/>
                <w:noProof/>
                <w:sz w:val="20"/>
                <w:szCs w:val="20"/>
              </w:rPr>
            </w:pPr>
            <w:r w:rsidRPr="00D33C02">
              <w:rPr>
                <w:rFonts w:ascii="Times New Roman" w:hAnsi="Times New Roman"/>
                <w:noProof/>
                <w:sz w:val="20"/>
                <w:szCs w:val="20"/>
              </w:rPr>
              <w:t>Медијска промоција</w:t>
            </w:r>
          </w:p>
        </w:tc>
        <w:tc>
          <w:tcPr>
            <w:tcW w:w="1603" w:type="dxa"/>
            <w:vAlign w:val="center"/>
          </w:tcPr>
          <w:p w:rsidR="00D33C02" w:rsidRPr="00D33C02" w:rsidRDefault="00D33C02" w:rsidP="00D33C02">
            <w:pPr>
              <w:jc w:val="center"/>
              <w:cnfStyle w:val="000000010000"/>
              <w:rPr>
                <w:rFonts w:eastAsia="Calibri" w:cs="Times New Roman"/>
                <w:noProof/>
                <w:sz w:val="20"/>
                <w:szCs w:val="20"/>
              </w:rPr>
            </w:pPr>
            <w:r w:rsidRPr="00D33C02">
              <w:rPr>
                <w:rFonts w:eastAsia="Calibri" w:cs="Times New Roman"/>
                <w:noProof/>
                <w:sz w:val="20"/>
                <w:szCs w:val="20"/>
              </w:rPr>
              <w:t>2,6%</w:t>
            </w:r>
          </w:p>
        </w:tc>
        <w:tc>
          <w:tcPr>
            <w:tcW w:w="2650" w:type="dxa"/>
            <w:vAlign w:val="center"/>
          </w:tcPr>
          <w:p w:rsidR="00D33C02" w:rsidRPr="00D33C02" w:rsidRDefault="00D33C02" w:rsidP="00D33C02">
            <w:pPr>
              <w:jc w:val="center"/>
              <w:cnfStyle w:val="000000010000"/>
              <w:rPr>
                <w:rFonts w:eastAsia="Calibri" w:cs="Times New Roman"/>
                <w:b/>
                <w:noProof/>
                <w:sz w:val="20"/>
                <w:szCs w:val="20"/>
              </w:rPr>
            </w:pPr>
            <w:r w:rsidRPr="00D33C02">
              <w:rPr>
                <w:rFonts w:eastAsia="Calibri" w:cs="Times New Roman"/>
                <w:b/>
                <w:noProof/>
                <w:sz w:val="20"/>
                <w:szCs w:val="20"/>
              </w:rPr>
              <w:t>Амбијент</w:t>
            </w:r>
          </w:p>
        </w:tc>
        <w:tc>
          <w:tcPr>
            <w:tcW w:w="1898" w:type="dxa"/>
            <w:vAlign w:val="center"/>
          </w:tcPr>
          <w:p w:rsidR="00D33C02" w:rsidRPr="00D33C02" w:rsidRDefault="00D33C02" w:rsidP="00D33C02">
            <w:pPr>
              <w:jc w:val="center"/>
              <w:cnfStyle w:val="000000010000"/>
              <w:rPr>
                <w:rFonts w:eastAsia="Calibri" w:cs="Times New Roman"/>
                <w:noProof/>
                <w:sz w:val="20"/>
                <w:szCs w:val="20"/>
              </w:rPr>
            </w:pPr>
            <w:r w:rsidRPr="00D33C02">
              <w:rPr>
                <w:rFonts w:eastAsia="Calibri" w:cs="Times New Roman"/>
                <w:noProof/>
                <w:sz w:val="20"/>
                <w:szCs w:val="20"/>
              </w:rPr>
              <w:t>3,2%</w:t>
            </w:r>
          </w:p>
        </w:tc>
      </w:tr>
      <w:tr w:rsidR="00D33C02" w:rsidRPr="00D33C02" w:rsidTr="00D33C02">
        <w:trPr>
          <w:cnfStyle w:val="000000100000"/>
          <w:trHeight w:val="227"/>
        </w:trPr>
        <w:tc>
          <w:tcPr>
            <w:cnfStyle w:val="001000000000"/>
            <w:tcW w:w="2745" w:type="dxa"/>
            <w:vAlign w:val="center"/>
          </w:tcPr>
          <w:p w:rsidR="00D33C02" w:rsidRPr="00D33C02" w:rsidRDefault="00D33C02" w:rsidP="00D33C02">
            <w:pPr>
              <w:jc w:val="center"/>
              <w:rPr>
                <w:rFonts w:ascii="Times New Roman" w:hAnsi="Times New Roman"/>
                <w:noProof/>
                <w:sz w:val="20"/>
                <w:szCs w:val="20"/>
              </w:rPr>
            </w:pPr>
            <w:r w:rsidRPr="00D33C02">
              <w:rPr>
                <w:rFonts w:ascii="Times New Roman" w:hAnsi="Times New Roman"/>
                <w:noProof/>
                <w:sz w:val="20"/>
                <w:szCs w:val="20"/>
              </w:rPr>
              <w:t>Иновативност догађаја</w:t>
            </w:r>
          </w:p>
        </w:tc>
        <w:tc>
          <w:tcPr>
            <w:tcW w:w="1603" w:type="dxa"/>
            <w:vAlign w:val="center"/>
          </w:tcPr>
          <w:p w:rsidR="00D33C02" w:rsidRPr="00D33C02" w:rsidRDefault="00D33C02" w:rsidP="00D33C02">
            <w:pPr>
              <w:jc w:val="center"/>
              <w:cnfStyle w:val="000000100000"/>
              <w:rPr>
                <w:rFonts w:eastAsia="Calibri" w:cs="Times New Roman"/>
                <w:noProof/>
                <w:sz w:val="20"/>
                <w:szCs w:val="20"/>
              </w:rPr>
            </w:pPr>
            <w:r w:rsidRPr="00D33C02">
              <w:rPr>
                <w:rFonts w:eastAsia="Calibri" w:cs="Times New Roman"/>
                <w:noProof/>
                <w:sz w:val="20"/>
                <w:szCs w:val="20"/>
              </w:rPr>
              <w:t>3,8%</w:t>
            </w:r>
          </w:p>
        </w:tc>
        <w:tc>
          <w:tcPr>
            <w:tcW w:w="2650" w:type="dxa"/>
            <w:vAlign w:val="center"/>
          </w:tcPr>
          <w:p w:rsidR="00D33C02" w:rsidRPr="00D33C02" w:rsidRDefault="00D33C02" w:rsidP="00D33C02">
            <w:pPr>
              <w:jc w:val="center"/>
              <w:cnfStyle w:val="000000100000"/>
              <w:rPr>
                <w:rFonts w:eastAsia="Calibri" w:cs="Times New Roman"/>
                <w:b/>
                <w:noProof/>
                <w:sz w:val="20"/>
                <w:szCs w:val="20"/>
              </w:rPr>
            </w:pPr>
            <w:r w:rsidRPr="00D33C02">
              <w:rPr>
                <w:rFonts w:eastAsia="Calibri" w:cs="Times New Roman"/>
                <w:b/>
                <w:noProof/>
                <w:sz w:val="20"/>
                <w:szCs w:val="20"/>
              </w:rPr>
              <w:t>Могућност резервације</w:t>
            </w:r>
          </w:p>
        </w:tc>
        <w:tc>
          <w:tcPr>
            <w:tcW w:w="1898" w:type="dxa"/>
            <w:vAlign w:val="center"/>
          </w:tcPr>
          <w:p w:rsidR="00D33C02" w:rsidRPr="00D33C02" w:rsidRDefault="00D33C02" w:rsidP="00D33C02">
            <w:pPr>
              <w:jc w:val="center"/>
              <w:cnfStyle w:val="000000100000"/>
              <w:rPr>
                <w:rFonts w:eastAsia="Calibri" w:cs="Times New Roman"/>
                <w:noProof/>
                <w:sz w:val="20"/>
                <w:szCs w:val="20"/>
              </w:rPr>
            </w:pPr>
            <w:r w:rsidRPr="00D33C02">
              <w:rPr>
                <w:rFonts w:eastAsia="Calibri" w:cs="Times New Roman"/>
                <w:noProof/>
                <w:sz w:val="20"/>
                <w:szCs w:val="20"/>
              </w:rPr>
              <w:t>1,3%</w:t>
            </w:r>
          </w:p>
        </w:tc>
      </w:tr>
      <w:tr w:rsidR="00D33C02" w:rsidRPr="00D33C02" w:rsidTr="00D33C02">
        <w:trPr>
          <w:cnfStyle w:val="000000010000"/>
          <w:trHeight w:val="227"/>
        </w:trPr>
        <w:tc>
          <w:tcPr>
            <w:cnfStyle w:val="001000000000"/>
            <w:tcW w:w="2745" w:type="dxa"/>
            <w:vAlign w:val="center"/>
          </w:tcPr>
          <w:p w:rsidR="00D33C02" w:rsidRPr="00D33C02" w:rsidRDefault="00D33C02" w:rsidP="00D33C02">
            <w:pPr>
              <w:jc w:val="center"/>
              <w:rPr>
                <w:rFonts w:ascii="Times New Roman" w:hAnsi="Times New Roman"/>
                <w:noProof/>
                <w:sz w:val="20"/>
                <w:szCs w:val="20"/>
              </w:rPr>
            </w:pPr>
            <w:r w:rsidRPr="00D33C02">
              <w:rPr>
                <w:rFonts w:ascii="Times New Roman" w:hAnsi="Times New Roman"/>
                <w:noProof/>
                <w:sz w:val="20"/>
                <w:szCs w:val="20"/>
              </w:rPr>
              <w:t>Време догађаја</w:t>
            </w:r>
          </w:p>
        </w:tc>
        <w:tc>
          <w:tcPr>
            <w:tcW w:w="1603" w:type="dxa"/>
            <w:vAlign w:val="center"/>
          </w:tcPr>
          <w:p w:rsidR="00D33C02" w:rsidRPr="00D33C02" w:rsidRDefault="00D33C02" w:rsidP="00D33C02">
            <w:pPr>
              <w:jc w:val="center"/>
              <w:cnfStyle w:val="000000010000"/>
              <w:rPr>
                <w:rFonts w:eastAsia="Calibri" w:cs="Times New Roman"/>
                <w:noProof/>
                <w:sz w:val="20"/>
                <w:szCs w:val="20"/>
              </w:rPr>
            </w:pPr>
            <w:r w:rsidRPr="00D33C02">
              <w:rPr>
                <w:rFonts w:eastAsia="Calibri" w:cs="Times New Roman"/>
                <w:noProof/>
                <w:sz w:val="20"/>
                <w:szCs w:val="20"/>
              </w:rPr>
              <w:t>6,2%</w:t>
            </w:r>
          </w:p>
        </w:tc>
        <w:tc>
          <w:tcPr>
            <w:tcW w:w="2650" w:type="dxa"/>
            <w:vAlign w:val="center"/>
          </w:tcPr>
          <w:p w:rsidR="00D33C02" w:rsidRPr="00D33C02" w:rsidRDefault="00D33C02" w:rsidP="00D33C02">
            <w:pPr>
              <w:jc w:val="center"/>
              <w:cnfStyle w:val="000000010000"/>
              <w:rPr>
                <w:rFonts w:eastAsia="Calibri" w:cs="Times New Roman"/>
                <w:noProof/>
                <w:sz w:val="20"/>
                <w:szCs w:val="20"/>
              </w:rPr>
            </w:pPr>
          </w:p>
        </w:tc>
        <w:tc>
          <w:tcPr>
            <w:tcW w:w="1898" w:type="dxa"/>
            <w:vAlign w:val="center"/>
          </w:tcPr>
          <w:p w:rsidR="00D33C02" w:rsidRPr="00D33C02" w:rsidRDefault="00D33C02" w:rsidP="00D33C02">
            <w:pPr>
              <w:jc w:val="center"/>
              <w:cnfStyle w:val="000000010000"/>
              <w:rPr>
                <w:rFonts w:eastAsia="Calibri" w:cs="Times New Roman"/>
                <w:noProof/>
                <w:sz w:val="20"/>
                <w:szCs w:val="20"/>
              </w:rPr>
            </w:pPr>
          </w:p>
        </w:tc>
      </w:tr>
    </w:tbl>
    <w:p w:rsidR="00D33C02" w:rsidRPr="00D33C02" w:rsidRDefault="00D33C02" w:rsidP="00D33C02">
      <w:pPr>
        <w:spacing w:after="0"/>
        <w:jc w:val="both"/>
        <w:rPr>
          <w:rFonts w:ascii="Times New Roman" w:hAnsi="Times New Roman" w:cs="Times New Roman"/>
          <w:noProof/>
          <w:sz w:val="24"/>
          <w:szCs w:val="24"/>
          <w:lang/>
        </w:rPr>
      </w:pPr>
    </w:p>
    <w:p w:rsidR="00D33C02" w:rsidRPr="00C66488" w:rsidRDefault="00D33C02" w:rsidP="00C66488">
      <w:pPr>
        <w:pStyle w:val="Heading2"/>
        <w:numPr>
          <w:ilvl w:val="1"/>
          <w:numId w:val="39"/>
        </w:numPr>
        <w:rPr>
          <w:b/>
          <w:noProof/>
          <w:lang/>
        </w:rPr>
      </w:pPr>
      <w:bookmarkStart w:id="35" w:name="_Toc36072311"/>
      <w:r w:rsidRPr="00C66488">
        <w:rPr>
          <w:b/>
          <w:noProof/>
          <w:lang w:val="sr-Cyrl-CS"/>
        </w:rPr>
        <w:t>Финансијске могућности за културну партиципацију</w:t>
      </w:r>
      <w:r w:rsidRPr="00C66488">
        <w:rPr>
          <w:b/>
          <w:noProof/>
          <w:lang/>
        </w:rPr>
        <w:t xml:space="preserve"> и цена културних програма</w:t>
      </w:r>
      <w:bookmarkEnd w:id="35"/>
      <w:r w:rsidRPr="00C66488">
        <w:rPr>
          <w:b/>
          <w:noProof/>
          <w:lang/>
        </w:rPr>
        <w:t xml:space="preserve"> </w:t>
      </w:r>
    </w:p>
    <w:p w:rsidR="00D33C02" w:rsidRPr="00D33C02" w:rsidRDefault="00D33C02" w:rsidP="00D33C02">
      <w:pPr>
        <w:spacing w:after="0"/>
        <w:jc w:val="both"/>
        <w:rPr>
          <w:rFonts w:ascii="Times New Roman" w:hAnsi="Times New Roman" w:cs="Times New Roman"/>
          <w:i/>
          <w:noProof/>
          <w:color w:val="FF0000"/>
          <w:sz w:val="24"/>
          <w:szCs w:val="24"/>
          <w:lang/>
        </w:rPr>
      </w:pPr>
    </w:p>
    <w:p w:rsidR="00D33C02" w:rsidRPr="00AF0C06" w:rsidRDefault="00D33C02" w:rsidP="00C66488">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 xml:space="preserve">Претходна истраживања Завода за проучавање културног развитка (Културне праксе грађана Србије, Културне потребе и навике грађана Србије) показала су да разлог непосећивања културних садржаја </w:t>
      </w:r>
      <w:r w:rsidRPr="00AF0C06">
        <w:rPr>
          <w:rFonts w:ascii="Times New Roman" w:hAnsi="Times New Roman" w:cs="Times New Roman"/>
          <w:sz w:val="24"/>
          <w:szCs w:val="24"/>
          <w:lang/>
        </w:rPr>
        <w:t xml:space="preserve">најчешће није лоша материјална ситуација грађана Србије. </w:t>
      </w:r>
    </w:p>
    <w:p w:rsidR="00D33C02" w:rsidRPr="00AF0C06" w:rsidRDefault="00D33C02" w:rsidP="00C66488">
      <w:pPr>
        <w:ind w:firstLine="720"/>
        <w:jc w:val="both"/>
        <w:rPr>
          <w:rFonts w:ascii="Times New Roman" w:hAnsi="Times New Roman" w:cs="Times New Roman"/>
          <w:noProof/>
          <w:sz w:val="24"/>
          <w:szCs w:val="24"/>
          <w:lang w:val="sr-Cyrl-CS"/>
        </w:rPr>
      </w:pPr>
      <w:r w:rsidRPr="00AF0C06">
        <w:rPr>
          <w:rFonts w:ascii="Times New Roman" w:hAnsi="Times New Roman" w:cs="Times New Roman"/>
          <w:noProof/>
          <w:sz w:val="24"/>
          <w:szCs w:val="24"/>
          <w:lang w:val="sr-Cyrl-CS"/>
        </w:rPr>
        <w:t>Ипак, реална издвајања за културу из личног или кућног буџета могу имати утицај на  учесталост и број посета одређеним културним дешавањима. У Сомбору се примања, судећи према одговорима испитаника, у највећој мери крећу око републичког просека, па највећи број грађана зарађује између 25.000 и 50.000 динара (213 – 426 евра), њих 39,1%. Испитаника са примањима преко 100.000,00 динара је тек нешто више од 1%. Више од четвртине грађана Сомбора ипак није желело да да одговор на ово питање, тако да и резултате треба узети са резервом.</w:t>
      </w:r>
    </w:p>
    <w:p w:rsidR="00D33C02" w:rsidRPr="00AF0C06" w:rsidRDefault="00D33C02" w:rsidP="00C66488">
      <w:pPr>
        <w:spacing w:after="0"/>
        <w:jc w:val="both"/>
        <w:rPr>
          <w:rFonts w:ascii="Times New Roman" w:hAnsi="Times New Roman" w:cs="Times New Roman"/>
          <w:noProof/>
          <w:sz w:val="24"/>
          <w:szCs w:val="24"/>
          <w:lang w:val="sr-Cyrl-CS"/>
        </w:rPr>
      </w:pPr>
      <w:r w:rsidRPr="00AF0C06">
        <w:rPr>
          <w:rFonts w:ascii="Times New Roman" w:hAnsi="Times New Roman" w:cs="Times New Roman"/>
          <w:noProof/>
          <w:sz w:val="24"/>
          <w:szCs w:val="24"/>
          <w:lang w:val="sr-Cyrl-CS"/>
        </w:rPr>
        <w:t>Графикон</w:t>
      </w:r>
      <w:r w:rsidR="00C66488" w:rsidRPr="00AF0C06">
        <w:rPr>
          <w:rFonts w:ascii="Times New Roman" w:hAnsi="Times New Roman" w:cs="Times New Roman"/>
          <w:noProof/>
          <w:sz w:val="24"/>
          <w:szCs w:val="24"/>
          <w:lang w:val="sr-Cyrl-CS"/>
        </w:rPr>
        <w:t xml:space="preserve"> 4</w:t>
      </w:r>
      <w:r w:rsidRPr="00AF0C06">
        <w:rPr>
          <w:rFonts w:ascii="Times New Roman" w:hAnsi="Times New Roman" w:cs="Times New Roman"/>
          <w:noProof/>
          <w:sz w:val="24"/>
          <w:szCs w:val="24"/>
          <w:lang w:val="sr-Cyrl-CS"/>
        </w:rPr>
        <w:t>: Лична месечна нето примања грађана Сомбора</w:t>
      </w:r>
    </w:p>
    <w:p w:rsidR="00D33C02" w:rsidRPr="00D33C02" w:rsidRDefault="00D33C02" w:rsidP="00D33C02">
      <w:pPr>
        <w:jc w:val="both"/>
        <w:rPr>
          <w:rFonts w:ascii="Times New Roman" w:hAnsi="Times New Roman" w:cs="Times New Roman"/>
          <w:noProof/>
          <w:color w:val="FF0000"/>
          <w:sz w:val="24"/>
          <w:szCs w:val="24"/>
          <w:lang w:val="sr-Cyrl-CS"/>
        </w:rPr>
      </w:pPr>
      <w:r w:rsidRPr="00D33C02">
        <w:rPr>
          <w:rFonts w:ascii="Times New Roman" w:hAnsi="Times New Roman" w:cs="Times New Roman"/>
          <w:noProof/>
          <w:color w:val="FF0000"/>
          <w:sz w:val="24"/>
          <w:szCs w:val="24"/>
        </w:rPr>
        <w:lastRenderedPageBreak/>
        <w:drawing>
          <wp:inline distT="0" distB="0" distL="0" distR="0">
            <wp:extent cx="5915025" cy="19335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D33C02">
        <w:rPr>
          <w:rFonts w:ascii="Times New Roman" w:hAnsi="Times New Roman" w:cs="Times New Roman"/>
          <w:noProof/>
          <w:color w:val="FF0000"/>
          <w:sz w:val="24"/>
          <w:szCs w:val="24"/>
          <w:lang w:val="sr-Cyrl-CS"/>
        </w:rPr>
        <w:t xml:space="preserve">   </w:t>
      </w:r>
    </w:p>
    <w:p w:rsidR="00D33C02" w:rsidRPr="00AF0C06" w:rsidRDefault="00D33C02" w:rsidP="00C66488">
      <w:pPr>
        <w:ind w:firstLine="720"/>
        <w:jc w:val="both"/>
        <w:rPr>
          <w:rFonts w:ascii="Times New Roman" w:hAnsi="Times New Roman" w:cs="Times New Roman"/>
          <w:noProof/>
          <w:sz w:val="24"/>
          <w:szCs w:val="24"/>
          <w:lang w:val="sr-Cyrl-CS"/>
        </w:rPr>
      </w:pPr>
      <w:r w:rsidRPr="00AF0C06">
        <w:rPr>
          <w:rFonts w:ascii="Times New Roman" w:hAnsi="Times New Roman" w:cs="Times New Roman"/>
          <w:noProof/>
          <w:sz w:val="24"/>
          <w:szCs w:val="24"/>
          <w:lang w:val="sr-Cyrl-CS"/>
        </w:rPr>
        <w:t xml:space="preserve">У складу са примањима крећу се и издвајања за потребе културе. Наиме, више од половине испитане сомборске публике издваја до 3.000,00 динара за учешће у културним садржајима. Ипак, највећи број издваја до 2.000,00 динара </w:t>
      </w:r>
      <w:r w:rsidRPr="00AF0C06">
        <w:rPr>
          <w:rFonts w:ascii="Times New Roman" w:hAnsi="Times New Roman" w:cs="Times New Roman"/>
          <w:noProof/>
          <w:sz w:val="24"/>
          <w:szCs w:val="24"/>
          <w:lang/>
        </w:rPr>
        <w:t>– 36,2%</w:t>
      </w:r>
      <w:r w:rsidRPr="00AF0C06">
        <w:rPr>
          <w:rFonts w:ascii="Times New Roman" w:hAnsi="Times New Roman" w:cs="Times New Roman"/>
          <w:noProof/>
          <w:sz w:val="24"/>
          <w:szCs w:val="24"/>
          <w:lang/>
        </w:rPr>
        <w:t>, а 20,4% успева да издвоји између 2.000,00 и 3.000,00 динара</w:t>
      </w:r>
      <w:r w:rsidRPr="00AF0C06">
        <w:rPr>
          <w:rFonts w:ascii="Times New Roman" w:hAnsi="Times New Roman" w:cs="Times New Roman"/>
          <w:noProof/>
          <w:sz w:val="24"/>
          <w:szCs w:val="24"/>
          <w:lang w:val="sr-Cyrl-CS"/>
        </w:rPr>
        <w:t>. Значајно је скренути пажњу и на скоро 8% Сомбораца који чине публику која не издваја средства за садржаје из кул</w:t>
      </w:r>
      <w:r w:rsidR="00AF0C06">
        <w:rPr>
          <w:rFonts w:ascii="Times New Roman" w:hAnsi="Times New Roman" w:cs="Times New Roman"/>
          <w:noProof/>
          <w:sz w:val="24"/>
          <w:szCs w:val="24"/>
          <w:lang w:val="sr-Cyrl-CS"/>
        </w:rPr>
        <w:t>т</w:t>
      </w:r>
      <w:r w:rsidRPr="00AF0C06">
        <w:rPr>
          <w:rFonts w:ascii="Times New Roman" w:hAnsi="Times New Roman" w:cs="Times New Roman"/>
          <w:noProof/>
          <w:sz w:val="24"/>
          <w:szCs w:val="24"/>
          <w:lang w:val="sr-Cyrl-CS"/>
        </w:rPr>
        <w:t xml:space="preserve">уре. С тим у складу, претпоставка је да </w:t>
      </w:r>
      <w:r w:rsidR="00AF0C06" w:rsidRPr="00AF0C06">
        <w:rPr>
          <w:rFonts w:ascii="Times New Roman" w:hAnsi="Times New Roman" w:cs="Times New Roman"/>
          <w:noProof/>
          <w:sz w:val="24"/>
          <w:szCs w:val="24"/>
          <w:lang w:val="sr-Cyrl-CS"/>
        </w:rPr>
        <w:t>о</w:t>
      </w:r>
      <w:r w:rsidRPr="00AF0C06">
        <w:rPr>
          <w:rFonts w:ascii="Times New Roman" w:hAnsi="Times New Roman" w:cs="Times New Roman"/>
          <w:noProof/>
          <w:sz w:val="24"/>
          <w:szCs w:val="24"/>
          <w:lang w:val="sr-Cyrl-CS"/>
        </w:rPr>
        <w:t xml:space="preserve">ни или посећују бесплатне програме или спадају у повлашћену публику установа и организација у култури. </w:t>
      </w:r>
    </w:p>
    <w:p w:rsidR="00D33C02" w:rsidRPr="00AF0C06" w:rsidRDefault="00D33C02" w:rsidP="00C66488">
      <w:pPr>
        <w:spacing w:after="0"/>
        <w:jc w:val="both"/>
        <w:rPr>
          <w:rFonts w:ascii="Times New Roman" w:hAnsi="Times New Roman" w:cs="Times New Roman"/>
          <w:noProof/>
          <w:sz w:val="24"/>
          <w:szCs w:val="24"/>
          <w:lang/>
        </w:rPr>
      </w:pPr>
      <w:r w:rsidRPr="00AF0C06">
        <w:rPr>
          <w:rFonts w:ascii="Times New Roman" w:hAnsi="Times New Roman" w:cs="Times New Roman"/>
          <w:noProof/>
          <w:sz w:val="24"/>
          <w:szCs w:val="24"/>
          <w:lang w:val="sr-Cyrl-CS"/>
        </w:rPr>
        <w:t>Графикон</w:t>
      </w:r>
      <w:r w:rsidR="00C66488" w:rsidRPr="00AF0C06">
        <w:rPr>
          <w:rFonts w:ascii="Times New Roman" w:hAnsi="Times New Roman" w:cs="Times New Roman"/>
          <w:noProof/>
          <w:sz w:val="24"/>
          <w:szCs w:val="24"/>
          <w:lang w:val="sr-Cyrl-CS"/>
        </w:rPr>
        <w:t xml:space="preserve"> 5</w:t>
      </w:r>
      <w:r w:rsidRPr="00AF0C06">
        <w:rPr>
          <w:rFonts w:ascii="Times New Roman" w:hAnsi="Times New Roman" w:cs="Times New Roman"/>
          <w:noProof/>
          <w:sz w:val="24"/>
          <w:szCs w:val="24"/>
          <w:lang w:val="sr-Cyrl-CS"/>
        </w:rPr>
        <w:t>: Лична културна потрошња на месечном нивоу</w:t>
      </w:r>
    </w:p>
    <w:p w:rsidR="00D33C02" w:rsidRPr="00D33C02" w:rsidRDefault="00D33C02" w:rsidP="00D33C02">
      <w:pPr>
        <w:spacing w:after="0"/>
        <w:jc w:val="both"/>
        <w:rPr>
          <w:rFonts w:ascii="Times New Roman" w:hAnsi="Times New Roman" w:cs="Times New Roman"/>
          <w:noProof/>
          <w:color w:val="FF0000"/>
          <w:sz w:val="24"/>
          <w:szCs w:val="24"/>
          <w:lang w:val="sr-Cyrl-CS"/>
        </w:rPr>
      </w:pPr>
      <w:r w:rsidRPr="00D33C02">
        <w:rPr>
          <w:rFonts w:ascii="Times New Roman" w:hAnsi="Times New Roman" w:cs="Times New Roman"/>
          <w:noProof/>
          <w:color w:val="FF0000"/>
          <w:sz w:val="24"/>
          <w:szCs w:val="24"/>
        </w:rPr>
        <w:drawing>
          <wp:inline distT="0" distB="0" distL="0" distR="0">
            <wp:extent cx="5915025" cy="1609725"/>
            <wp:effectExtent l="0" t="0" r="9525"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33C02" w:rsidRPr="00D33C02" w:rsidRDefault="00D33C02" w:rsidP="00D33C02">
      <w:pPr>
        <w:spacing w:after="0"/>
        <w:jc w:val="both"/>
        <w:rPr>
          <w:rFonts w:ascii="Times New Roman" w:hAnsi="Times New Roman" w:cs="Times New Roman"/>
          <w:noProof/>
          <w:color w:val="FF0000"/>
          <w:sz w:val="24"/>
          <w:szCs w:val="24"/>
          <w:lang w:val="sr-Cyrl-CS"/>
        </w:rPr>
      </w:pPr>
    </w:p>
    <w:p w:rsidR="00D33C02" w:rsidRPr="00AF0C06" w:rsidRDefault="00D33C02" w:rsidP="00C66488">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Судећи према финансијским издвајањима за културу у Сомбору, и узимајући у обзир цене улазница, може се закључити да материјално стање, као и у случају Србије, не представља препреку за културну партиципацију Сомбораца. </w:t>
      </w:r>
    </w:p>
    <w:p w:rsidR="00D33C02" w:rsidRPr="00D33C02" w:rsidRDefault="00D33C02" w:rsidP="00C66488">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Подаци говоре да су према мишљењу</w:t>
      </w:r>
      <w:r w:rsidRPr="00AF0C06">
        <w:rPr>
          <w:rFonts w:ascii="Times New Roman" w:hAnsi="Times New Roman" w:cs="Times New Roman"/>
          <w:sz w:val="24"/>
          <w:szCs w:val="24"/>
          <w:lang/>
        </w:rPr>
        <w:t xml:space="preserve"> 14</w:t>
      </w:r>
      <w:r w:rsidRPr="00AF0C06">
        <w:rPr>
          <w:rFonts w:ascii="Times New Roman" w:hAnsi="Times New Roman" w:cs="Times New Roman"/>
          <w:sz w:val="24"/>
          <w:szCs w:val="24"/>
          <w:lang/>
        </w:rPr>
        <w:t>,</w:t>
      </w:r>
      <w:r w:rsidRPr="00AF0C06">
        <w:rPr>
          <w:rFonts w:ascii="Times New Roman" w:hAnsi="Times New Roman" w:cs="Times New Roman"/>
          <w:sz w:val="24"/>
          <w:szCs w:val="24"/>
          <w:lang/>
        </w:rPr>
        <w:t>1%</w:t>
      </w:r>
      <w:r w:rsidRPr="00AF0C06">
        <w:rPr>
          <w:rFonts w:ascii="Times New Roman" w:hAnsi="Times New Roman" w:cs="Times New Roman"/>
          <w:sz w:val="24"/>
          <w:szCs w:val="24"/>
          <w:lang/>
        </w:rPr>
        <w:t xml:space="preserve"> анкетираних Сомбораца улазнице за културне догађаје у Сомбору (веома)скупе, док нешто више од 15% грађана цене улазница оцењује као јефтине. Међутим, важно је напоменути да готово четвртина испитаника није дала одговор на ово питање, из чега се може закључити да или немају став по овом питању или посећују само бесплатне садржаје. Када је реч о демографским карактеристикама испитаника примећује се да не постоје статистички значајне разлике међу испитаницима, те да највећи проценат грађана Сомбора, без обзира ког су пола, колико имају година, ког су образовања и колики су им месечни приходи, сматра да цене улазница нису скупе</w:t>
      </w:r>
      <w:r w:rsidR="00C66488">
        <w:rPr>
          <w:rFonts w:ascii="Times New Roman" w:hAnsi="Times New Roman" w:cs="Times New Roman"/>
          <w:sz w:val="24"/>
          <w:szCs w:val="24"/>
          <w:lang/>
        </w:rPr>
        <w:t>.</w:t>
      </w:r>
      <w:r w:rsidRPr="00D33C02">
        <w:rPr>
          <w:rFonts w:ascii="Times New Roman" w:hAnsi="Times New Roman" w:cs="Times New Roman"/>
          <w:sz w:val="24"/>
          <w:szCs w:val="24"/>
          <w:lang/>
        </w:rPr>
        <w:t xml:space="preserve"> </w:t>
      </w:r>
    </w:p>
    <w:p w:rsidR="00D33C02" w:rsidRPr="00D33C02" w:rsidRDefault="00D33C02" w:rsidP="00C66488">
      <w:pPr>
        <w:spacing w:after="0"/>
        <w:jc w:val="both"/>
        <w:rPr>
          <w:rFonts w:ascii="Times New Roman" w:hAnsi="Times New Roman" w:cs="Times New Roman"/>
          <w:sz w:val="24"/>
          <w:szCs w:val="24"/>
          <w:lang/>
        </w:rPr>
      </w:pPr>
      <w:r w:rsidRPr="00C66488">
        <w:rPr>
          <w:rFonts w:ascii="Arial" w:hAnsi="Arial" w:cs="Arial"/>
          <w:noProof/>
          <w:szCs w:val="24"/>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295910</wp:posOffset>
            </wp:positionV>
            <wp:extent cx="5943600" cy="1133475"/>
            <wp:effectExtent l="0" t="0" r="0" b="9525"/>
            <wp:wrapSquare wrapText="bothSides"/>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Pr="00C66488">
        <w:rPr>
          <w:rFonts w:ascii="Times New Roman" w:hAnsi="Times New Roman" w:cs="Times New Roman"/>
          <w:sz w:val="24"/>
          <w:szCs w:val="24"/>
          <w:lang/>
        </w:rPr>
        <w:t>Графикон</w:t>
      </w:r>
      <w:r w:rsidR="00C66488" w:rsidRPr="00C66488">
        <w:rPr>
          <w:rFonts w:ascii="Times New Roman" w:hAnsi="Times New Roman" w:cs="Times New Roman"/>
          <w:sz w:val="24"/>
          <w:szCs w:val="24"/>
          <w:lang/>
        </w:rPr>
        <w:t xml:space="preserve"> 6</w:t>
      </w:r>
      <w:r w:rsidRPr="00C66488">
        <w:rPr>
          <w:rFonts w:ascii="Times New Roman" w:hAnsi="Times New Roman" w:cs="Times New Roman"/>
          <w:sz w:val="24"/>
          <w:szCs w:val="24"/>
          <w:lang/>
        </w:rPr>
        <w:t>:</w:t>
      </w:r>
      <w:r w:rsidRPr="00D33C02">
        <w:rPr>
          <w:rFonts w:ascii="Times New Roman" w:hAnsi="Times New Roman" w:cs="Times New Roman"/>
          <w:sz w:val="24"/>
          <w:szCs w:val="24"/>
          <w:lang/>
        </w:rPr>
        <w:t xml:space="preserve"> </w:t>
      </w:r>
      <w:r w:rsidRPr="00AF0C06">
        <w:rPr>
          <w:rFonts w:ascii="Times New Roman" w:hAnsi="Times New Roman" w:cs="Times New Roman"/>
          <w:sz w:val="24"/>
          <w:szCs w:val="24"/>
          <w:lang/>
        </w:rPr>
        <w:t xml:space="preserve">Општа </w:t>
      </w:r>
      <w:r w:rsidRPr="00D33C02">
        <w:rPr>
          <w:rFonts w:ascii="Times New Roman" w:hAnsi="Times New Roman" w:cs="Times New Roman"/>
          <w:sz w:val="24"/>
          <w:szCs w:val="24"/>
          <w:lang/>
        </w:rPr>
        <w:t>оцена цена улазница за културне догађаје у Сомбору</w:t>
      </w:r>
    </w:p>
    <w:p w:rsidR="00D33C02" w:rsidRPr="00D33C02" w:rsidRDefault="00D33C02" w:rsidP="00D33C02">
      <w:pPr>
        <w:spacing w:after="0"/>
        <w:jc w:val="both"/>
        <w:rPr>
          <w:rFonts w:ascii="Times New Roman" w:hAnsi="Times New Roman" w:cs="Times New Roman"/>
          <w:sz w:val="24"/>
          <w:szCs w:val="24"/>
          <w:lang/>
        </w:rPr>
      </w:pPr>
    </w:p>
    <w:p w:rsidR="00D33C02" w:rsidRPr="00AF0C06" w:rsidRDefault="00D33C02" w:rsidP="00C66488">
      <w:pPr>
        <w:spacing w:after="0"/>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Грађани </w:t>
      </w:r>
      <w:r w:rsidRPr="00AF0C06">
        <w:rPr>
          <w:rFonts w:ascii="Times New Roman" w:hAnsi="Times New Roman" w:cs="Times New Roman"/>
          <w:noProof/>
          <w:sz w:val="24"/>
          <w:szCs w:val="24"/>
          <w:lang w:val="sr-Cyrl-CS"/>
        </w:rPr>
        <w:t>Сомб</w:t>
      </w:r>
      <w:r w:rsidRPr="00AF0C06">
        <w:rPr>
          <w:rFonts w:ascii="Times New Roman" w:hAnsi="Times New Roman" w:cs="Times New Roman"/>
          <w:noProof/>
          <w:sz w:val="24"/>
          <w:szCs w:val="24"/>
          <w:lang/>
        </w:rPr>
        <w:t>o</w:t>
      </w:r>
      <w:r w:rsidRPr="00AF0C06">
        <w:rPr>
          <w:rFonts w:ascii="Times New Roman" w:hAnsi="Times New Roman" w:cs="Times New Roman"/>
          <w:noProof/>
          <w:sz w:val="24"/>
          <w:szCs w:val="24"/>
          <w:lang w:val="sr-Cyrl-CS"/>
        </w:rPr>
        <w:t>ра који су барем једном у послед</w:t>
      </w:r>
      <w:r w:rsidRPr="00AF0C06">
        <w:rPr>
          <w:rFonts w:ascii="Times New Roman" w:hAnsi="Times New Roman" w:cs="Times New Roman"/>
          <w:noProof/>
          <w:sz w:val="24"/>
          <w:szCs w:val="24"/>
          <w:lang/>
        </w:rPr>
        <w:t>њ</w:t>
      </w:r>
      <w:r w:rsidRPr="00AF0C06">
        <w:rPr>
          <w:rFonts w:ascii="Times New Roman" w:hAnsi="Times New Roman" w:cs="Times New Roman"/>
          <w:noProof/>
          <w:sz w:val="24"/>
          <w:szCs w:val="24"/>
          <w:lang w:val="sr-Cyrl-CS"/>
        </w:rPr>
        <w:t>их шест месеци посетили неки културни догађај у Сомбор</w:t>
      </w:r>
      <w:r w:rsidRPr="00AF0C06">
        <w:rPr>
          <w:rFonts w:ascii="Times New Roman" w:hAnsi="Times New Roman" w:cs="Times New Roman"/>
          <w:sz w:val="24"/>
          <w:szCs w:val="24"/>
          <w:lang w:val="sr-Cyrl-CS"/>
        </w:rPr>
        <w:t>у</w:t>
      </w:r>
      <w:r w:rsidRPr="00AF0C06">
        <w:rPr>
          <w:rFonts w:ascii="Times New Roman" w:hAnsi="Times New Roman" w:cs="Times New Roman"/>
          <w:sz w:val="24"/>
          <w:szCs w:val="24"/>
          <w:lang/>
        </w:rPr>
        <w:t xml:space="preserve"> сматрају да су цене улазница за позоришне представе, биоскопске пројекције и гостујуће дечије позоришне представе најскупље, што је карактеристично и за испитанике и резултате на националном нивоу, док најјефтинијим оцењују цене чланарине у библиотеци и улазнице за музејске изложбе. Наиме, више од трећине испитаника за цене позоришних карата мисли да су (веома)скупе (од чега 26,2% мисли да су скупе), док мање од </w:t>
      </w:r>
      <w:r w:rsidRPr="00AF0C06">
        <w:rPr>
          <w:rFonts w:ascii="Times New Roman" w:hAnsi="Times New Roman" w:cs="Times New Roman"/>
          <w:sz w:val="24"/>
          <w:szCs w:val="24"/>
          <w:lang/>
        </w:rPr>
        <w:t>7,7</w:t>
      </w:r>
      <w:r w:rsidRPr="00AF0C06">
        <w:rPr>
          <w:rFonts w:ascii="Times New Roman" w:hAnsi="Times New Roman" w:cs="Times New Roman"/>
          <w:sz w:val="24"/>
          <w:szCs w:val="24"/>
          <w:lang/>
        </w:rPr>
        <w:t xml:space="preserve">% испитаника који су одговорили на ово питање сматра позоришне представе јефтиним. Посебно се истиче и одговор 38,5% анкетираних који истичу да су улазнице за Позоришни маратон скупе (од тога 17% мисли да су улазнице за овај фестивал веома скупе). Са друге стране, </w:t>
      </w:r>
      <w:r w:rsidRPr="00AF0C06">
        <w:rPr>
          <w:rFonts w:ascii="Times New Roman" w:hAnsi="Times New Roman" w:cs="Times New Roman"/>
          <w:sz w:val="24"/>
          <w:szCs w:val="24"/>
          <w:lang/>
        </w:rPr>
        <w:t>38,2%</w:t>
      </w:r>
      <w:r w:rsidRPr="00AF0C06">
        <w:rPr>
          <w:rFonts w:ascii="Times New Roman" w:hAnsi="Times New Roman" w:cs="Times New Roman"/>
          <w:sz w:val="24"/>
          <w:szCs w:val="24"/>
          <w:lang/>
        </w:rPr>
        <w:t xml:space="preserve"> испитаника чланарине за библиотеку оцењује као јефтине, док </w:t>
      </w:r>
      <w:r w:rsidRPr="00AF0C06">
        <w:rPr>
          <w:rFonts w:ascii="Times New Roman" w:hAnsi="Times New Roman" w:cs="Times New Roman"/>
          <w:sz w:val="24"/>
          <w:szCs w:val="24"/>
          <w:lang/>
        </w:rPr>
        <w:t>8,8</w:t>
      </w:r>
      <w:r w:rsidRPr="00AF0C06">
        <w:rPr>
          <w:rFonts w:ascii="Times New Roman" w:hAnsi="Times New Roman" w:cs="Times New Roman"/>
          <w:sz w:val="24"/>
          <w:szCs w:val="24"/>
          <w:lang/>
        </w:rPr>
        <w:t>% анкетираних грађана сматра да су чланарине скупе.</w:t>
      </w:r>
      <w:r w:rsidRPr="00AF0C06">
        <w:rPr>
          <w:rFonts w:ascii="Times New Roman" w:hAnsi="Times New Roman" w:cs="Times New Roman"/>
          <w:sz w:val="24"/>
          <w:szCs w:val="24"/>
          <w:lang/>
        </w:rPr>
        <w:t xml:space="preserve"> </w:t>
      </w:r>
      <w:r w:rsidRPr="00AF0C06">
        <w:rPr>
          <w:rFonts w:ascii="Times New Roman" w:hAnsi="Times New Roman" w:cs="Times New Roman"/>
          <w:sz w:val="24"/>
          <w:szCs w:val="24"/>
          <w:lang/>
        </w:rPr>
        <w:t>Поред тога, важно је напоменути да највећи проценат испитаника (31,3%) истиче да се улазнице за наступе КУД – ова и дешавања у Културном центру не наплаћују, а судећи по одговорима 24,8% то је случај и са изложбама. Одговори да се улазнице не наплаћују за поједине програме може бити важан показатељ установама, односно увид у то колико је публика упозната са ценама програма које организују.</w:t>
      </w:r>
    </w:p>
    <w:p w:rsidR="00D33C02" w:rsidRPr="00D33C02" w:rsidRDefault="00D33C02" w:rsidP="00D33C02">
      <w:pPr>
        <w:spacing w:after="0"/>
        <w:jc w:val="both"/>
        <w:rPr>
          <w:rFonts w:ascii="Times New Roman" w:hAnsi="Times New Roman" w:cs="Times New Roman"/>
          <w:sz w:val="24"/>
          <w:szCs w:val="24"/>
          <w:lang/>
        </w:rPr>
      </w:pPr>
    </w:p>
    <w:p w:rsidR="00D33C02" w:rsidRPr="00D33C02" w:rsidRDefault="00D33C02" w:rsidP="00D33C02">
      <w:pPr>
        <w:jc w:val="both"/>
        <w:rPr>
          <w:rFonts w:ascii="Times New Roman" w:hAnsi="Times New Roman" w:cs="Times New Roman"/>
          <w:sz w:val="24"/>
          <w:szCs w:val="24"/>
          <w:lang/>
        </w:rPr>
      </w:pPr>
      <w:r w:rsidRPr="00EE3A50">
        <w:rPr>
          <w:rFonts w:ascii="Times New Roman" w:hAnsi="Times New Roman" w:cs="Times New Roman"/>
          <w:sz w:val="24"/>
          <w:szCs w:val="24"/>
          <w:lang/>
        </w:rPr>
        <w:t>Графикон</w:t>
      </w:r>
      <w:r w:rsidR="00EE3A50" w:rsidRPr="00EE3A50">
        <w:rPr>
          <w:rFonts w:ascii="Times New Roman" w:hAnsi="Times New Roman" w:cs="Times New Roman"/>
          <w:sz w:val="24"/>
          <w:szCs w:val="24"/>
          <w:lang/>
        </w:rPr>
        <w:t xml:space="preserve"> 7</w:t>
      </w:r>
      <w:r w:rsidRPr="00EE3A50">
        <w:rPr>
          <w:rFonts w:ascii="Times New Roman" w:hAnsi="Times New Roman" w:cs="Times New Roman"/>
          <w:sz w:val="24"/>
          <w:szCs w:val="24"/>
          <w:lang/>
        </w:rPr>
        <w:t>: Сагледавање</w:t>
      </w:r>
      <w:r w:rsidRPr="00D33C02">
        <w:rPr>
          <w:rFonts w:ascii="Times New Roman" w:hAnsi="Times New Roman" w:cs="Times New Roman"/>
          <w:sz w:val="24"/>
          <w:szCs w:val="24"/>
          <w:lang/>
        </w:rPr>
        <w:t xml:space="preserve"> цене улазница према врсти програма</w:t>
      </w:r>
    </w:p>
    <w:p w:rsidR="00D33C02" w:rsidRPr="00D33C02" w:rsidRDefault="00D33C02" w:rsidP="00D33C02">
      <w:pPr>
        <w:jc w:val="both"/>
        <w:rPr>
          <w:rFonts w:ascii="Times New Roman" w:hAnsi="Times New Roman" w:cs="Times New Roman"/>
          <w:sz w:val="24"/>
          <w:szCs w:val="24"/>
          <w:lang/>
        </w:rPr>
      </w:pPr>
      <w:r w:rsidRPr="00D33C02">
        <w:rPr>
          <w:rFonts w:ascii="Arial" w:hAnsi="Arial" w:cs="Arial"/>
          <w:noProof/>
          <w:szCs w:val="24"/>
        </w:rPr>
        <w:drawing>
          <wp:inline distT="0" distB="0" distL="0" distR="0">
            <wp:extent cx="5857875" cy="2505075"/>
            <wp:effectExtent l="0" t="0" r="9525" b="952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33C02" w:rsidRPr="00EE3A50" w:rsidRDefault="00D33C02" w:rsidP="00EE3A50">
      <w:pPr>
        <w:pStyle w:val="Heading2"/>
        <w:numPr>
          <w:ilvl w:val="1"/>
          <w:numId w:val="39"/>
        </w:numPr>
        <w:spacing w:after="240"/>
        <w:rPr>
          <w:b/>
          <w:lang/>
        </w:rPr>
      </w:pPr>
      <w:bookmarkStart w:id="36" w:name="_Toc36072312"/>
      <w:r w:rsidRPr="00EE3A50">
        <w:rPr>
          <w:b/>
          <w:lang/>
        </w:rPr>
        <w:lastRenderedPageBreak/>
        <w:t>Манифестација као кључни део културног активизма</w:t>
      </w:r>
      <w:bookmarkEnd w:id="36"/>
    </w:p>
    <w:p w:rsidR="00D33C02" w:rsidRPr="00D33C02" w:rsidRDefault="00D33C02" w:rsidP="00EE3A50">
      <w:pPr>
        <w:ind w:firstLine="720"/>
        <w:jc w:val="both"/>
        <w:rPr>
          <w:rFonts w:ascii="Times New Roman" w:hAnsi="Times New Roman" w:cs="Times New Roman"/>
          <w:strike/>
          <w:noProof/>
          <w:sz w:val="24"/>
          <w:szCs w:val="24"/>
          <w:lang w:val="sr-Cyrl-CS"/>
        </w:rPr>
      </w:pPr>
      <w:r w:rsidRPr="00D33C02">
        <w:rPr>
          <w:rFonts w:ascii="Times New Roman" w:hAnsi="Times New Roman" w:cs="Times New Roman"/>
          <w:sz w:val="24"/>
          <w:szCs w:val="24"/>
          <w:lang/>
        </w:rPr>
        <w:t>Поред редовних програма установа културе, део културне понуде Сомбора представљају и многе манифестације које се у Сомбору одржавају дуги низ година. У последњих 12 месеци пре анкетирања 59</w:t>
      </w:r>
      <w:r w:rsidRPr="00D33C02">
        <w:rPr>
          <w:rFonts w:ascii="Times New Roman" w:hAnsi="Times New Roman" w:cs="Times New Roman"/>
          <w:sz w:val="24"/>
          <w:szCs w:val="24"/>
          <w:lang/>
        </w:rPr>
        <w:t xml:space="preserve">,6% </w:t>
      </w:r>
      <w:r w:rsidRPr="00D33C02">
        <w:rPr>
          <w:rFonts w:ascii="Times New Roman" w:hAnsi="Times New Roman" w:cs="Times New Roman"/>
          <w:noProof/>
          <w:sz w:val="24"/>
          <w:szCs w:val="24"/>
          <w:lang w:val="sr-Cyrl-CS"/>
        </w:rPr>
        <w:t xml:space="preserve">испитаника је посетило барем једну манифестацију која се одржава у урбаном или руралном подручју Сомбора. </w:t>
      </w:r>
    </w:p>
    <w:p w:rsidR="00D33C02" w:rsidRPr="00AF0C06" w:rsidRDefault="00D33C02" w:rsidP="00EE3A50">
      <w:pPr>
        <w:ind w:firstLine="720"/>
        <w:jc w:val="both"/>
        <w:rPr>
          <w:rFonts w:ascii="Times New Roman" w:hAnsi="Times New Roman" w:cs="Times New Roman"/>
          <w:noProof/>
          <w:sz w:val="24"/>
          <w:szCs w:val="24"/>
          <w:lang/>
        </w:rPr>
      </w:pPr>
      <w:r w:rsidRPr="00AF0C06">
        <w:rPr>
          <w:rFonts w:ascii="Times New Roman" w:hAnsi="Times New Roman" w:cs="Times New Roman"/>
          <w:noProof/>
          <w:sz w:val="24"/>
          <w:szCs w:val="24"/>
          <w:lang w:val="sr-Cyrl-CS"/>
        </w:rPr>
        <w:t xml:space="preserve">Према мишљењу испитаника најрепрезентативнија манифестација у Сомбору је Позоришни маратон. </w:t>
      </w:r>
      <w:r w:rsidRPr="00AF0C06">
        <w:rPr>
          <w:rFonts w:ascii="Times New Roman" w:hAnsi="Times New Roman" w:cs="Times New Roman"/>
          <w:noProof/>
          <w:sz w:val="24"/>
          <w:szCs w:val="24"/>
          <w:lang/>
        </w:rPr>
        <w:t>Да је Позоришни маратон најрепрезентативнија манифестација слажу се испитаници готово</w:t>
      </w:r>
      <w:r w:rsidRPr="00AF0C06">
        <w:rPr>
          <w:rFonts w:ascii="Times New Roman" w:hAnsi="Times New Roman" w:cs="Times New Roman"/>
          <w:noProof/>
          <w:sz w:val="24"/>
          <w:szCs w:val="24"/>
        </w:rPr>
        <w:t xml:space="preserve"> </w:t>
      </w:r>
      <w:r w:rsidRPr="00AF0C06">
        <w:rPr>
          <w:rFonts w:ascii="Times New Roman" w:hAnsi="Times New Roman" w:cs="Times New Roman"/>
          <w:noProof/>
          <w:sz w:val="24"/>
          <w:szCs w:val="24"/>
          <w:lang/>
        </w:rPr>
        <w:t xml:space="preserve">свих социо-демографских обележја, без обзира на пол, године живота и ниво образовања. Једину разлику прави место становања јер је становницима насељених места најрепрезентативнија манифестација Фестивал мултукултуралности, а затим Позоришни маратон. </w:t>
      </w:r>
    </w:p>
    <w:p w:rsidR="00D33C02" w:rsidRPr="00AF0C06" w:rsidRDefault="00D33C02" w:rsidP="00EE3A50">
      <w:pPr>
        <w:ind w:firstLine="720"/>
        <w:jc w:val="both"/>
        <w:rPr>
          <w:rFonts w:ascii="Times New Roman" w:hAnsi="Times New Roman" w:cs="Times New Roman"/>
          <w:noProof/>
          <w:sz w:val="24"/>
          <w:szCs w:val="24"/>
          <w:lang/>
        </w:rPr>
      </w:pPr>
      <w:r w:rsidRPr="00AF0C06">
        <w:rPr>
          <w:rFonts w:ascii="Times New Roman" w:hAnsi="Times New Roman" w:cs="Times New Roman"/>
          <w:noProof/>
          <w:sz w:val="24"/>
          <w:szCs w:val="24"/>
          <w:lang/>
        </w:rPr>
        <w:t>Међутим, извесне разлике постоје у рангирању репрезентативности осталих манифестација према социо-демографским карактеристикама испитаника. Тако, испитаници мушког пола на друго место, после Позоришног маратона, постављају Фестивал мултикултуралности, а женског пола Ноћ музеја. Највеће разлике уочавају се код година живота испитаника, те тако млађи испитаници титулу репрезентативне манифестације у већем проценту дају Терминал мјузик фесту (10,1% младих, 5,2% припадника средње генерације</w:t>
      </w:r>
      <w:r w:rsidRPr="00AF0C06">
        <w:rPr>
          <w:rFonts w:ascii="Times New Roman" w:hAnsi="Times New Roman" w:cs="Times New Roman"/>
          <w:noProof/>
          <w:sz w:val="24"/>
          <w:szCs w:val="24"/>
          <w:lang/>
        </w:rPr>
        <w:tab/>
        <w:t>и</w:t>
      </w:r>
      <w:r w:rsidRPr="00AF0C06">
        <w:t xml:space="preserve"> </w:t>
      </w:r>
      <w:r w:rsidRPr="00AF0C06">
        <w:rPr>
          <w:rFonts w:ascii="Times New Roman" w:hAnsi="Times New Roman" w:cs="Times New Roman"/>
          <w:noProof/>
          <w:sz w:val="24"/>
          <w:szCs w:val="24"/>
          <w:lang/>
        </w:rPr>
        <w:t>свега 1,3% припадника старије генерације) и манифестацији Музика на точковима - дан младих (9,2% младих, 3,3% оних од 30 до 49 година и 3,1% испитаника са 50 и више година) и Филмски фестивал (који бира 17,4% младих, 7,6% припадника средње генерације и 7,5% најстаријих). Са друге стране, припадници средње генерације (13,3%) и старије генерације (13,2%) фаворизују СОМУС, што чини свега 4,6% младих. Старије генерације издвајају и фолклорне, верске и етно фестивале знатно чешће од млађих генерација (9,4%, за разлику од 2,8% оних од 30 до 49 година и испитаника који имају мање од 30 година наводи Ђурђевдански фестивал фолклора; 3,8% се опредељује за Великогоспојинске вечери, за разлику од 0,9% средњих генерација и ниједног припадника најмлађих генерација; 8,2% старијих од 50 го</w:t>
      </w:r>
      <w:r w:rsidR="00AF0C06" w:rsidRPr="00AF0C06">
        <w:rPr>
          <w:rFonts w:ascii="Times New Roman" w:hAnsi="Times New Roman" w:cs="Times New Roman"/>
          <w:noProof/>
          <w:sz w:val="24"/>
          <w:szCs w:val="24"/>
          <w:lang/>
        </w:rPr>
        <w:t>д</w:t>
      </w:r>
      <w:r w:rsidRPr="00AF0C06">
        <w:rPr>
          <w:rFonts w:ascii="Times New Roman" w:hAnsi="Times New Roman" w:cs="Times New Roman"/>
          <w:noProof/>
          <w:sz w:val="24"/>
          <w:szCs w:val="24"/>
          <w:lang/>
        </w:rPr>
        <w:t xml:space="preserve">ина сматра Дужионицу репрезентативном манифестацијом, за разлику од 1,4% припадника средње гереције и опет ниједног представника најмлађе сомборске публике). </w:t>
      </w:r>
    </w:p>
    <w:p w:rsidR="00EE3A50" w:rsidRPr="00AF0C06" w:rsidRDefault="00EE3A50" w:rsidP="00EE3A50">
      <w:pPr>
        <w:spacing w:after="0"/>
        <w:jc w:val="both"/>
        <w:rPr>
          <w:rFonts w:ascii="Times New Roman" w:hAnsi="Times New Roman" w:cs="Times New Roman"/>
          <w:noProof/>
          <w:sz w:val="24"/>
          <w:szCs w:val="24"/>
          <w:lang/>
        </w:rPr>
      </w:pPr>
      <w:r w:rsidRPr="00AF0C06">
        <w:rPr>
          <w:rFonts w:ascii="Times New Roman" w:hAnsi="Times New Roman" w:cs="Times New Roman"/>
          <w:noProof/>
          <w:sz w:val="24"/>
          <w:szCs w:val="24"/>
          <w:lang/>
        </w:rPr>
        <w:t>Графикон 8: Проценат одговора испитаника о томе коју манифестацију сматрају најрепрезентативнијом</w:t>
      </w:r>
    </w:p>
    <w:p w:rsidR="00EE3A50" w:rsidRPr="00D33C02" w:rsidRDefault="00EE3A50" w:rsidP="00EE3A50">
      <w:pPr>
        <w:jc w:val="both"/>
        <w:rPr>
          <w:rFonts w:ascii="Times New Roman" w:hAnsi="Times New Roman" w:cs="Times New Roman"/>
          <w:noProof/>
          <w:sz w:val="24"/>
          <w:szCs w:val="24"/>
          <w:lang/>
        </w:rPr>
      </w:pPr>
      <w:r w:rsidRPr="00D33C02">
        <w:rPr>
          <w:rFonts w:ascii="Times New Roman" w:hAnsi="Times New Roman" w:cs="Times New Roman"/>
          <w:noProof/>
          <w:color w:val="FF0000"/>
          <w:sz w:val="24"/>
          <w:szCs w:val="24"/>
        </w:rPr>
        <w:lastRenderedPageBreak/>
        <w:drawing>
          <wp:inline distT="0" distB="0" distL="0" distR="0">
            <wp:extent cx="5905500" cy="38481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33C02" w:rsidRPr="00D33C02" w:rsidRDefault="00D33C02" w:rsidP="00EE3A50">
      <w:pPr>
        <w:ind w:firstLine="720"/>
        <w:jc w:val="both"/>
        <w:rPr>
          <w:rFonts w:ascii="Times New Roman" w:hAnsi="Times New Roman" w:cs="Times New Roman"/>
          <w:noProof/>
          <w:sz w:val="24"/>
          <w:szCs w:val="24"/>
          <w:lang/>
        </w:rPr>
      </w:pPr>
      <w:r w:rsidRPr="00D33C02">
        <w:rPr>
          <w:rFonts w:ascii="Times New Roman" w:hAnsi="Times New Roman" w:cs="Times New Roman"/>
          <w:noProof/>
          <w:sz w:val="24"/>
          <w:szCs w:val="24"/>
          <w:lang/>
        </w:rPr>
        <w:t xml:space="preserve">Разлике су, такође, видљиве и код места становања испитаника, па становници градског подручја бирају Валценград (15,2%, у односу на 5% оних који живе у рурлном подручју) и </w:t>
      </w:r>
      <w:r w:rsidRPr="00D33C02">
        <w:rPr>
          <w:rFonts w:ascii="Times New Roman" w:hAnsi="Times New Roman" w:cs="Times New Roman"/>
          <w:noProof/>
          <w:sz w:val="24"/>
          <w:szCs w:val="24"/>
          <w:lang/>
        </w:rPr>
        <w:t>Green Town Jazz Fest</w:t>
      </w:r>
      <w:r w:rsidRPr="00D33C02">
        <w:rPr>
          <w:rFonts w:ascii="Times New Roman" w:hAnsi="Times New Roman" w:cs="Times New Roman"/>
          <w:noProof/>
          <w:sz w:val="24"/>
          <w:szCs w:val="24"/>
          <w:lang/>
        </w:rPr>
        <w:t xml:space="preserve"> који спада у најрепрезентативније манифестације за 7,6% испитаника из града и 1,3% испитаника који живе у насељеним местима. Становници насељених места радије бирају Фестивал мултикултуралности – 29,6%, у односу на 4,8% становника урбаног подручја и Дан Града Сомбора – 19,7%, за разлику од 12,7% становника градског подручја. </w:t>
      </w:r>
    </w:p>
    <w:p w:rsidR="00D33C02" w:rsidRPr="00AF0C06" w:rsidRDefault="00D33C02" w:rsidP="00EE3A50">
      <w:pPr>
        <w:ind w:firstLine="720"/>
        <w:jc w:val="both"/>
        <w:rPr>
          <w:rFonts w:ascii="Times New Roman" w:hAnsi="Times New Roman" w:cs="Times New Roman"/>
          <w:noProof/>
          <w:sz w:val="24"/>
          <w:szCs w:val="24"/>
          <w:lang/>
        </w:rPr>
      </w:pPr>
      <w:r w:rsidRPr="00AF0C06">
        <w:rPr>
          <w:rFonts w:ascii="Times New Roman" w:hAnsi="Times New Roman" w:cs="Times New Roman"/>
          <w:noProof/>
          <w:sz w:val="24"/>
          <w:szCs w:val="24"/>
          <w:lang/>
        </w:rPr>
        <w:t>И када је реч о разликама у погледу образовања високообразовани знатно чешће од ниже образованих бирају Фестивал стрипа (2,3% високо образованих, 0,8% средње и ниједан представник грађана са основношколским образовањем) СОМУС (17,2% према 3,4% грађана са завршеном основном школом и</w:t>
      </w:r>
      <w:r w:rsidRPr="00AF0C06">
        <w:rPr>
          <w:rFonts w:ascii="Times New Roman" w:hAnsi="Times New Roman" w:cs="Times New Roman"/>
          <w:noProof/>
          <w:sz w:val="24"/>
          <w:szCs w:val="24"/>
          <w:lang/>
        </w:rPr>
        <w:tab/>
        <w:t xml:space="preserve">9,4% са средњим образовањем) и Позоришни маратон (46% према 33,9% грађана са завршеном основном школом и 30,7% оних са средњим образовањем) као репрезентативне манифестације града Сомбора. Високообразовани знатно ређе од </w:t>
      </w:r>
      <w:r w:rsidR="00AF0C06">
        <w:rPr>
          <w:rFonts w:ascii="Times New Roman" w:hAnsi="Times New Roman" w:cs="Times New Roman"/>
          <w:noProof/>
          <w:sz w:val="24"/>
          <w:szCs w:val="24"/>
          <w:lang/>
        </w:rPr>
        <w:t>ниже образованих</w:t>
      </w:r>
      <w:r w:rsidRPr="00AF0C06">
        <w:rPr>
          <w:rFonts w:ascii="Times New Roman" w:hAnsi="Times New Roman" w:cs="Times New Roman"/>
          <w:noProof/>
          <w:sz w:val="24"/>
          <w:szCs w:val="24"/>
          <w:lang/>
        </w:rPr>
        <w:t xml:space="preserve"> суграђана приписују Фестивалу мултикултиралности епитет најрепрезентативнији (то чини 7,5% високообразованих, 16,9% средњеобразованих и 13,6% испитаника са завршеном основном школом.</w:t>
      </w:r>
    </w:p>
    <w:p w:rsidR="00D33C02" w:rsidRPr="00AF0C06" w:rsidRDefault="00D33C02" w:rsidP="00EE3A50">
      <w:pPr>
        <w:spacing w:after="0"/>
        <w:jc w:val="both"/>
        <w:rPr>
          <w:rFonts w:ascii="Times New Roman" w:hAnsi="Times New Roman" w:cs="Times New Roman"/>
          <w:noProof/>
          <w:sz w:val="24"/>
          <w:szCs w:val="24"/>
          <w:lang/>
        </w:rPr>
      </w:pPr>
      <w:r w:rsidRPr="00AF0C06">
        <w:rPr>
          <w:rFonts w:ascii="Times New Roman" w:hAnsi="Times New Roman" w:cs="Times New Roman"/>
          <w:noProof/>
          <w:sz w:val="24"/>
          <w:szCs w:val="24"/>
          <w:lang/>
        </w:rPr>
        <w:t>Табела</w:t>
      </w:r>
      <w:r w:rsidR="00EE3A50" w:rsidRPr="00AF0C06">
        <w:rPr>
          <w:rFonts w:ascii="Times New Roman" w:hAnsi="Times New Roman" w:cs="Times New Roman"/>
          <w:noProof/>
          <w:sz w:val="24"/>
          <w:szCs w:val="24"/>
          <w:lang/>
        </w:rPr>
        <w:t xml:space="preserve"> 4</w:t>
      </w:r>
      <w:r w:rsidRPr="00AF0C06">
        <w:rPr>
          <w:rFonts w:ascii="Times New Roman" w:hAnsi="Times New Roman" w:cs="Times New Roman"/>
          <w:noProof/>
          <w:sz w:val="24"/>
          <w:szCs w:val="24"/>
          <w:lang/>
        </w:rPr>
        <w:t xml:space="preserve">: </w:t>
      </w:r>
      <w:r w:rsidR="00EE3A50" w:rsidRPr="00AF0C06">
        <w:rPr>
          <w:rFonts w:ascii="Times New Roman" w:hAnsi="Times New Roman" w:cs="Times New Roman"/>
          <w:noProof/>
          <w:sz w:val="24"/>
          <w:szCs w:val="24"/>
          <w:lang/>
        </w:rPr>
        <w:t xml:space="preserve">Проценат оних који мисле да је одређена манифестација најрепрезентативнија за град (мултипли одговори)) </w:t>
      </w:r>
    </w:p>
    <w:tbl>
      <w:tblPr>
        <w:tblStyle w:val="LightGrid-Accent11"/>
        <w:tblW w:w="9346" w:type="dxa"/>
        <w:tblLayout w:type="fixed"/>
        <w:tblLook w:val="04A0"/>
      </w:tblPr>
      <w:tblGrid>
        <w:gridCol w:w="2064"/>
        <w:gridCol w:w="728"/>
        <w:gridCol w:w="728"/>
        <w:gridCol w:w="728"/>
        <w:gridCol w:w="728"/>
        <w:gridCol w:w="729"/>
        <w:gridCol w:w="728"/>
        <w:gridCol w:w="728"/>
        <w:gridCol w:w="728"/>
        <w:gridCol w:w="728"/>
        <w:gridCol w:w="729"/>
      </w:tblGrid>
      <w:tr w:rsidR="00D33C02" w:rsidRPr="00D33C02" w:rsidTr="00D33C02">
        <w:trPr>
          <w:cnfStyle w:val="100000000000"/>
          <w:trHeight w:val="145"/>
        </w:trPr>
        <w:tc>
          <w:tcPr>
            <w:cnfStyle w:val="001000000000"/>
            <w:tcW w:w="2098" w:type="dxa"/>
            <w:vMerge w:val="restart"/>
            <w:tcBorders>
              <w:right w:val="single" w:sz="24" w:space="0" w:color="5B9BD5" w:themeColor="accent1"/>
            </w:tcBorders>
            <w:vAlign w:val="center"/>
          </w:tcPr>
          <w:p w:rsidR="00D33C02" w:rsidRPr="00D33C02" w:rsidRDefault="00D33C02" w:rsidP="00D33C02">
            <w:pPr>
              <w:jc w:val="center"/>
              <w:rPr>
                <w:b w:val="0"/>
                <w:noProof/>
                <w:szCs w:val="24"/>
                <w:lang/>
              </w:rPr>
            </w:pPr>
            <w:r w:rsidRPr="00D33C02">
              <w:rPr>
                <w:b w:val="0"/>
                <w:noProof/>
                <w:szCs w:val="24"/>
                <w:lang/>
              </w:rPr>
              <w:t>Манифестација</w:t>
            </w:r>
          </w:p>
        </w:tc>
        <w:tc>
          <w:tcPr>
            <w:tcW w:w="1474" w:type="dxa"/>
            <w:gridSpan w:val="2"/>
            <w:tcBorders>
              <w:left w:val="single" w:sz="24" w:space="0" w:color="5B9BD5" w:themeColor="accent1"/>
              <w:bottom w:val="single" w:sz="4" w:space="0" w:color="5B9BD5" w:themeColor="accent1"/>
              <w:right w:val="single" w:sz="24" w:space="0" w:color="5B9BD5" w:themeColor="accent1"/>
            </w:tcBorders>
            <w:vAlign w:val="center"/>
          </w:tcPr>
          <w:p w:rsidR="00D33C02" w:rsidRPr="00D33C02" w:rsidRDefault="00D33C02" w:rsidP="00D33C02">
            <w:pPr>
              <w:jc w:val="center"/>
              <w:cnfStyle w:val="100000000000"/>
              <w:rPr>
                <w:noProof/>
                <w:lang/>
              </w:rPr>
            </w:pPr>
            <w:r w:rsidRPr="00D33C02">
              <w:rPr>
                <w:noProof/>
                <w:lang/>
              </w:rPr>
              <w:t>ПОЛ</w:t>
            </w:r>
          </w:p>
        </w:tc>
        <w:tc>
          <w:tcPr>
            <w:tcW w:w="1474" w:type="dxa"/>
            <w:gridSpan w:val="2"/>
            <w:tcBorders>
              <w:left w:val="single" w:sz="24" w:space="0" w:color="5B9BD5" w:themeColor="accent1"/>
              <w:bottom w:val="single" w:sz="4" w:space="0" w:color="5B9BD5" w:themeColor="accent1"/>
              <w:right w:val="single" w:sz="24" w:space="0" w:color="5B9BD5" w:themeColor="accent1"/>
            </w:tcBorders>
            <w:vAlign w:val="center"/>
          </w:tcPr>
          <w:p w:rsidR="00D33C02" w:rsidRPr="00D33C02" w:rsidRDefault="00D33C02" w:rsidP="00D33C02">
            <w:pPr>
              <w:jc w:val="center"/>
              <w:cnfStyle w:val="100000000000"/>
              <w:rPr>
                <w:noProof/>
                <w:lang/>
              </w:rPr>
            </w:pPr>
            <w:r w:rsidRPr="00D33C02">
              <w:rPr>
                <w:noProof/>
                <w:lang/>
              </w:rPr>
              <w:t>НАСЕЉЕ</w:t>
            </w:r>
          </w:p>
        </w:tc>
        <w:tc>
          <w:tcPr>
            <w:tcW w:w="2212" w:type="dxa"/>
            <w:gridSpan w:val="3"/>
            <w:tcBorders>
              <w:left w:val="single" w:sz="24" w:space="0" w:color="5B9BD5" w:themeColor="accent1"/>
              <w:bottom w:val="single" w:sz="4" w:space="0" w:color="5B9BD5" w:themeColor="accent1"/>
              <w:right w:val="single" w:sz="24" w:space="0" w:color="5B9BD5" w:themeColor="accent1"/>
            </w:tcBorders>
            <w:vAlign w:val="center"/>
          </w:tcPr>
          <w:p w:rsidR="00D33C02" w:rsidRPr="00D33C02" w:rsidRDefault="00D33C02" w:rsidP="00D33C02">
            <w:pPr>
              <w:jc w:val="center"/>
              <w:cnfStyle w:val="100000000000"/>
              <w:rPr>
                <w:noProof/>
                <w:lang/>
              </w:rPr>
            </w:pPr>
            <w:r w:rsidRPr="00D33C02">
              <w:rPr>
                <w:noProof/>
                <w:lang/>
              </w:rPr>
              <w:t>ОБРАЗОВАЊЕ</w:t>
            </w:r>
          </w:p>
        </w:tc>
        <w:tc>
          <w:tcPr>
            <w:tcW w:w="2212" w:type="dxa"/>
            <w:gridSpan w:val="3"/>
            <w:tcBorders>
              <w:left w:val="single" w:sz="24" w:space="0" w:color="5B9BD5" w:themeColor="accent1"/>
              <w:bottom w:val="single" w:sz="4" w:space="0" w:color="5B9BD5" w:themeColor="accent1"/>
            </w:tcBorders>
            <w:vAlign w:val="center"/>
          </w:tcPr>
          <w:p w:rsidR="00D33C02" w:rsidRPr="00D33C02" w:rsidRDefault="00D33C02" w:rsidP="00D33C02">
            <w:pPr>
              <w:jc w:val="center"/>
              <w:cnfStyle w:val="100000000000"/>
              <w:rPr>
                <w:b w:val="0"/>
                <w:bCs w:val="0"/>
                <w:noProof/>
                <w:lang/>
              </w:rPr>
            </w:pPr>
            <w:r w:rsidRPr="00D33C02">
              <w:rPr>
                <w:noProof/>
                <w:lang/>
              </w:rPr>
              <w:t>ГОДИНЕ</w:t>
            </w:r>
          </w:p>
        </w:tc>
      </w:tr>
      <w:tr w:rsidR="00D33C02" w:rsidRPr="00D33C02" w:rsidTr="00D33C02">
        <w:trPr>
          <w:cnfStyle w:val="000000100000"/>
          <w:trHeight w:val="145"/>
        </w:trPr>
        <w:tc>
          <w:tcPr>
            <w:cnfStyle w:val="001000000000"/>
            <w:tcW w:w="2098" w:type="dxa"/>
            <w:vMerge/>
            <w:tcBorders>
              <w:bottom w:val="single" w:sz="4" w:space="0" w:color="5B9BD5" w:themeColor="accent1"/>
              <w:right w:val="single" w:sz="24" w:space="0" w:color="5B9BD5" w:themeColor="accent1"/>
            </w:tcBorders>
            <w:vAlign w:val="center"/>
          </w:tcPr>
          <w:p w:rsidR="00D33C02" w:rsidRPr="00D33C02" w:rsidRDefault="00D33C02" w:rsidP="00D33C02">
            <w:pPr>
              <w:jc w:val="center"/>
              <w:rPr>
                <w:b w:val="0"/>
                <w:noProof/>
                <w:sz w:val="18"/>
                <w:szCs w:val="18"/>
              </w:rPr>
            </w:pPr>
          </w:p>
        </w:tc>
        <w:tc>
          <w:tcPr>
            <w:tcW w:w="737" w:type="dxa"/>
            <w:tcBorders>
              <w:top w:val="single" w:sz="4" w:space="0" w:color="5B9BD5" w:themeColor="accent1"/>
              <w:left w:val="single" w:sz="24" w:space="0" w:color="5B9BD5" w:themeColor="accent1"/>
              <w:bottom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lang/>
              </w:rPr>
              <w:t>М</w:t>
            </w:r>
          </w:p>
        </w:tc>
        <w:tc>
          <w:tcPr>
            <w:tcW w:w="737" w:type="dxa"/>
            <w:tcBorders>
              <w:top w:val="single" w:sz="4" w:space="0" w:color="5B9BD5" w:themeColor="accent1"/>
              <w:bottom w:val="single" w:sz="24" w:space="0" w:color="5B9BD5" w:themeColor="accent1"/>
              <w:right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lang/>
              </w:rPr>
              <w:t>Ж</w:t>
            </w:r>
          </w:p>
        </w:tc>
        <w:tc>
          <w:tcPr>
            <w:tcW w:w="737" w:type="dxa"/>
            <w:tcBorders>
              <w:top w:val="single" w:sz="4" w:space="0" w:color="5B9BD5" w:themeColor="accent1"/>
              <w:left w:val="single" w:sz="24" w:space="0" w:color="5B9BD5" w:themeColor="accent1"/>
              <w:bottom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lang/>
              </w:rPr>
              <w:t>Град</w:t>
            </w:r>
          </w:p>
        </w:tc>
        <w:tc>
          <w:tcPr>
            <w:tcW w:w="737" w:type="dxa"/>
            <w:tcBorders>
              <w:top w:val="single" w:sz="4" w:space="0" w:color="5B9BD5" w:themeColor="accent1"/>
              <w:bottom w:val="single" w:sz="24" w:space="0" w:color="5B9BD5" w:themeColor="accent1"/>
              <w:right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lang/>
              </w:rPr>
              <w:t>Село</w:t>
            </w:r>
          </w:p>
        </w:tc>
        <w:tc>
          <w:tcPr>
            <w:tcW w:w="738" w:type="dxa"/>
            <w:tcBorders>
              <w:top w:val="single" w:sz="4" w:space="0" w:color="5B9BD5" w:themeColor="accent1"/>
              <w:left w:val="single" w:sz="24" w:space="0" w:color="5B9BD5" w:themeColor="accent1"/>
              <w:bottom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lang/>
              </w:rPr>
              <w:t>ОШ</w:t>
            </w:r>
          </w:p>
        </w:tc>
        <w:tc>
          <w:tcPr>
            <w:tcW w:w="737" w:type="dxa"/>
            <w:tcBorders>
              <w:top w:val="single" w:sz="4" w:space="0" w:color="5B9BD5" w:themeColor="accent1"/>
              <w:bottom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lang/>
              </w:rPr>
              <w:t>ССС</w:t>
            </w:r>
          </w:p>
        </w:tc>
        <w:tc>
          <w:tcPr>
            <w:tcW w:w="737" w:type="dxa"/>
            <w:tcBorders>
              <w:top w:val="single" w:sz="4" w:space="0" w:color="5B9BD5" w:themeColor="accent1"/>
              <w:bottom w:val="single" w:sz="24" w:space="0" w:color="5B9BD5" w:themeColor="accent1"/>
              <w:right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lang/>
              </w:rPr>
              <w:t>ВСС</w:t>
            </w:r>
          </w:p>
        </w:tc>
        <w:tc>
          <w:tcPr>
            <w:tcW w:w="737" w:type="dxa"/>
            <w:tcBorders>
              <w:top w:val="single" w:sz="4" w:space="0" w:color="5B9BD5" w:themeColor="accent1"/>
              <w:left w:val="single" w:sz="24" w:space="0" w:color="5B9BD5" w:themeColor="accent1"/>
              <w:bottom w:val="single" w:sz="24" w:space="0" w:color="5B9BD5" w:themeColor="accent1"/>
            </w:tcBorders>
            <w:vAlign w:val="center"/>
          </w:tcPr>
          <w:p w:rsidR="00D33C02" w:rsidRPr="00EE3A50" w:rsidRDefault="00D33C02" w:rsidP="00D33C02">
            <w:pPr>
              <w:jc w:val="center"/>
              <w:cnfStyle w:val="000000100000"/>
              <w:rPr>
                <w:noProof/>
                <w:sz w:val="20"/>
                <w:szCs w:val="20"/>
              </w:rPr>
            </w:pPr>
            <w:r w:rsidRPr="00EE3A50">
              <w:rPr>
                <w:noProof/>
                <w:sz w:val="20"/>
                <w:szCs w:val="20"/>
              </w:rPr>
              <w:t>15-29</w:t>
            </w:r>
          </w:p>
        </w:tc>
        <w:tc>
          <w:tcPr>
            <w:tcW w:w="737" w:type="dxa"/>
            <w:tcBorders>
              <w:top w:val="single" w:sz="4" w:space="0" w:color="5B9BD5" w:themeColor="accent1"/>
              <w:bottom w:val="single" w:sz="24" w:space="0" w:color="5B9BD5" w:themeColor="accent1"/>
            </w:tcBorders>
            <w:vAlign w:val="center"/>
          </w:tcPr>
          <w:p w:rsidR="00D33C02" w:rsidRPr="00EE3A50" w:rsidRDefault="00D33C02" w:rsidP="00D33C02">
            <w:pPr>
              <w:jc w:val="center"/>
              <w:cnfStyle w:val="000000100000"/>
              <w:rPr>
                <w:noProof/>
                <w:sz w:val="20"/>
                <w:szCs w:val="20"/>
              </w:rPr>
            </w:pPr>
            <w:r w:rsidRPr="00EE3A50">
              <w:rPr>
                <w:noProof/>
                <w:sz w:val="20"/>
                <w:szCs w:val="20"/>
              </w:rPr>
              <w:t>30-49</w:t>
            </w:r>
          </w:p>
        </w:tc>
        <w:tc>
          <w:tcPr>
            <w:tcW w:w="738" w:type="dxa"/>
            <w:tcBorders>
              <w:top w:val="single" w:sz="4" w:space="0" w:color="5B9BD5" w:themeColor="accent1"/>
              <w:bottom w:val="single" w:sz="24" w:space="0" w:color="5B9BD5" w:themeColor="accent1"/>
            </w:tcBorders>
            <w:vAlign w:val="center"/>
          </w:tcPr>
          <w:p w:rsidR="00D33C02" w:rsidRPr="00EE3A50" w:rsidRDefault="00D33C02" w:rsidP="00D33C02">
            <w:pPr>
              <w:jc w:val="center"/>
              <w:cnfStyle w:val="000000100000"/>
              <w:rPr>
                <w:noProof/>
                <w:sz w:val="20"/>
                <w:szCs w:val="20"/>
                <w:lang/>
              </w:rPr>
            </w:pPr>
            <w:r w:rsidRPr="00EE3A50">
              <w:rPr>
                <w:noProof/>
                <w:sz w:val="20"/>
                <w:szCs w:val="20"/>
              </w:rPr>
              <w:t>50</w:t>
            </w:r>
            <w:r w:rsidRPr="00EE3A50">
              <w:rPr>
                <w:noProof/>
                <w:sz w:val="20"/>
                <w:szCs w:val="20"/>
                <w:lang/>
              </w:rPr>
              <w:t>+</w:t>
            </w:r>
          </w:p>
        </w:tc>
      </w:tr>
      <w:tr w:rsidR="00D33C02" w:rsidRPr="00D33C02" w:rsidTr="00D33C02">
        <w:trPr>
          <w:cnfStyle w:val="000000010000"/>
          <w:trHeight w:val="145"/>
        </w:trPr>
        <w:tc>
          <w:tcPr>
            <w:cnfStyle w:val="001000000000"/>
            <w:tcW w:w="2098" w:type="dxa"/>
            <w:tcBorders>
              <w:top w:val="single" w:sz="4" w:space="0" w:color="5B9BD5" w:themeColor="accent1"/>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Дан Града Сомбора</w:t>
            </w:r>
          </w:p>
        </w:tc>
        <w:tc>
          <w:tcPr>
            <w:tcW w:w="737" w:type="dxa"/>
            <w:tcBorders>
              <w:top w:val="single" w:sz="24" w:space="0" w:color="5B9BD5" w:themeColor="accent1"/>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18,0</w:t>
            </w:r>
          </w:p>
        </w:tc>
        <w:tc>
          <w:tcPr>
            <w:tcW w:w="737" w:type="dxa"/>
            <w:tcBorders>
              <w:top w:val="single" w:sz="24" w:space="0" w:color="5B9BD5" w:themeColor="accent1"/>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13,2</w:t>
            </w:r>
          </w:p>
        </w:tc>
        <w:tc>
          <w:tcPr>
            <w:tcW w:w="737" w:type="dxa"/>
            <w:tcBorders>
              <w:top w:val="single" w:sz="24" w:space="0" w:color="5B9BD5" w:themeColor="accent1"/>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12,7</w:t>
            </w:r>
          </w:p>
        </w:tc>
        <w:tc>
          <w:tcPr>
            <w:tcW w:w="737" w:type="dxa"/>
            <w:tcBorders>
              <w:top w:val="single" w:sz="24" w:space="0" w:color="5B9BD5" w:themeColor="accent1"/>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19,7</w:t>
            </w:r>
          </w:p>
        </w:tc>
        <w:tc>
          <w:tcPr>
            <w:tcW w:w="738" w:type="dxa"/>
            <w:tcBorders>
              <w:top w:val="single" w:sz="24" w:space="0" w:color="5B9BD5" w:themeColor="accent1"/>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10,2</w:t>
            </w:r>
          </w:p>
        </w:tc>
        <w:tc>
          <w:tcPr>
            <w:tcW w:w="737" w:type="dxa"/>
            <w:tcBorders>
              <w:top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16,1</w:t>
            </w:r>
          </w:p>
        </w:tc>
        <w:tc>
          <w:tcPr>
            <w:tcW w:w="737" w:type="dxa"/>
            <w:tcBorders>
              <w:top w:val="single" w:sz="24" w:space="0" w:color="5B9BD5" w:themeColor="accent1"/>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15,5</w:t>
            </w:r>
          </w:p>
        </w:tc>
        <w:tc>
          <w:tcPr>
            <w:tcW w:w="737" w:type="dxa"/>
            <w:tcBorders>
              <w:top w:val="single" w:sz="24" w:space="0" w:color="5B9BD5" w:themeColor="accent1"/>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17,4</w:t>
            </w:r>
          </w:p>
        </w:tc>
        <w:tc>
          <w:tcPr>
            <w:tcW w:w="737" w:type="dxa"/>
            <w:tcBorders>
              <w:top w:val="single" w:sz="24" w:space="0" w:color="5B9BD5" w:themeColor="accent1"/>
            </w:tcBorders>
            <w:vAlign w:val="center"/>
          </w:tcPr>
          <w:p w:rsidR="00D33C02" w:rsidRPr="00D33C02" w:rsidRDefault="00D33C02" w:rsidP="00D33C02">
            <w:pPr>
              <w:jc w:val="center"/>
              <w:cnfStyle w:val="000000010000"/>
              <w:rPr>
                <w:noProof/>
              </w:rPr>
            </w:pPr>
            <w:r w:rsidRPr="00D33C02">
              <w:rPr>
                <w:noProof/>
              </w:rPr>
              <w:t>17,5</w:t>
            </w:r>
          </w:p>
        </w:tc>
        <w:tc>
          <w:tcPr>
            <w:tcW w:w="738" w:type="dxa"/>
            <w:tcBorders>
              <w:top w:val="single" w:sz="24" w:space="0" w:color="5B9BD5" w:themeColor="accent1"/>
            </w:tcBorders>
            <w:vAlign w:val="center"/>
          </w:tcPr>
          <w:p w:rsidR="00D33C02" w:rsidRPr="00D33C02" w:rsidRDefault="00D33C02" w:rsidP="00D33C02">
            <w:pPr>
              <w:jc w:val="center"/>
              <w:cnfStyle w:val="000000010000"/>
              <w:rPr>
                <w:noProof/>
              </w:rPr>
            </w:pPr>
            <w:r w:rsidRPr="00D33C02">
              <w:rPr>
                <w:noProof/>
              </w:rPr>
              <w:t>10,1</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lastRenderedPageBreak/>
              <w:t>Шарени вокали</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8,5</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7,5</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7,3</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10,1</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15,3</w:t>
            </w:r>
          </w:p>
        </w:tc>
        <w:tc>
          <w:tcPr>
            <w:tcW w:w="737" w:type="dxa"/>
            <w:vAlign w:val="center"/>
          </w:tcPr>
          <w:p w:rsidR="00D33C02" w:rsidRPr="00D33C02" w:rsidRDefault="00D33C02" w:rsidP="00D33C02">
            <w:pPr>
              <w:jc w:val="center"/>
              <w:cnfStyle w:val="000000100000"/>
              <w:rPr>
                <w:noProof/>
              </w:rPr>
            </w:pPr>
            <w:r w:rsidRPr="00D33C02">
              <w:rPr>
                <w:noProof/>
              </w:rPr>
              <w:t>7,5</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6,9</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4,6</w:t>
            </w:r>
          </w:p>
        </w:tc>
        <w:tc>
          <w:tcPr>
            <w:tcW w:w="737" w:type="dxa"/>
            <w:vAlign w:val="center"/>
          </w:tcPr>
          <w:p w:rsidR="00D33C02" w:rsidRPr="00D33C02" w:rsidRDefault="00D33C02" w:rsidP="00D33C02">
            <w:pPr>
              <w:jc w:val="center"/>
              <w:cnfStyle w:val="000000100000"/>
              <w:rPr>
                <w:noProof/>
              </w:rPr>
            </w:pPr>
            <w:r w:rsidRPr="00D33C02">
              <w:rPr>
                <w:noProof/>
              </w:rPr>
              <w:t>6,6</w:t>
            </w:r>
          </w:p>
        </w:tc>
        <w:tc>
          <w:tcPr>
            <w:tcW w:w="738" w:type="dxa"/>
            <w:vAlign w:val="center"/>
          </w:tcPr>
          <w:p w:rsidR="00D33C02" w:rsidRPr="00D33C02" w:rsidRDefault="00D33C02" w:rsidP="00D33C02">
            <w:pPr>
              <w:jc w:val="center"/>
              <w:cnfStyle w:val="000000100000"/>
              <w:rPr>
                <w:noProof/>
              </w:rPr>
            </w:pPr>
            <w:r w:rsidRPr="00D33C02">
              <w:rPr>
                <w:noProof/>
              </w:rPr>
              <w:t>12,6</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lang/>
              </w:rPr>
            </w:pPr>
            <w:r w:rsidRPr="00D33C02">
              <w:rPr>
                <w:b w:val="0"/>
                <w:color w:val="000000"/>
                <w:sz w:val="18"/>
                <w:szCs w:val="18"/>
                <w:lang/>
              </w:rPr>
              <w:t>Green Town Jazz Fest</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4,2</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6,4</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7,6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1,3</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5,1</w:t>
            </w:r>
          </w:p>
        </w:tc>
        <w:tc>
          <w:tcPr>
            <w:tcW w:w="737" w:type="dxa"/>
            <w:vAlign w:val="center"/>
          </w:tcPr>
          <w:p w:rsidR="00D33C02" w:rsidRPr="00D33C02" w:rsidRDefault="00D33C02" w:rsidP="00D33C02">
            <w:pPr>
              <w:jc w:val="center"/>
              <w:cnfStyle w:val="000000010000"/>
              <w:rPr>
                <w:noProof/>
              </w:rPr>
            </w:pPr>
            <w:r w:rsidRPr="00D33C02">
              <w:rPr>
                <w:noProof/>
              </w:rPr>
              <w:t>6,3</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4,6</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9,2</w:t>
            </w:r>
          </w:p>
        </w:tc>
        <w:tc>
          <w:tcPr>
            <w:tcW w:w="737" w:type="dxa"/>
            <w:vAlign w:val="center"/>
          </w:tcPr>
          <w:p w:rsidR="00D33C02" w:rsidRPr="00D33C02" w:rsidRDefault="00D33C02" w:rsidP="00D33C02">
            <w:pPr>
              <w:jc w:val="center"/>
              <w:cnfStyle w:val="000000010000"/>
              <w:rPr>
                <w:noProof/>
              </w:rPr>
            </w:pPr>
            <w:r w:rsidRPr="00D33C02">
              <w:rPr>
                <w:noProof/>
              </w:rPr>
              <w:t>6,2</w:t>
            </w:r>
          </w:p>
        </w:tc>
        <w:tc>
          <w:tcPr>
            <w:tcW w:w="738" w:type="dxa"/>
            <w:vAlign w:val="center"/>
          </w:tcPr>
          <w:p w:rsidR="00D33C02" w:rsidRPr="00D33C02" w:rsidRDefault="00D33C02" w:rsidP="00D33C02">
            <w:pPr>
              <w:jc w:val="center"/>
              <w:cnfStyle w:val="000000010000"/>
              <w:rPr>
                <w:noProof/>
              </w:rPr>
            </w:pPr>
            <w:r w:rsidRPr="00D33C02">
              <w:rPr>
                <w:noProof/>
              </w:rPr>
              <w:t>1,9</w:t>
            </w:r>
          </w:p>
        </w:tc>
      </w:tr>
      <w:tr w:rsidR="00D33C02" w:rsidRPr="00D33C02" w:rsidTr="00D33C02">
        <w:trPr>
          <w:cnfStyle w:val="000000100000"/>
          <w:trHeight w:val="140"/>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lang/>
              </w:rPr>
            </w:pPr>
            <w:r w:rsidRPr="00D33C02">
              <w:rPr>
                <w:b w:val="0"/>
                <w:color w:val="000000"/>
                <w:sz w:val="18"/>
                <w:szCs w:val="18"/>
                <w:lang/>
              </w:rPr>
              <w:t>Филмски фестивал</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10,1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10,2</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12,7</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5,7</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16,9</w:t>
            </w:r>
          </w:p>
        </w:tc>
        <w:tc>
          <w:tcPr>
            <w:tcW w:w="737" w:type="dxa"/>
            <w:vAlign w:val="center"/>
          </w:tcPr>
          <w:p w:rsidR="00D33C02" w:rsidRPr="00D33C02" w:rsidRDefault="00D33C02" w:rsidP="00D33C02">
            <w:pPr>
              <w:jc w:val="center"/>
              <w:cnfStyle w:val="000000100000"/>
              <w:rPr>
                <w:noProof/>
              </w:rPr>
            </w:pPr>
            <w:r w:rsidRPr="00D33C02">
              <w:rPr>
                <w:noProof/>
              </w:rPr>
              <w:t>6,3</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13,2</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17,4</w:t>
            </w:r>
          </w:p>
        </w:tc>
        <w:tc>
          <w:tcPr>
            <w:tcW w:w="737" w:type="dxa"/>
            <w:vAlign w:val="center"/>
          </w:tcPr>
          <w:p w:rsidR="00D33C02" w:rsidRPr="00D33C02" w:rsidRDefault="00D33C02" w:rsidP="00D33C02">
            <w:pPr>
              <w:jc w:val="center"/>
              <w:cnfStyle w:val="000000100000"/>
              <w:rPr>
                <w:noProof/>
              </w:rPr>
            </w:pPr>
            <w:r w:rsidRPr="00D33C02">
              <w:rPr>
                <w:noProof/>
              </w:rPr>
              <w:t>7,6</w:t>
            </w:r>
          </w:p>
        </w:tc>
        <w:tc>
          <w:tcPr>
            <w:tcW w:w="738" w:type="dxa"/>
            <w:vAlign w:val="center"/>
          </w:tcPr>
          <w:p w:rsidR="00D33C02" w:rsidRPr="00D33C02" w:rsidRDefault="00D33C02" w:rsidP="00D33C02">
            <w:pPr>
              <w:jc w:val="center"/>
              <w:cnfStyle w:val="000000100000"/>
              <w:rPr>
                <w:noProof/>
              </w:rPr>
            </w:pPr>
            <w:r w:rsidRPr="00D33C02">
              <w:rPr>
                <w:noProof/>
              </w:rPr>
              <w:t>7,5</w:t>
            </w:r>
          </w:p>
        </w:tc>
      </w:tr>
      <w:tr w:rsidR="00D33C02" w:rsidRPr="00D33C02" w:rsidTr="00D33C02">
        <w:trPr>
          <w:cnfStyle w:val="000000010000"/>
          <w:trHeight w:val="140"/>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lang/>
              </w:rPr>
            </w:pPr>
            <w:r w:rsidRPr="00D33C02">
              <w:rPr>
                <w:b w:val="0"/>
                <w:color w:val="000000"/>
                <w:sz w:val="18"/>
                <w:szCs w:val="18"/>
                <w:lang/>
              </w:rPr>
              <w:t>Ликовна јесен</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4,8</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3,4</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4,4</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1,9</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5,1</w:t>
            </w:r>
          </w:p>
        </w:tc>
        <w:tc>
          <w:tcPr>
            <w:tcW w:w="737" w:type="dxa"/>
            <w:vAlign w:val="center"/>
          </w:tcPr>
          <w:p w:rsidR="00D33C02" w:rsidRPr="00D33C02" w:rsidRDefault="00D33C02" w:rsidP="00D33C02">
            <w:pPr>
              <w:jc w:val="center"/>
              <w:cnfStyle w:val="000000010000"/>
              <w:rPr>
                <w:noProof/>
              </w:rPr>
            </w:pPr>
            <w:r w:rsidRPr="00D33C02">
              <w:rPr>
                <w:noProof/>
              </w:rPr>
              <w:t>2,4</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5,7</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0,9</w:t>
            </w:r>
          </w:p>
        </w:tc>
        <w:tc>
          <w:tcPr>
            <w:tcW w:w="737" w:type="dxa"/>
            <w:vAlign w:val="center"/>
          </w:tcPr>
          <w:p w:rsidR="00D33C02" w:rsidRPr="00D33C02" w:rsidRDefault="00D33C02" w:rsidP="00D33C02">
            <w:pPr>
              <w:jc w:val="center"/>
              <w:cnfStyle w:val="000000010000"/>
              <w:rPr>
                <w:noProof/>
              </w:rPr>
            </w:pPr>
            <w:r w:rsidRPr="00D33C02">
              <w:rPr>
                <w:noProof/>
              </w:rPr>
              <w:t>5,7</w:t>
            </w:r>
          </w:p>
        </w:tc>
        <w:tc>
          <w:tcPr>
            <w:tcW w:w="738" w:type="dxa"/>
            <w:vAlign w:val="center"/>
          </w:tcPr>
          <w:p w:rsidR="00D33C02" w:rsidRPr="00D33C02" w:rsidRDefault="00D33C02" w:rsidP="00D33C02">
            <w:pPr>
              <w:jc w:val="center"/>
              <w:cnfStyle w:val="000000010000"/>
              <w:rPr>
                <w:noProof/>
              </w:rPr>
            </w:pPr>
            <w:r w:rsidRPr="00D33C02">
              <w:rPr>
                <w:noProof/>
              </w:rPr>
              <w:t>3,1</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Ђурђевдански фестивал фолклора</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4,2</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5,4</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3,2</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8,2</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10,2</w:t>
            </w:r>
          </w:p>
        </w:tc>
        <w:tc>
          <w:tcPr>
            <w:tcW w:w="737" w:type="dxa"/>
            <w:vAlign w:val="center"/>
          </w:tcPr>
          <w:p w:rsidR="00D33C02" w:rsidRPr="00D33C02" w:rsidRDefault="00D33C02" w:rsidP="00D33C02">
            <w:pPr>
              <w:jc w:val="center"/>
              <w:cnfStyle w:val="000000100000"/>
              <w:rPr>
                <w:noProof/>
              </w:rPr>
            </w:pPr>
            <w:r w:rsidRPr="00D33C02">
              <w:rPr>
                <w:noProof/>
              </w:rPr>
              <w:t>5,5</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2,3</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2,8</w:t>
            </w:r>
          </w:p>
        </w:tc>
        <w:tc>
          <w:tcPr>
            <w:tcW w:w="737" w:type="dxa"/>
            <w:vAlign w:val="center"/>
          </w:tcPr>
          <w:p w:rsidR="00D33C02" w:rsidRPr="00D33C02" w:rsidRDefault="00D33C02" w:rsidP="00D33C02">
            <w:pPr>
              <w:jc w:val="center"/>
              <w:cnfStyle w:val="000000100000"/>
              <w:rPr>
                <w:noProof/>
              </w:rPr>
            </w:pPr>
            <w:r w:rsidRPr="00D33C02">
              <w:rPr>
                <w:noProof/>
              </w:rPr>
              <w:t>2,8</w:t>
            </w:r>
          </w:p>
        </w:tc>
        <w:tc>
          <w:tcPr>
            <w:tcW w:w="738" w:type="dxa"/>
            <w:vAlign w:val="center"/>
          </w:tcPr>
          <w:p w:rsidR="00D33C02" w:rsidRPr="00D33C02" w:rsidRDefault="00D33C02" w:rsidP="00D33C02">
            <w:pPr>
              <w:jc w:val="center"/>
              <w:cnfStyle w:val="000000100000"/>
              <w:rPr>
                <w:noProof/>
              </w:rPr>
            </w:pPr>
            <w:r w:rsidRPr="00D33C02">
              <w:rPr>
                <w:noProof/>
              </w:rPr>
              <w:t>9,4</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Светођурђевдански дани</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4,2</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2,7</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2,9</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4,4</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0,0</w:t>
            </w:r>
          </w:p>
        </w:tc>
        <w:tc>
          <w:tcPr>
            <w:tcW w:w="737" w:type="dxa"/>
            <w:vAlign w:val="center"/>
          </w:tcPr>
          <w:p w:rsidR="00D33C02" w:rsidRPr="00D33C02" w:rsidRDefault="00D33C02" w:rsidP="00D33C02">
            <w:pPr>
              <w:jc w:val="center"/>
              <w:cnfStyle w:val="000000010000"/>
              <w:rPr>
                <w:noProof/>
              </w:rPr>
            </w:pPr>
            <w:r w:rsidRPr="00D33C02">
              <w:rPr>
                <w:noProof/>
              </w:rPr>
              <w:t>3,9</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3,4</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1,8</w:t>
            </w:r>
          </w:p>
        </w:tc>
        <w:tc>
          <w:tcPr>
            <w:tcW w:w="737" w:type="dxa"/>
            <w:vAlign w:val="center"/>
          </w:tcPr>
          <w:p w:rsidR="00D33C02" w:rsidRPr="00D33C02" w:rsidRDefault="00D33C02" w:rsidP="00D33C02">
            <w:pPr>
              <w:jc w:val="center"/>
              <w:cnfStyle w:val="000000010000"/>
              <w:rPr>
                <w:noProof/>
              </w:rPr>
            </w:pPr>
            <w:r w:rsidRPr="00D33C02">
              <w:rPr>
                <w:noProof/>
              </w:rPr>
              <w:t>3,3</w:t>
            </w:r>
          </w:p>
        </w:tc>
        <w:tc>
          <w:tcPr>
            <w:tcW w:w="738" w:type="dxa"/>
            <w:vAlign w:val="center"/>
          </w:tcPr>
          <w:p w:rsidR="00D33C02" w:rsidRPr="00D33C02" w:rsidRDefault="00D33C02" w:rsidP="00D33C02">
            <w:pPr>
              <w:jc w:val="center"/>
              <w:cnfStyle w:val="000000010000"/>
              <w:rPr>
                <w:noProof/>
              </w:rPr>
            </w:pPr>
            <w:r w:rsidRPr="00D33C02">
              <w:rPr>
                <w:noProof/>
              </w:rPr>
              <w:t>4,4</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Сомборски књижевни фестивал</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2,6</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0,3</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1,6</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0,6</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1,7</w:t>
            </w:r>
          </w:p>
        </w:tc>
        <w:tc>
          <w:tcPr>
            <w:tcW w:w="737" w:type="dxa"/>
            <w:vAlign w:val="center"/>
          </w:tcPr>
          <w:p w:rsidR="00D33C02" w:rsidRPr="00D33C02" w:rsidRDefault="00D33C02" w:rsidP="00D33C02">
            <w:pPr>
              <w:jc w:val="center"/>
              <w:cnfStyle w:val="000000100000"/>
              <w:rPr>
                <w:noProof/>
              </w:rPr>
            </w:pPr>
            <w:r w:rsidRPr="00D33C02">
              <w:rPr>
                <w:noProof/>
              </w:rPr>
              <w:t>0,8</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1,7</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0,9</w:t>
            </w:r>
          </w:p>
        </w:tc>
        <w:tc>
          <w:tcPr>
            <w:tcW w:w="737" w:type="dxa"/>
            <w:vAlign w:val="center"/>
          </w:tcPr>
          <w:p w:rsidR="00D33C02" w:rsidRPr="00D33C02" w:rsidRDefault="00D33C02" w:rsidP="00D33C02">
            <w:pPr>
              <w:jc w:val="center"/>
              <w:cnfStyle w:val="000000100000"/>
              <w:rPr>
                <w:noProof/>
              </w:rPr>
            </w:pPr>
            <w:r w:rsidRPr="00D33C02">
              <w:rPr>
                <w:noProof/>
              </w:rPr>
              <w:t>1,4</w:t>
            </w:r>
          </w:p>
        </w:tc>
        <w:tc>
          <w:tcPr>
            <w:tcW w:w="738" w:type="dxa"/>
            <w:vAlign w:val="center"/>
          </w:tcPr>
          <w:p w:rsidR="00D33C02" w:rsidRPr="00D33C02" w:rsidRDefault="00D33C02" w:rsidP="00D33C02">
            <w:pPr>
              <w:jc w:val="center"/>
              <w:cnfStyle w:val="000000100000"/>
              <w:rPr>
                <w:noProof/>
              </w:rPr>
            </w:pPr>
            <w:r w:rsidRPr="00D33C02">
              <w:rPr>
                <w:noProof/>
              </w:rPr>
              <w:t>1,3</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Ноћ музеја</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11,6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20</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20,6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8,8</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16,9</w:t>
            </w:r>
          </w:p>
        </w:tc>
        <w:tc>
          <w:tcPr>
            <w:tcW w:w="737" w:type="dxa"/>
            <w:vAlign w:val="center"/>
          </w:tcPr>
          <w:p w:rsidR="00D33C02" w:rsidRPr="00D33C02" w:rsidRDefault="00D33C02" w:rsidP="00D33C02">
            <w:pPr>
              <w:jc w:val="center"/>
              <w:cnfStyle w:val="000000010000"/>
              <w:rPr>
                <w:noProof/>
              </w:rPr>
            </w:pPr>
            <w:r w:rsidRPr="00D33C02">
              <w:rPr>
                <w:noProof/>
              </w:rPr>
              <w:t>15,0</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19,5</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18,3</w:t>
            </w:r>
          </w:p>
        </w:tc>
        <w:tc>
          <w:tcPr>
            <w:tcW w:w="737" w:type="dxa"/>
            <w:vAlign w:val="center"/>
          </w:tcPr>
          <w:p w:rsidR="00D33C02" w:rsidRPr="00D33C02" w:rsidRDefault="00D33C02" w:rsidP="00D33C02">
            <w:pPr>
              <w:jc w:val="center"/>
              <w:cnfStyle w:val="000000010000"/>
              <w:rPr>
                <w:noProof/>
              </w:rPr>
            </w:pPr>
            <w:r w:rsidRPr="00D33C02">
              <w:rPr>
                <w:noProof/>
              </w:rPr>
              <w:t>17,1</w:t>
            </w:r>
          </w:p>
        </w:tc>
        <w:tc>
          <w:tcPr>
            <w:tcW w:w="738" w:type="dxa"/>
            <w:vAlign w:val="center"/>
          </w:tcPr>
          <w:p w:rsidR="00D33C02" w:rsidRPr="00D33C02" w:rsidRDefault="00D33C02" w:rsidP="00D33C02">
            <w:pPr>
              <w:jc w:val="center"/>
              <w:cnfStyle w:val="000000010000"/>
              <w:rPr>
                <w:noProof/>
              </w:rPr>
            </w:pPr>
            <w:r w:rsidRPr="00D33C02">
              <w:rPr>
                <w:noProof/>
              </w:rPr>
              <w:t>15,1</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Музеји за 10</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0,5</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1,0</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1,3</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7" w:type="dxa"/>
            <w:vAlign w:val="center"/>
          </w:tcPr>
          <w:p w:rsidR="00D33C02" w:rsidRPr="00D33C02" w:rsidRDefault="00D33C02" w:rsidP="00D33C02">
            <w:pPr>
              <w:jc w:val="center"/>
              <w:cnfStyle w:val="000000100000"/>
              <w:rPr>
                <w:noProof/>
              </w:rPr>
            </w:pPr>
            <w:r w:rsidRPr="00D33C02">
              <w:rPr>
                <w:noProof/>
              </w:rPr>
              <w:t>0,8</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1,1</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0,9</w:t>
            </w:r>
          </w:p>
        </w:tc>
        <w:tc>
          <w:tcPr>
            <w:tcW w:w="737" w:type="dxa"/>
            <w:vAlign w:val="center"/>
          </w:tcPr>
          <w:p w:rsidR="00D33C02" w:rsidRPr="00D33C02" w:rsidRDefault="00D33C02" w:rsidP="00D33C02">
            <w:pPr>
              <w:jc w:val="center"/>
              <w:cnfStyle w:val="000000100000"/>
              <w:rPr>
                <w:noProof/>
              </w:rPr>
            </w:pPr>
            <w:r w:rsidRPr="00D33C02">
              <w:rPr>
                <w:noProof/>
              </w:rPr>
              <w:t>0,9</w:t>
            </w:r>
          </w:p>
        </w:tc>
        <w:tc>
          <w:tcPr>
            <w:tcW w:w="738" w:type="dxa"/>
            <w:vAlign w:val="center"/>
          </w:tcPr>
          <w:p w:rsidR="00D33C02" w:rsidRPr="00D33C02" w:rsidRDefault="00D33C02" w:rsidP="00D33C02">
            <w:pPr>
              <w:jc w:val="center"/>
              <w:cnfStyle w:val="000000100000"/>
              <w:rPr>
                <w:noProof/>
              </w:rPr>
            </w:pPr>
            <w:r w:rsidRPr="00D33C02">
              <w:rPr>
                <w:noProof/>
              </w:rPr>
              <w:t>0,6</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Валценград</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13,2</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11,9</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15,2</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5,0</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8,5</w:t>
            </w:r>
          </w:p>
        </w:tc>
        <w:tc>
          <w:tcPr>
            <w:tcW w:w="737" w:type="dxa"/>
            <w:vAlign w:val="center"/>
          </w:tcPr>
          <w:p w:rsidR="00D33C02" w:rsidRPr="00D33C02" w:rsidRDefault="00D33C02" w:rsidP="00D33C02">
            <w:pPr>
              <w:jc w:val="center"/>
              <w:cnfStyle w:val="000000010000"/>
              <w:rPr>
                <w:noProof/>
              </w:rPr>
            </w:pPr>
            <w:r w:rsidRPr="00D33C02">
              <w:rPr>
                <w:noProof/>
              </w:rPr>
              <w:t>14,6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9,8</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17,4</w:t>
            </w:r>
          </w:p>
        </w:tc>
        <w:tc>
          <w:tcPr>
            <w:tcW w:w="737" w:type="dxa"/>
            <w:vAlign w:val="center"/>
          </w:tcPr>
          <w:p w:rsidR="00D33C02" w:rsidRPr="00D33C02" w:rsidRDefault="00D33C02" w:rsidP="00D33C02">
            <w:pPr>
              <w:jc w:val="center"/>
              <w:cnfStyle w:val="000000010000"/>
              <w:rPr>
                <w:noProof/>
              </w:rPr>
            </w:pPr>
            <w:r w:rsidRPr="00D33C02">
              <w:rPr>
                <w:noProof/>
              </w:rPr>
              <w:t>12,3</w:t>
            </w:r>
          </w:p>
        </w:tc>
        <w:tc>
          <w:tcPr>
            <w:tcW w:w="738" w:type="dxa"/>
            <w:vAlign w:val="center"/>
          </w:tcPr>
          <w:p w:rsidR="00D33C02" w:rsidRPr="00D33C02" w:rsidRDefault="00D33C02" w:rsidP="00D33C02">
            <w:pPr>
              <w:jc w:val="center"/>
              <w:cnfStyle w:val="000000010000"/>
              <w:rPr>
                <w:noProof/>
              </w:rPr>
            </w:pPr>
            <w:r w:rsidRPr="00D33C02">
              <w:rPr>
                <w:noProof/>
              </w:rPr>
              <w:t>9,4</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Фестивал стрипа</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2,1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1,0</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1,6</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1,3</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7" w:type="dxa"/>
            <w:vAlign w:val="center"/>
          </w:tcPr>
          <w:p w:rsidR="00D33C02" w:rsidRPr="00D33C02" w:rsidRDefault="00D33C02" w:rsidP="00D33C02">
            <w:pPr>
              <w:jc w:val="center"/>
              <w:cnfStyle w:val="000000100000"/>
              <w:rPr>
                <w:noProof/>
              </w:rPr>
            </w:pPr>
            <w:r w:rsidRPr="00D33C02">
              <w:rPr>
                <w:noProof/>
              </w:rPr>
              <w:t>0,8</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2,3</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1,8</w:t>
            </w:r>
          </w:p>
        </w:tc>
        <w:tc>
          <w:tcPr>
            <w:tcW w:w="737" w:type="dxa"/>
            <w:vAlign w:val="center"/>
          </w:tcPr>
          <w:p w:rsidR="00D33C02" w:rsidRPr="00D33C02" w:rsidRDefault="00D33C02" w:rsidP="00D33C02">
            <w:pPr>
              <w:jc w:val="center"/>
              <w:cnfStyle w:val="000000100000"/>
              <w:rPr>
                <w:noProof/>
              </w:rPr>
            </w:pPr>
            <w:r w:rsidRPr="00D33C02">
              <w:rPr>
                <w:noProof/>
              </w:rPr>
              <w:t>1,4</w:t>
            </w:r>
          </w:p>
        </w:tc>
        <w:tc>
          <w:tcPr>
            <w:tcW w:w="738" w:type="dxa"/>
            <w:vAlign w:val="center"/>
          </w:tcPr>
          <w:p w:rsidR="00D33C02" w:rsidRPr="00D33C02" w:rsidRDefault="00D33C02" w:rsidP="00D33C02">
            <w:pPr>
              <w:jc w:val="center"/>
              <w:cnfStyle w:val="000000100000"/>
              <w:rPr>
                <w:noProof/>
              </w:rPr>
            </w:pPr>
            <w:r w:rsidRPr="00D33C02">
              <w:rPr>
                <w:noProof/>
              </w:rPr>
              <w:t>1,3</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СОМУС</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10,1</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12,2</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12,1</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8,8</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3,4</w:t>
            </w:r>
          </w:p>
        </w:tc>
        <w:tc>
          <w:tcPr>
            <w:tcW w:w="737" w:type="dxa"/>
            <w:vAlign w:val="center"/>
          </w:tcPr>
          <w:p w:rsidR="00D33C02" w:rsidRPr="00D33C02" w:rsidRDefault="00D33C02" w:rsidP="00D33C02">
            <w:pPr>
              <w:jc w:val="center"/>
              <w:cnfStyle w:val="000000010000"/>
              <w:rPr>
                <w:noProof/>
              </w:rPr>
            </w:pPr>
            <w:r w:rsidRPr="00D33C02">
              <w:rPr>
                <w:noProof/>
              </w:rPr>
              <w:t>9,4</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17,2</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4,6</w:t>
            </w:r>
          </w:p>
        </w:tc>
        <w:tc>
          <w:tcPr>
            <w:tcW w:w="737" w:type="dxa"/>
            <w:vAlign w:val="center"/>
          </w:tcPr>
          <w:p w:rsidR="00D33C02" w:rsidRPr="00D33C02" w:rsidRDefault="00D33C02" w:rsidP="00D33C02">
            <w:pPr>
              <w:jc w:val="center"/>
              <w:cnfStyle w:val="000000010000"/>
              <w:rPr>
                <w:noProof/>
              </w:rPr>
            </w:pPr>
            <w:r w:rsidRPr="00D33C02">
              <w:rPr>
                <w:noProof/>
              </w:rPr>
              <w:t>13,3</w:t>
            </w:r>
          </w:p>
        </w:tc>
        <w:tc>
          <w:tcPr>
            <w:tcW w:w="738" w:type="dxa"/>
            <w:vAlign w:val="center"/>
          </w:tcPr>
          <w:p w:rsidR="00D33C02" w:rsidRPr="00D33C02" w:rsidRDefault="00D33C02" w:rsidP="00D33C02">
            <w:pPr>
              <w:jc w:val="center"/>
              <w:cnfStyle w:val="000000010000"/>
              <w:rPr>
                <w:noProof/>
              </w:rPr>
            </w:pPr>
            <w:r w:rsidRPr="00D33C02">
              <w:rPr>
                <w:noProof/>
              </w:rPr>
              <w:t>13,2</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Дани Лазе Костића</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2,1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6,1</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5,4</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3,1</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6,8</w:t>
            </w:r>
          </w:p>
        </w:tc>
        <w:tc>
          <w:tcPr>
            <w:tcW w:w="737" w:type="dxa"/>
            <w:vAlign w:val="center"/>
          </w:tcPr>
          <w:p w:rsidR="00D33C02" w:rsidRPr="00D33C02" w:rsidRDefault="00D33C02" w:rsidP="00D33C02">
            <w:pPr>
              <w:jc w:val="center"/>
              <w:cnfStyle w:val="000000100000"/>
              <w:rPr>
                <w:noProof/>
              </w:rPr>
            </w:pPr>
            <w:r w:rsidRPr="00D33C02">
              <w:rPr>
                <w:noProof/>
              </w:rPr>
              <w:t>4,7</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3,4</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3,7</w:t>
            </w:r>
          </w:p>
        </w:tc>
        <w:tc>
          <w:tcPr>
            <w:tcW w:w="737" w:type="dxa"/>
            <w:vAlign w:val="center"/>
          </w:tcPr>
          <w:p w:rsidR="00D33C02" w:rsidRPr="00D33C02" w:rsidRDefault="00D33C02" w:rsidP="00D33C02">
            <w:pPr>
              <w:jc w:val="center"/>
              <w:cnfStyle w:val="000000100000"/>
              <w:rPr>
                <w:noProof/>
              </w:rPr>
            </w:pPr>
            <w:r w:rsidRPr="00D33C02">
              <w:rPr>
                <w:noProof/>
              </w:rPr>
              <w:t>3,3</w:t>
            </w:r>
          </w:p>
        </w:tc>
        <w:tc>
          <w:tcPr>
            <w:tcW w:w="738" w:type="dxa"/>
            <w:vAlign w:val="center"/>
          </w:tcPr>
          <w:p w:rsidR="00D33C02" w:rsidRPr="00D33C02" w:rsidRDefault="00D33C02" w:rsidP="00D33C02">
            <w:pPr>
              <w:jc w:val="center"/>
              <w:cnfStyle w:val="000000100000"/>
              <w:rPr>
                <w:noProof/>
              </w:rPr>
            </w:pPr>
            <w:r w:rsidRPr="00D33C02">
              <w:rPr>
                <w:noProof/>
              </w:rPr>
              <w:t>6,3</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Позоришни маратон</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35,4</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37,6</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41,6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28,3</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33,9</w:t>
            </w:r>
          </w:p>
        </w:tc>
        <w:tc>
          <w:tcPr>
            <w:tcW w:w="737" w:type="dxa"/>
            <w:vAlign w:val="center"/>
          </w:tcPr>
          <w:p w:rsidR="00D33C02" w:rsidRPr="00D33C02" w:rsidRDefault="00D33C02" w:rsidP="00D33C02">
            <w:pPr>
              <w:jc w:val="center"/>
              <w:cnfStyle w:val="000000010000"/>
              <w:rPr>
                <w:noProof/>
              </w:rPr>
            </w:pPr>
            <w:r w:rsidRPr="00D33C02">
              <w:rPr>
                <w:noProof/>
              </w:rPr>
              <w:t>30,7</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46,0</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31,2</w:t>
            </w:r>
          </w:p>
        </w:tc>
        <w:tc>
          <w:tcPr>
            <w:tcW w:w="737" w:type="dxa"/>
            <w:vAlign w:val="center"/>
          </w:tcPr>
          <w:p w:rsidR="00D33C02" w:rsidRPr="00D33C02" w:rsidRDefault="00D33C02" w:rsidP="00D33C02">
            <w:pPr>
              <w:jc w:val="center"/>
              <w:cnfStyle w:val="000000010000"/>
              <w:rPr>
                <w:noProof/>
              </w:rPr>
            </w:pPr>
            <w:r w:rsidRPr="00D33C02">
              <w:rPr>
                <w:noProof/>
              </w:rPr>
              <w:t>40,3</w:t>
            </w:r>
          </w:p>
        </w:tc>
        <w:tc>
          <w:tcPr>
            <w:tcW w:w="738" w:type="dxa"/>
            <w:vAlign w:val="center"/>
          </w:tcPr>
          <w:p w:rsidR="00D33C02" w:rsidRPr="00D33C02" w:rsidRDefault="00D33C02" w:rsidP="00D33C02">
            <w:pPr>
              <w:jc w:val="center"/>
              <w:cnfStyle w:val="000000010000"/>
              <w:rPr>
                <w:noProof/>
              </w:rPr>
            </w:pPr>
            <w:r w:rsidRPr="00D33C02">
              <w:rPr>
                <w:noProof/>
              </w:rPr>
              <w:t>33,3</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Фестивал мултикултуралности</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15,9</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11,2</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4,8</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29,6</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13,6</w:t>
            </w:r>
          </w:p>
        </w:tc>
        <w:tc>
          <w:tcPr>
            <w:tcW w:w="737" w:type="dxa"/>
            <w:vAlign w:val="center"/>
          </w:tcPr>
          <w:p w:rsidR="00D33C02" w:rsidRPr="00D33C02" w:rsidRDefault="00D33C02" w:rsidP="00D33C02">
            <w:pPr>
              <w:jc w:val="center"/>
              <w:cnfStyle w:val="000000100000"/>
              <w:rPr>
                <w:noProof/>
              </w:rPr>
            </w:pPr>
            <w:r w:rsidRPr="00D33C02">
              <w:rPr>
                <w:noProof/>
              </w:rPr>
              <w:t>16,9</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7,5</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10,1</w:t>
            </w:r>
          </w:p>
        </w:tc>
        <w:tc>
          <w:tcPr>
            <w:tcW w:w="737" w:type="dxa"/>
            <w:vAlign w:val="center"/>
          </w:tcPr>
          <w:p w:rsidR="00D33C02" w:rsidRPr="00D33C02" w:rsidRDefault="00D33C02" w:rsidP="00D33C02">
            <w:pPr>
              <w:jc w:val="center"/>
              <w:cnfStyle w:val="000000100000"/>
              <w:rPr>
                <w:noProof/>
              </w:rPr>
            </w:pPr>
            <w:r w:rsidRPr="00D33C02">
              <w:rPr>
                <w:noProof/>
              </w:rPr>
              <w:t>13,3</w:t>
            </w:r>
          </w:p>
        </w:tc>
        <w:tc>
          <w:tcPr>
            <w:tcW w:w="738" w:type="dxa"/>
            <w:vAlign w:val="center"/>
          </w:tcPr>
          <w:p w:rsidR="00D33C02" w:rsidRPr="00D33C02" w:rsidRDefault="00D33C02" w:rsidP="00D33C02">
            <w:pPr>
              <w:jc w:val="center"/>
              <w:cnfStyle w:val="000000100000"/>
              <w:rPr>
                <w:noProof/>
              </w:rPr>
            </w:pPr>
            <w:r w:rsidRPr="00D33C02">
              <w:rPr>
                <w:noProof/>
              </w:rPr>
              <w:t>15,7</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Терминал мјузик фест</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5,3</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5,1</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6,7</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1,9</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3,4</w:t>
            </w:r>
          </w:p>
        </w:tc>
        <w:tc>
          <w:tcPr>
            <w:tcW w:w="737" w:type="dxa"/>
            <w:vAlign w:val="center"/>
          </w:tcPr>
          <w:p w:rsidR="00D33C02" w:rsidRPr="00D33C02" w:rsidRDefault="00D33C02" w:rsidP="00D33C02">
            <w:pPr>
              <w:jc w:val="center"/>
              <w:cnfStyle w:val="000000010000"/>
              <w:rPr>
                <w:noProof/>
              </w:rPr>
            </w:pPr>
            <w:r w:rsidRPr="00D33C02">
              <w:rPr>
                <w:noProof/>
              </w:rPr>
              <w:t>5,1</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5,7</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10,1</w:t>
            </w:r>
          </w:p>
        </w:tc>
        <w:tc>
          <w:tcPr>
            <w:tcW w:w="737" w:type="dxa"/>
            <w:vAlign w:val="center"/>
          </w:tcPr>
          <w:p w:rsidR="00D33C02" w:rsidRPr="00D33C02" w:rsidRDefault="00D33C02" w:rsidP="00D33C02">
            <w:pPr>
              <w:jc w:val="center"/>
              <w:cnfStyle w:val="000000010000"/>
              <w:rPr>
                <w:noProof/>
              </w:rPr>
            </w:pPr>
            <w:r w:rsidRPr="00D33C02">
              <w:rPr>
                <w:noProof/>
              </w:rPr>
              <w:t>5,2</w:t>
            </w:r>
          </w:p>
        </w:tc>
        <w:tc>
          <w:tcPr>
            <w:tcW w:w="738" w:type="dxa"/>
            <w:vAlign w:val="center"/>
          </w:tcPr>
          <w:p w:rsidR="00D33C02" w:rsidRPr="00D33C02" w:rsidRDefault="00D33C02" w:rsidP="00D33C02">
            <w:pPr>
              <w:jc w:val="center"/>
              <w:cnfStyle w:val="000000010000"/>
              <w:rPr>
                <w:noProof/>
              </w:rPr>
            </w:pPr>
            <w:r w:rsidRPr="00D33C02">
              <w:rPr>
                <w:noProof/>
              </w:rPr>
              <w:t>1,3</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Бодрог фест</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14,3</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13,9</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11,1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20,1</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13,6</w:t>
            </w:r>
          </w:p>
        </w:tc>
        <w:tc>
          <w:tcPr>
            <w:tcW w:w="737" w:type="dxa"/>
            <w:vAlign w:val="center"/>
          </w:tcPr>
          <w:p w:rsidR="00D33C02" w:rsidRPr="00D33C02" w:rsidRDefault="00D33C02" w:rsidP="00D33C02">
            <w:pPr>
              <w:jc w:val="center"/>
              <w:cnfStyle w:val="000000100000"/>
              <w:rPr>
                <w:noProof/>
              </w:rPr>
            </w:pPr>
            <w:r w:rsidRPr="00D33C02">
              <w:rPr>
                <w:noProof/>
              </w:rPr>
              <w:t>18,1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7,5</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17,4</w:t>
            </w:r>
          </w:p>
        </w:tc>
        <w:tc>
          <w:tcPr>
            <w:tcW w:w="737" w:type="dxa"/>
            <w:vAlign w:val="center"/>
          </w:tcPr>
          <w:p w:rsidR="00D33C02" w:rsidRPr="00D33C02" w:rsidRDefault="00D33C02" w:rsidP="00D33C02">
            <w:pPr>
              <w:jc w:val="center"/>
              <w:cnfStyle w:val="000000100000"/>
              <w:rPr>
                <w:noProof/>
              </w:rPr>
            </w:pPr>
            <w:r w:rsidRPr="00D33C02">
              <w:rPr>
                <w:noProof/>
              </w:rPr>
              <w:t>13,3</w:t>
            </w:r>
          </w:p>
        </w:tc>
        <w:tc>
          <w:tcPr>
            <w:tcW w:w="738" w:type="dxa"/>
            <w:vAlign w:val="center"/>
          </w:tcPr>
          <w:p w:rsidR="00D33C02" w:rsidRPr="00D33C02" w:rsidRDefault="00D33C02" w:rsidP="00D33C02">
            <w:pPr>
              <w:jc w:val="center"/>
              <w:cnfStyle w:val="000000100000"/>
              <w:rPr>
                <w:noProof/>
              </w:rPr>
            </w:pPr>
            <w:r w:rsidRPr="00D33C02">
              <w:rPr>
                <w:noProof/>
              </w:rPr>
              <w:t>13,2</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Дужионица</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4,4</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2,9</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3,1</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1,7</w:t>
            </w:r>
          </w:p>
        </w:tc>
        <w:tc>
          <w:tcPr>
            <w:tcW w:w="737" w:type="dxa"/>
            <w:vAlign w:val="center"/>
          </w:tcPr>
          <w:p w:rsidR="00D33C02" w:rsidRPr="00D33C02" w:rsidRDefault="00D33C02" w:rsidP="00D33C02">
            <w:pPr>
              <w:jc w:val="center"/>
              <w:cnfStyle w:val="000000010000"/>
              <w:rPr>
                <w:noProof/>
              </w:rPr>
            </w:pPr>
            <w:r w:rsidRPr="00D33C02">
              <w:rPr>
                <w:noProof/>
              </w:rPr>
              <w:t>4,7</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1,7</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0,0</w:t>
            </w:r>
          </w:p>
        </w:tc>
        <w:tc>
          <w:tcPr>
            <w:tcW w:w="737" w:type="dxa"/>
            <w:vAlign w:val="center"/>
          </w:tcPr>
          <w:p w:rsidR="00D33C02" w:rsidRPr="00D33C02" w:rsidRDefault="00D33C02" w:rsidP="00D33C02">
            <w:pPr>
              <w:jc w:val="center"/>
              <w:cnfStyle w:val="000000010000"/>
              <w:rPr>
                <w:noProof/>
              </w:rPr>
            </w:pPr>
            <w:r w:rsidRPr="00D33C02">
              <w:rPr>
                <w:noProof/>
              </w:rPr>
              <w:t>1,4</w:t>
            </w:r>
          </w:p>
        </w:tc>
        <w:tc>
          <w:tcPr>
            <w:tcW w:w="738" w:type="dxa"/>
            <w:vAlign w:val="center"/>
          </w:tcPr>
          <w:p w:rsidR="00D33C02" w:rsidRPr="00D33C02" w:rsidRDefault="00D33C02" w:rsidP="00D33C02">
            <w:pPr>
              <w:jc w:val="center"/>
              <w:cnfStyle w:val="000000010000"/>
              <w:rPr>
                <w:noProof/>
              </w:rPr>
            </w:pPr>
            <w:r w:rsidRPr="00D33C02">
              <w:rPr>
                <w:noProof/>
              </w:rPr>
              <w:t>8,2</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Тројни сусрети</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2,1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3,4</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1,0</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6,9</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1,7</w:t>
            </w:r>
          </w:p>
        </w:tc>
        <w:tc>
          <w:tcPr>
            <w:tcW w:w="737" w:type="dxa"/>
            <w:vAlign w:val="center"/>
          </w:tcPr>
          <w:p w:rsidR="00D33C02" w:rsidRPr="00D33C02" w:rsidRDefault="00D33C02" w:rsidP="00D33C02">
            <w:pPr>
              <w:jc w:val="center"/>
              <w:cnfStyle w:val="000000100000"/>
              <w:rPr>
                <w:noProof/>
              </w:rPr>
            </w:pPr>
            <w:r w:rsidRPr="00D33C02">
              <w:rPr>
                <w:noProof/>
              </w:rPr>
              <w:t>4,3</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1,1</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3,7</w:t>
            </w:r>
          </w:p>
        </w:tc>
        <w:tc>
          <w:tcPr>
            <w:tcW w:w="737" w:type="dxa"/>
            <w:vAlign w:val="center"/>
          </w:tcPr>
          <w:p w:rsidR="00D33C02" w:rsidRPr="00D33C02" w:rsidRDefault="00D33C02" w:rsidP="00D33C02">
            <w:pPr>
              <w:jc w:val="center"/>
              <w:cnfStyle w:val="000000100000"/>
              <w:rPr>
                <w:noProof/>
              </w:rPr>
            </w:pPr>
            <w:r w:rsidRPr="00D33C02">
              <w:rPr>
                <w:noProof/>
              </w:rPr>
              <w:t>2,8</w:t>
            </w:r>
          </w:p>
        </w:tc>
        <w:tc>
          <w:tcPr>
            <w:tcW w:w="738" w:type="dxa"/>
            <w:vAlign w:val="center"/>
          </w:tcPr>
          <w:p w:rsidR="00D33C02" w:rsidRPr="00D33C02" w:rsidRDefault="00D33C02" w:rsidP="00D33C02">
            <w:pPr>
              <w:jc w:val="center"/>
              <w:cnfStyle w:val="000000100000"/>
              <w:rPr>
                <w:noProof/>
              </w:rPr>
            </w:pPr>
            <w:r w:rsidRPr="00D33C02">
              <w:rPr>
                <w:noProof/>
              </w:rPr>
              <w:t>2,5</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 xml:space="preserve">Музика на точковима </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5,3</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4,1</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5,4</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3,1</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1,7</w:t>
            </w:r>
          </w:p>
        </w:tc>
        <w:tc>
          <w:tcPr>
            <w:tcW w:w="737" w:type="dxa"/>
            <w:vAlign w:val="center"/>
          </w:tcPr>
          <w:p w:rsidR="00D33C02" w:rsidRPr="00D33C02" w:rsidRDefault="00D33C02" w:rsidP="00D33C02">
            <w:pPr>
              <w:jc w:val="center"/>
              <w:cnfStyle w:val="000000010000"/>
              <w:rPr>
                <w:noProof/>
              </w:rPr>
            </w:pPr>
            <w:r w:rsidRPr="00D33C02">
              <w:rPr>
                <w:noProof/>
              </w:rPr>
              <w:t>5,1</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4,6</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9,2</w:t>
            </w:r>
          </w:p>
        </w:tc>
        <w:tc>
          <w:tcPr>
            <w:tcW w:w="737" w:type="dxa"/>
            <w:vAlign w:val="center"/>
          </w:tcPr>
          <w:p w:rsidR="00D33C02" w:rsidRPr="00D33C02" w:rsidRDefault="00D33C02" w:rsidP="00D33C02">
            <w:pPr>
              <w:jc w:val="center"/>
              <w:cnfStyle w:val="000000010000"/>
              <w:rPr>
                <w:noProof/>
              </w:rPr>
            </w:pPr>
            <w:r w:rsidRPr="00D33C02">
              <w:rPr>
                <w:noProof/>
              </w:rPr>
              <w:t>3,3</w:t>
            </w:r>
          </w:p>
        </w:tc>
        <w:tc>
          <w:tcPr>
            <w:tcW w:w="738" w:type="dxa"/>
            <w:vAlign w:val="center"/>
          </w:tcPr>
          <w:p w:rsidR="00D33C02" w:rsidRPr="00D33C02" w:rsidRDefault="00D33C02" w:rsidP="00D33C02">
            <w:pPr>
              <w:jc w:val="center"/>
              <w:cnfStyle w:val="000000010000"/>
              <w:rPr>
                <w:noProof/>
              </w:rPr>
            </w:pPr>
            <w:r w:rsidRPr="00D33C02">
              <w:rPr>
                <w:noProof/>
              </w:rPr>
              <w:t>3,1</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Арт окупација</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5,8</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3,4</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6,0</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2,5</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8,5</w:t>
            </w:r>
          </w:p>
        </w:tc>
        <w:tc>
          <w:tcPr>
            <w:tcW w:w="737" w:type="dxa"/>
            <w:vAlign w:val="center"/>
          </w:tcPr>
          <w:p w:rsidR="00D33C02" w:rsidRPr="00D33C02" w:rsidRDefault="00D33C02" w:rsidP="00D33C02">
            <w:pPr>
              <w:jc w:val="center"/>
              <w:cnfStyle w:val="000000100000"/>
              <w:rPr>
                <w:noProof/>
              </w:rPr>
            </w:pPr>
            <w:r w:rsidRPr="00D33C02">
              <w:rPr>
                <w:noProof/>
              </w:rPr>
              <w:t>3,1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5,7</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5,5</w:t>
            </w:r>
          </w:p>
        </w:tc>
        <w:tc>
          <w:tcPr>
            <w:tcW w:w="737" w:type="dxa"/>
            <w:vAlign w:val="center"/>
          </w:tcPr>
          <w:p w:rsidR="00D33C02" w:rsidRPr="00D33C02" w:rsidRDefault="00D33C02" w:rsidP="00D33C02">
            <w:pPr>
              <w:jc w:val="center"/>
              <w:cnfStyle w:val="000000100000"/>
              <w:rPr>
                <w:noProof/>
              </w:rPr>
            </w:pPr>
            <w:r w:rsidRPr="00D33C02">
              <w:rPr>
                <w:noProof/>
              </w:rPr>
              <w:t>4,7</w:t>
            </w:r>
          </w:p>
        </w:tc>
        <w:tc>
          <w:tcPr>
            <w:tcW w:w="738" w:type="dxa"/>
            <w:vAlign w:val="center"/>
          </w:tcPr>
          <w:p w:rsidR="00D33C02" w:rsidRPr="00D33C02" w:rsidRDefault="00D33C02" w:rsidP="00D33C02">
            <w:pPr>
              <w:jc w:val="center"/>
              <w:cnfStyle w:val="000000100000"/>
              <w:rPr>
                <w:noProof/>
              </w:rPr>
            </w:pPr>
            <w:r w:rsidRPr="00D33C02">
              <w:rPr>
                <w:noProof/>
              </w:rPr>
              <w:t>4,4</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Великогоспојинске вечери</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2,6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1,0</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3,1</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0,0</w:t>
            </w:r>
          </w:p>
        </w:tc>
        <w:tc>
          <w:tcPr>
            <w:tcW w:w="737" w:type="dxa"/>
            <w:vAlign w:val="center"/>
          </w:tcPr>
          <w:p w:rsidR="00D33C02" w:rsidRPr="00D33C02" w:rsidRDefault="00D33C02" w:rsidP="00D33C02">
            <w:pPr>
              <w:jc w:val="center"/>
              <w:cnfStyle w:val="000000010000"/>
              <w:rPr>
                <w:noProof/>
              </w:rPr>
            </w:pPr>
            <w:r w:rsidRPr="00D33C02">
              <w:rPr>
                <w:noProof/>
              </w:rPr>
              <w:t>2,4</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0,6</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0,0</w:t>
            </w:r>
          </w:p>
        </w:tc>
        <w:tc>
          <w:tcPr>
            <w:tcW w:w="737" w:type="dxa"/>
            <w:vAlign w:val="center"/>
          </w:tcPr>
          <w:p w:rsidR="00D33C02" w:rsidRPr="00D33C02" w:rsidRDefault="00D33C02" w:rsidP="00D33C02">
            <w:pPr>
              <w:jc w:val="center"/>
              <w:cnfStyle w:val="000000010000"/>
              <w:rPr>
                <w:noProof/>
              </w:rPr>
            </w:pPr>
            <w:r w:rsidRPr="00D33C02">
              <w:rPr>
                <w:noProof/>
              </w:rPr>
              <w:t>0,9</w:t>
            </w:r>
          </w:p>
        </w:tc>
        <w:tc>
          <w:tcPr>
            <w:tcW w:w="738" w:type="dxa"/>
            <w:vAlign w:val="center"/>
          </w:tcPr>
          <w:p w:rsidR="00D33C02" w:rsidRPr="00D33C02" w:rsidRDefault="00D33C02" w:rsidP="00D33C02">
            <w:pPr>
              <w:jc w:val="center"/>
              <w:cnfStyle w:val="000000010000"/>
              <w:rPr>
                <w:noProof/>
              </w:rPr>
            </w:pPr>
            <w:r w:rsidRPr="00D33C02">
              <w:rPr>
                <w:noProof/>
              </w:rPr>
              <w:t>3,8</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sz w:val="18"/>
                <w:szCs w:val="18"/>
              </w:rPr>
            </w:pPr>
            <w:r w:rsidRPr="00D33C02">
              <w:rPr>
                <w:b w:val="0"/>
                <w:sz w:val="18"/>
                <w:szCs w:val="18"/>
                <w:lang/>
              </w:rPr>
              <w:t xml:space="preserve">Ткачка колонија Стапар </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1,6</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1,0</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0,6</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1,9</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7" w:type="dxa"/>
            <w:vAlign w:val="center"/>
          </w:tcPr>
          <w:p w:rsidR="00D33C02" w:rsidRPr="00D33C02" w:rsidRDefault="00D33C02" w:rsidP="00D33C02">
            <w:pPr>
              <w:jc w:val="center"/>
              <w:cnfStyle w:val="000000100000"/>
              <w:rPr>
                <w:noProof/>
              </w:rPr>
            </w:pPr>
            <w:r w:rsidRPr="00D33C02">
              <w:rPr>
                <w:noProof/>
              </w:rPr>
              <w:t>2,0</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0,6</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7" w:type="dxa"/>
            <w:vAlign w:val="center"/>
          </w:tcPr>
          <w:p w:rsidR="00D33C02" w:rsidRPr="00D33C02" w:rsidRDefault="00D33C02" w:rsidP="00D33C02">
            <w:pPr>
              <w:jc w:val="center"/>
              <w:cnfStyle w:val="000000100000"/>
              <w:rPr>
                <w:noProof/>
              </w:rPr>
            </w:pPr>
            <w:r w:rsidRPr="00D33C02">
              <w:rPr>
                <w:noProof/>
              </w:rPr>
              <w:t>1,4</w:t>
            </w:r>
          </w:p>
        </w:tc>
        <w:tc>
          <w:tcPr>
            <w:tcW w:w="738" w:type="dxa"/>
            <w:vAlign w:val="center"/>
          </w:tcPr>
          <w:p w:rsidR="00D33C02" w:rsidRPr="00D33C02" w:rsidRDefault="00D33C02" w:rsidP="00D33C02">
            <w:pPr>
              <w:jc w:val="center"/>
              <w:cnfStyle w:val="000000100000"/>
              <w:rPr>
                <w:noProof/>
              </w:rPr>
            </w:pPr>
            <w:r w:rsidRPr="00D33C02">
              <w:rPr>
                <w:noProof/>
              </w:rPr>
              <w:t>1,9</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Обележавање Батинске битке</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2,6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1,0</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1,3</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2,5</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0,0</w:t>
            </w:r>
          </w:p>
        </w:tc>
        <w:tc>
          <w:tcPr>
            <w:tcW w:w="737" w:type="dxa"/>
            <w:vAlign w:val="center"/>
          </w:tcPr>
          <w:p w:rsidR="00D33C02" w:rsidRPr="00D33C02" w:rsidRDefault="00D33C02" w:rsidP="00D33C02">
            <w:pPr>
              <w:jc w:val="center"/>
              <w:cnfStyle w:val="000000010000"/>
              <w:rPr>
                <w:noProof/>
              </w:rPr>
            </w:pPr>
            <w:r w:rsidRPr="00D33C02">
              <w:rPr>
                <w:noProof/>
              </w:rPr>
              <w:t>2,8</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0,6</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1,8</w:t>
            </w:r>
          </w:p>
        </w:tc>
        <w:tc>
          <w:tcPr>
            <w:tcW w:w="737" w:type="dxa"/>
            <w:vAlign w:val="center"/>
          </w:tcPr>
          <w:p w:rsidR="00D33C02" w:rsidRPr="00D33C02" w:rsidRDefault="00D33C02" w:rsidP="00D33C02">
            <w:pPr>
              <w:jc w:val="center"/>
              <w:cnfStyle w:val="000000010000"/>
              <w:rPr>
                <w:noProof/>
              </w:rPr>
            </w:pPr>
            <w:r w:rsidRPr="00D33C02">
              <w:rPr>
                <w:noProof/>
              </w:rPr>
              <w:t>2,4</w:t>
            </w:r>
          </w:p>
        </w:tc>
        <w:tc>
          <w:tcPr>
            <w:tcW w:w="738" w:type="dxa"/>
            <w:vAlign w:val="center"/>
          </w:tcPr>
          <w:p w:rsidR="00D33C02" w:rsidRPr="00D33C02" w:rsidRDefault="00D33C02" w:rsidP="00D33C02">
            <w:pPr>
              <w:jc w:val="center"/>
              <w:cnfStyle w:val="000000010000"/>
              <w:rPr>
                <w:noProof/>
              </w:rPr>
            </w:pPr>
            <w:r w:rsidRPr="00D33C02">
              <w:rPr>
                <w:noProof/>
              </w:rPr>
              <w:t>0,6</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Вељкови дани</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0,0</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0,6</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7" w:type="dxa"/>
            <w:vAlign w:val="center"/>
          </w:tcPr>
          <w:p w:rsidR="00D33C02" w:rsidRPr="00D33C02" w:rsidRDefault="00D33C02" w:rsidP="00D33C02">
            <w:pPr>
              <w:jc w:val="center"/>
              <w:cnfStyle w:val="000000100000"/>
              <w:rPr>
                <w:noProof/>
              </w:rPr>
            </w:pPr>
            <w:r w:rsidRPr="00D33C02">
              <w:rPr>
                <w:noProof/>
              </w:rPr>
              <w:t>0,4</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0,6</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7" w:type="dxa"/>
            <w:vAlign w:val="center"/>
          </w:tcPr>
          <w:p w:rsidR="00D33C02" w:rsidRPr="00D33C02" w:rsidRDefault="00D33C02" w:rsidP="00D33C02">
            <w:pPr>
              <w:jc w:val="center"/>
              <w:cnfStyle w:val="000000100000"/>
              <w:rPr>
                <w:noProof/>
              </w:rPr>
            </w:pPr>
            <w:r w:rsidRPr="00D33C02">
              <w:rPr>
                <w:noProof/>
              </w:rPr>
              <w:t>0,0</w:t>
            </w:r>
          </w:p>
        </w:tc>
        <w:tc>
          <w:tcPr>
            <w:tcW w:w="738" w:type="dxa"/>
            <w:vAlign w:val="center"/>
          </w:tcPr>
          <w:p w:rsidR="00D33C02" w:rsidRPr="00D33C02" w:rsidRDefault="00D33C02" w:rsidP="00D33C02">
            <w:pPr>
              <w:jc w:val="center"/>
              <w:cnfStyle w:val="000000100000"/>
              <w:rPr>
                <w:noProof/>
              </w:rPr>
            </w:pPr>
            <w:r w:rsidRPr="00D33C02">
              <w:rPr>
                <w:noProof/>
              </w:rPr>
              <w:t>0,6</w:t>
            </w:r>
          </w:p>
        </w:tc>
      </w:tr>
      <w:tr w:rsidR="00D33C02" w:rsidRPr="00D33C02" w:rsidTr="00D33C02">
        <w:trPr>
          <w:cnfStyle w:val="00000001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rPr>
            </w:pPr>
            <w:r w:rsidRPr="00D33C02">
              <w:rPr>
                <w:b w:val="0"/>
                <w:color w:val="000000"/>
                <w:sz w:val="18"/>
                <w:szCs w:val="18"/>
                <w:lang/>
              </w:rPr>
              <w:t>Шарени свет</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1,6</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lang/>
              </w:rPr>
            </w:pPr>
            <w:r w:rsidRPr="00D33C02">
              <w:rPr>
                <w:noProof/>
                <w:lang/>
              </w:rPr>
              <w:t>3,7</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2,2</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4,4</w:t>
            </w:r>
          </w:p>
        </w:tc>
        <w:tc>
          <w:tcPr>
            <w:tcW w:w="738"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3,4</w:t>
            </w:r>
          </w:p>
        </w:tc>
        <w:tc>
          <w:tcPr>
            <w:tcW w:w="737" w:type="dxa"/>
            <w:vAlign w:val="center"/>
          </w:tcPr>
          <w:p w:rsidR="00D33C02" w:rsidRPr="00D33C02" w:rsidRDefault="00D33C02" w:rsidP="00D33C02">
            <w:pPr>
              <w:jc w:val="center"/>
              <w:cnfStyle w:val="000000010000"/>
              <w:rPr>
                <w:noProof/>
              </w:rPr>
            </w:pPr>
            <w:r w:rsidRPr="00D33C02">
              <w:rPr>
                <w:noProof/>
              </w:rPr>
              <w:t>3,1</w:t>
            </w:r>
          </w:p>
        </w:tc>
        <w:tc>
          <w:tcPr>
            <w:tcW w:w="737" w:type="dxa"/>
            <w:tcBorders>
              <w:righ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2,3</w:t>
            </w:r>
          </w:p>
        </w:tc>
        <w:tc>
          <w:tcPr>
            <w:tcW w:w="737" w:type="dxa"/>
            <w:tcBorders>
              <w:left w:val="single" w:sz="24" w:space="0" w:color="5B9BD5" w:themeColor="accent1"/>
            </w:tcBorders>
            <w:vAlign w:val="center"/>
          </w:tcPr>
          <w:p w:rsidR="00D33C02" w:rsidRPr="00D33C02" w:rsidRDefault="00D33C02" w:rsidP="00D33C02">
            <w:pPr>
              <w:jc w:val="center"/>
              <w:cnfStyle w:val="000000010000"/>
              <w:rPr>
                <w:noProof/>
              </w:rPr>
            </w:pPr>
            <w:r w:rsidRPr="00D33C02">
              <w:rPr>
                <w:noProof/>
              </w:rPr>
              <w:t>2,8</w:t>
            </w:r>
          </w:p>
        </w:tc>
        <w:tc>
          <w:tcPr>
            <w:tcW w:w="737" w:type="dxa"/>
            <w:vAlign w:val="center"/>
          </w:tcPr>
          <w:p w:rsidR="00D33C02" w:rsidRPr="00D33C02" w:rsidRDefault="00D33C02" w:rsidP="00D33C02">
            <w:pPr>
              <w:jc w:val="center"/>
              <w:cnfStyle w:val="000000010000"/>
              <w:rPr>
                <w:noProof/>
              </w:rPr>
            </w:pPr>
            <w:r w:rsidRPr="00D33C02">
              <w:rPr>
                <w:noProof/>
              </w:rPr>
              <w:t>2,8</w:t>
            </w:r>
          </w:p>
        </w:tc>
        <w:tc>
          <w:tcPr>
            <w:tcW w:w="738" w:type="dxa"/>
            <w:vAlign w:val="center"/>
          </w:tcPr>
          <w:p w:rsidR="00D33C02" w:rsidRPr="00D33C02" w:rsidRDefault="00D33C02" w:rsidP="00D33C02">
            <w:pPr>
              <w:jc w:val="center"/>
              <w:cnfStyle w:val="000000010000"/>
              <w:rPr>
                <w:noProof/>
              </w:rPr>
            </w:pPr>
            <w:r w:rsidRPr="00D33C02">
              <w:rPr>
                <w:noProof/>
              </w:rPr>
              <w:t>3,1</w:t>
            </w:r>
          </w:p>
        </w:tc>
      </w:tr>
      <w:tr w:rsidR="00D33C02" w:rsidRPr="00D33C02" w:rsidTr="00D33C02">
        <w:trPr>
          <w:cnfStyle w:val="000000100000"/>
          <w:trHeight w:val="145"/>
        </w:trPr>
        <w:tc>
          <w:tcPr>
            <w:cnfStyle w:val="001000000000"/>
            <w:tcW w:w="2098" w:type="dxa"/>
            <w:tcBorders>
              <w:right w:val="single" w:sz="24" w:space="0" w:color="5B9BD5" w:themeColor="accent1"/>
            </w:tcBorders>
            <w:vAlign w:val="center"/>
          </w:tcPr>
          <w:p w:rsidR="00D33C02" w:rsidRPr="00D33C02" w:rsidRDefault="00D33C02" w:rsidP="00D33C02">
            <w:pPr>
              <w:rPr>
                <w:b w:val="0"/>
                <w:color w:val="000000"/>
                <w:sz w:val="18"/>
                <w:szCs w:val="18"/>
                <w:lang/>
              </w:rPr>
            </w:pPr>
            <w:r w:rsidRPr="00D33C02">
              <w:rPr>
                <w:b w:val="0"/>
                <w:color w:val="000000"/>
                <w:sz w:val="18"/>
                <w:szCs w:val="18"/>
                <w:lang/>
              </w:rPr>
              <w:t>Еко мјузик фест</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1,1</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lang/>
              </w:rPr>
            </w:pPr>
            <w:r w:rsidRPr="00D33C02">
              <w:rPr>
                <w:noProof/>
                <w:lang/>
              </w:rPr>
              <w:t>1,4</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0,6</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2,5</w:t>
            </w:r>
          </w:p>
        </w:tc>
        <w:tc>
          <w:tcPr>
            <w:tcW w:w="738"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0,0</w:t>
            </w:r>
          </w:p>
        </w:tc>
        <w:tc>
          <w:tcPr>
            <w:tcW w:w="737" w:type="dxa"/>
            <w:vAlign w:val="center"/>
          </w:tcPr>
          <w:p w:rsidR="00D33C02" w:rsidRPr="00D33C02" w:rsidRDefault="00D33C02" w:rsidP="00D33C02">
            <w:pPr>
              <w:jc w:val="center"/>
              <w:cnfStyle w:val="000000100000"/>
              <w:rPr>
                <w:noProof/>
              </w:rPr>
            </w:pPr>
            <w:r w:rsidRPr="00D33C02">
              <w:rPr>
                <w:noProof/>
              </w:rPr>
              <w:t>1,2</w:t>
            </w:r>
          </w:p>
        </w:tc>
        <w:tc>
          <w:tcPr>
            <w:tcW w:w="737" w:type="dxa"/>
            <w:tcBorders>
              <w:righ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1,7</w:t>
            </w:r>
          </w:p>
        </w:tc>
        <w:tc>
          <w:tcPr>
            <w:tcW w:w="737" w:type="dxa"/>
            <w:tcBorders>
              <w:left w:val="single" w:sz="24" w:space="0" w:color="5B9BD5" w:themeColor="accent1"/>
            </w:tcBorders>
            <w:vAlign w:val="center"/>
          </w:tcPr>
          <w:p w:rsidR="00D33C02" w:rsidRPr="00D33C02" w:rsidRDefault="00D33C02" w:rsidP="00D33C02">
            <w:pPr>
              <w:jc w:val="center"/>
              <w:cnfStyle w:val="000000100000"/>
              <w:rPr>
                <w:noProof/>
              </w:rPr>
            </w:pPr>
            <w:r w:rsidRPr="00D33C02">
              <w:rPr>
                <w:noProof/>
              </w:rPr>
              <w:t>1,8</w:t>
            </w:r>
          </w:p>
        </w:tc>
        <w:tc>
          <w:tcPr>
            <w:tcW w:w="737" w:type="dxa"/>
            <w:vAlign w:val="center"/>
          </w:tcPr>
          <w:p w:rsidR="00D33C02" w:rsidRPr="00D33C02" w:rsidRDefault="00D33C02" w:rsidP="00D33C02">
            <w:pPr>
              <w:jc w:val="center"/>
              <w:cnfStyle w:val="000000100000"/>
              <w:rPr>
                <w:noProof/>
              </w:rPr>
            </w:pPr>
            <w:r w:rsidRPr="00D33C02">
              <w:rPr>
                <w:noProof/>
              </w:rPr>
              <w:t>1,9</w:t>
            </w:r>
          </w:p>
        </w:tc>
        <w:tc>
          <w:tcPr>
            <w:tcW w:w="738" w:type="dxa"/>
            <w:vAlign w:val="center"/>
          </w:tcPr>
          <w:p w:rsidR="00D33C02" w:rsidRPr="00D33C02" w:rsidRDefault="00D33C02" w:rsidP="00D33C02">
            <w:pPr>
              <w:jc w:val="center"/>
              <w:cnfStyle w:val="000000100000"/>
              <w:rPr>
                <w:noProof/>
              </w:rPr>
            </w:pPr>
            <w:r w:rsidRPr="00D33C02">
              <w:rPr>
                <w:noProof/>
              </w:rPr>
              <w:t>0,0</w:t>
            </w:r>
          </w:p>
        </w:tc>
      </w:tr>
    </w:tbl>
    <w:p w:rsidR="00D33C02" w:rsidRPr="00D33C02" w:rsidRDefault="00D33C02" w:rsidP="00D33C02">
      <w:pPr>
        <w:spacing w:after="0"/>
        <w:jc w:val="both"/>
        <w:rPr>
          <w:rFonts w:ascii="Times New Roman" w:hAnsi="Times New Roman" w:cs="Times New Roman"/>
          <w:noProof/>
          <w:color w:val="FF0000"/>
          <w:sz w:val="24"/>
          <w:szCs w:val="24"/>
          <w:highlight w:val="yellow"/>
          <w:lang/>
        </w:rPr>
      </w:pPr>
    </w:p>
    <w:p w:rsidR="00D33C02" w:rsidRPr="00D33C02" w:rsidRDefault="00D33C02" w:rsidP="00EE3A50">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Када је реч о ценама улазница за манифестације у Сомбору, према мишљењу анкетираних грађана Сомбора цене за овај тип културних догађаја су осредње скупе, односно 11% грађана их сматра (веома) скупим). Ипак, у овом случају се примећују извесне разлике, те су тако улазнице за Позоришни маратон (веома) скупе (ово сматра 38,5% испитаника)</w:t>
      </w:r>
      <w:r w:rsidRPr="00D33C02">
        <w:rPr>
          <w:rFonts w:ascii="Times New Roman" w:hAnsi="Times New Roman" w:cs="Times New Roman"/>
          <w:sz w:val="24"/>
          <w:szCs w:val="24"/>
          <w:vertAlign w:val="superscript"/>
          <w:lang/>
        </w:rPr>
        <w:footnoteReference w:id="38"/>
      </w:r>
      <w:r w:rsidRPr="00D33C02">
        <w:rPr>
          <w:rFonts w:ascii="Times New Roman" w:hAnsi="Times New Roman" w:cs="Times New Roman"/>
          <w:sz w:val="24"/>
          <w:szCs w:val="24"/>
          <w:lang/>
        </w:rPr>
        <w:t>, а затим за Терминал фест</w:t>
      </w:r>
      <w:r w:rsidRPr="00D33C02">
        <w:rPr>
          <w:rFonts w:ascii="Times New Roman" w:hAnsi="Times New Roman" w:cs="Times New Roman"/>
          <w:sz w:val="24"/>
          <w:szCs w:val="24"/>
          <w:vertAlign w:val="superscript"/>
          <w:lang/>
        </w:rPr>
        <w:footnoteReference w:id="39"/>
      </w:r>
      <w:r w:rsidRPr="00D33C02">
        <w:rPr>
          <w:rFonts w:ascii="Times New Roman" w:hAnsi="Times New Roman" w:cs="Times New Roman"/>
          <w:sz w:val="24"/>
          <w:szCs w:val="24"/>
          <w:lang/>
        </w:rPr>
        <w:t>, док је улазнице за Сомборски филмски фестивал (веома) скупим оценило 6,6% испитаника</w:t>
      </w:r>
      <w:r w:rsidRPr="00D33C02">
        <w:rPr>
          <w:rFonts w:ascii="Times New Roman" w:hAnsi="Times New Roman" w:cs="Times New Roman"/>
          <w:sz w:val="24"/>
          <w:szCs w:val="24"/>
          <w:vertAlign w:val="superscript"/>
          <w:lang/>
        </w:rPr>
        <w:footnoteReference w:id="40"/>
      </w:r>
      <w:r w:rsidRPr="00D33C02">
        <w:rPr>
          <w:rFonts w:ascii="Times New Roman" w:hAnsi="Times New Roman" w:cs="Times New Roman"/>
          <w:sz w:val="24"/>
          <w:szCs w:val="24"/>
          <w:lang/>
        </w:rPr>
        <w:t xml:space="preserve">. Међутим, поставља се питање да ли су сви анкетирани грађани Сомбора упознати са ценом улазница за поједине манифестације, јер се у одговорима за оцену висине цене појединих манифестација (Позоришни маратон, Терминал фест, Кригла фест) појављује и одговор „не наплаћују се“. </w:t>
      </w:r>
    </w:p>
    <w:p w:rsidR="00D33C02" w:rsidRPr="00D33C02" w:rsidRDefault="00D33C02" w:rsidP="00EE3A50">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lastRenderedPageBreak/>
        <w:t xml:space="preserve">Приликом упоређивања цена улазница и демографске структуре испитаника закључило се да ниједна демографска карактеристика не утиче на став о висини цене улазница у Сомбору, те да уколико грађани воле да посећују културне догађаје, они ће то и чинити без обзира на цену улазнице.  </w:t>
      </w:r>
    </w:p>
    <w:p w:rsidR="00D33C02" w:rsidRPr="00EE3A50" w:rsidRDefault="00D33C02" w:rsidP="00EE3A50">
      <w:pPr>
        <w:pStyle w:val="Heading1"/>
        <w:numPr>
          <w:ilvl w:val="0"/>
          <w:numId w:val="39"/>
        </w:numPr>
        <w:spacing w:after="240"/>
        <w:rPr>
          <w:b/>
          <w:lang/>
        </w:rPr>
      </w:pPr>
      <w:bookmarkStart w:id="37" w:name="_Toc36072313"/>
      <w:r w:rsidRPr="00EE3A50">
        <w:rPr>
          <w:b/>
          <w:lang/>
        </w:rPr>
        <w:t>Информисаност и комуникација</w:t>
      </w:r>
      <w:bookmarkEnd w:id="37"/>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На културну партиципацију снажно утиче и ниво информисаности посетилаца, као и начин на који установе културе и други организатори догађаја комуницирају са својом публиком и грађанима. Више од половине анкетиране публике Сомбора истиче да су информације углавном доступне што значи да понекад не могу да дођу до информација из сфере културе. Да су информације из културе увек доступне сматра четвртина анкетираних. </w:t>
      </w:r>
      <w:r w:rsidR="00AF0C06" w:rsidRPr="00AF0C06">
        <w:rPr>
          <w:rFonts w:ascii="Times New Roman" w:hAnsi="Times New Roman" w:cs="Times New Roman"/>
          <w:sz w:val="24"/>
          <w:szCs w:val="24"/>
          <w:lang/>
        </w:rPr>
        <w:t>Може се</w:t>
      </w:r>
      <w:r w:rsidRPr="00AF0C06">
        <w:rPr>
          <w:rFonts w:ascii="Times New Roman" w:hAnsi="Times New Roman" w:cs="Times New Roman"/>
          <w:sz w:val="24"/>
          <w:szCs w:val="24"/>
          <w:lang/>
        </w:rPr>
        <w:t xml:space="preserve"> закључити да скоро 80% грађана сматра да је информисање на задовољавајућем нивоу, али да би у одређеној мери могао да буде побољшан за 55% њих. Ипак, 15% грађана сматра да информисаност грађана треба да буде боља, јер тешко долазе до онога што их интересује. Такође, интересантно је да 6,4% анкетираних истиче да није заинтересовано за дешавања у култури, па би један од закључака могао ићи у правцу да су они принудна публика. Принудна публика, према ревидираној подели коју је увео Кит Дигл, а прилагодили је Цветичанин и Миланков</w:t>
      </w:r>
      <w:r w:rsidRPr="00AF0C06">
        <w:rPr>
          <w:rFonts w:ascii="Times New Roman" w:hAnsi="Times New Roman" w:cs="Times New Roman"/>
          <w:sz w:val="24"/>
          <w:szCs w:val="24"/>
          <w:vertAlign w:val="superscript"/>
          <w:lang/>
        </w:rPr>
        <w:footnoteReference w:id="41"/>
      </w:r>
      <w:r w:rsidRPr="00AF0C06">
        <w:rPr>
          <w:rFonts w:ascii="Times New Roman" w:hAnsi="Times New Roman" w:cs="Times New Roman"/>
          <w:sz w:val="24"/>
          <w:szCs w:val="24"/>
          <w:lang/>
        </w:rPr>
        <w:t xml:space="preserve"> у извештају о културним праксама грађана Србије 2010. године, принудна публика су „они који немају склоности ка одређеним типовима културних активности, али су фактички, у посматраном периоду, ипак били посетиоци културних догађаја одређеног типа (пратећи неког, опонашајући неког или једноставно „убијајући в</w:t>
      </w:r>
      <w:r w:rsidR="00EA629F" w:rsidRPr="00AF0C06">
        <w:rPr>
          <w:rFonts w:ascii="Times New Roman" w:hAnsi="Times New Roman" w:cs="Times New Roman"/>
          <w:sz w:val="24"/>
          <w:szCs w:val="24"/>
          <w:lang/>
        </w:rPr>
        <w:t xml:space="preserve">реме“)“ (Опачић, Субашић: 2016: </w:t>
      </w:r>
      <w:r w:rsidRPr="00AF0C06">
        <w:rPr>
          <w:rFonts w:ascii="Times New Roman" w:hAnsi="Times New Roman" w:cs="Times New Roman"/>
          <w:sz w:val="24"/>
          <w:szCs w:val="24"/>
          <w:lang/>
        </w:rPr>
        <w:t>25). Прилагођено овогодишњем истраживању у Сомбору, ако 6,4% није заинтересован за културна дешавања, а ипак у истима учествује (с обзиром на то да је услов за учешће у истраживању било да је потенцијални испитаник бар једном у последњих 6 месеци присуствовао културном догађају у Сомбору), врло је вероватно да су догађају присуствовали правећи друштво драгој особи, из обавезе у склад</w:t>
      </w:r>
      <w:r w:rsidR="00AF0C06" w:rsidRPr="00AF0C06">
        <w:rPr>
          <w:rFonts w:ascii="Times New Roman" w:hAnsi="Times New Roman" w:cs="Times New Roman"/>
          <w:sz w:val="24"/>
          <w:szCs w:val="24"/>
          <w:lang/>
        </w:rPr>
        <w:t>у</w:t>
      </w:r>
      <w:r w:rsidRPr="00AF0C06">
        <w:rPr>
          <w:rFonts w:ascii="Times New Roman" w:hAnsi="Times New Roman" w:cs="Times New Roman"/>
          <w:sz w:val="24"/>
          <w:szCs w:val="24"/>
          <w:lang/>
        </w:rPr>
        <w:t xml:space="preserve"> са школским, односно студентским активностима и сл. </w:t>
      </w:r>
    </w:p>
    <w:p w:rsidR="00D33C02" w:rsidRPr="00AF0C06" w:rsidRDefault="00D33C02" w:rsidP="00D33C02">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9</w:t>
      </w:r>
      <w:r w:rsidRPr="00AF0C06">
        <w:rPr>
          <w:rFonts w:ascii="Times New Roman" w:hAnsi="Times New Roman" w:cs="Times New Roman"/>
          <w:sz w:val="24"/>
          <w:szCs w:val="24"/>
          <w:lang/>
        </w:rPr>
        <w:t>: Колико су грађанима доступне информације из културе према мишљењу анкетиране публике</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lastRenderedPageBreak/>
        <w:drawing>
          <wp:inline distT="0" distB="0" distL="0" distR="0">
            <wp:extent cx="5924550" cy="219075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Интересантно је да ниједан од одговора не гради статистички значајне везе са социо-демографским карактеристикама испитаника, односно да одговори не зависе од родних, старосних карактеристика, нити од места становања. Једина и веома слаба веза може се сагледати у категорији образовних особина анкетираних. Тако оне који сматрају да су информације увек доступне у две трећине случајева чине они са факултетским и вишим нивоима образовања (66,3%). </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Категорију оних којима су информације недовољно доступне чини свега 2,2% студената, односно 5,4% ученика, док са друге стране то истиче 20,7% пензионера што се може приписати недовољном познавању информационих технологија које су први извор информација за анкетиране. Такође, у овој категорији налази се и 58,7% запослених, где је разлог вероватно недовољно слободног времена за културну партиципацију, па и за рецепцију информација о збивањима у култури.  </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На питање да рангирају изворе информисања у највећем броју случајева анкетирани истичу друштвене мреже, затим социјалне контакте, па штампани медији и флајери, плакати и постери. На први поглед делује изненађујуће да телевизија није међу примарним изворима информација. Међутим, као што су интервјуи и фокус групе показале, локални електронски медији нису активни у облати информисања о култури, за разлику од локалних штампаних медија, Сомборских новина, које су и задовољавајуће информативне (према одговорима запослених и истакнутих појединаца у фокус групама) и веома читане. </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Веома је значајно истаћи колико је информација важна у културној партиципацији грађана. Толико да се свега 0,7% не информише о догађајима о култури. Сви остали користе барем један од наведених канала комуникације.  </w:t>
      </w:r>
    </w:p>
    <w:p w:rsidR="00EE3A50" w:rsidRPr="00AF0C06" w:rsidRDefault="00EE3A50" w:rsidP="00D33C02">
      <w:pPr>
        <w:jc w:val="both"/>
        <w:rPr>
          <w:rFonts w:ascii="Times New Roman" w:hAnsi="Times New Roman" w:cs="Times New Roman"/>
          <w:sz w:val="24"/>
          <w:szCs w:val="24"/>
          <w:lang/>
        </w:rPr>
      </w:pPr>
    </w:p>
    <w:p w:rsidR="00EE3A50" w:rsidRPr="00AF0C06" w:rsidRDefault="00EE3A50" w:rsidP="00D33C02">
      <w:pPr>
        <w:jc w:val="both"/>
        <w:rPr>
          <w:rFonts w:ascii="Times New Roman" w:hAnsi="Times New Roman" w:cs="Times New Roman"/>
          <w:sz w:val="24"/>
          <w:szCs w:val="24"/>
          <w:lang/>
        </w:rPr>
      </w:pPr>
    </w:p>
    <w:p w:rsidR="00D33C02" w:rsidRPr="00AF0C06" w:rsidRDefault="00D33C02" w:rsidP="00EE3A50">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10</w:t>
      </w:r>
      <w:r w:rsidRPr="00AF0C06">
        <w:rPr>
          <w:rFonts w:ascii="Times New Roman" w:hAnsi="Times New Roman" w:cs="Times New Roman"/>
          <w:sz w:val="24"/>
          <w:szCs w:val="24"/>
          <w:lang/>
        </w:rPr>
        <w:t xml:space="preserve">: Најчешћи извори информисања о догађајима у култури </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lastRenderedPageBreak/>
        <w:drawing>
          <wp:inline distT="0" distB="0" distL="0" distR="0">
            <wp:extent cx="5905500" cy="2085975"/>
            <wp:effectExtent l="0" t="0" r="0" b="952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Очекивано, статистички значајну везу са видом информисања има старост испитаника, и то обрнуто пропорционалну. Наиме, са растом броја година опада коришћење социјалних мрежа у тражењу и примању информација. Исто тако са старошћу испитаника расте значај штампаних медија и телевизије као извора информација. У складу са наведеним је и да је за 78,9% студената интернет први извор информација, док је то случај са свега 24,5% пензионера који се најчешће ослањају на телевизију и новине као извор информација.</w:t>
      </w:r>
    </w:p>
    <w:p w:rsidR="00D33C02" w:rsidRPr="00AF0C06" w:rsidRDefault="00D33C02" w:rsidP="00D33C02">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11</w:t>
      </w:r>
      <w:r w:rsidRPr="00AF0C06">
        <w:rPr>
          <w:rFonts w:ascii="Times New Roman" w:hAnsi="Times New Roman" w:cs="Times New Roman"/>
          <w:sz w:val="24"/>
          <w:szCs w:val="24"/>
          <w:lang/>
        </w:rPr>
        <w:t>: Тенденција кретања значаја појединих извора информисања са годинама испитаника</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5895975" cy="2219325"/>
            <wp:effectExtent l="0" t="0" r="9525" b="9525"/>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D33C02">
        <w:rPr>
          <w:rFonts w:ascii="Times New Roman" w:hAnsi="Times New Roman" w:cs="Times New Roman"/>
          <w:sz w:val="24"/>
          <w:szCs w:val="24"/>
          <w:lang/>
        </w:rPr>
        <w:t xml:space="preserve">   </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Када је реч о интернет странама установа културе, односно организатора манифестација, они се веома ретко користе као извор информација у свим категоријама према социо-демографским карактеристикама испитаника. Овај моћан алат у презентовању садржаја и програма могао би да се унапреди прилагођавањем начина промоције различитим групама и потребама, интерактивним елементима, анкетама и наградним квизовима, секцијама за изражавање критичких осврта и другим начинима. </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Колико је интернет важно средство приближавања културе грађанима и генерално средство информисања показује податак да две трећине анкетираних бар једном недељно на интернету прикупља информације о култури. Важно је истаћи да склоност трагања за </w:t>
      </w:r>
      <w:r w:rsidRPr="00AF0C06">
        <w:rPr>
          <w:rFonts w:ascii="Times New Roman" w:hAnsi="Times New Roman" w:cs="Times New Roman"/>
          <w:sz w:val="24"/>
          <w:szCs w:val="24"/>
          <w:lang/>
        </w:rPr>
        <w:lastRenderedPageBreak/>
        <w:t xml:space="preserve">информацијама о култури расте сразмерно нивоу образовања, и да га у сврху културе најчешће интернет користи испитаници средњих година (30-49). Наиме, интернет у сврху  културних активности бар једном недељно користи 78,2% испитаника средњих година (30-49), док то чини свега 37,3% старијих од 64 године, 61% оних између 50 и 64 године, и 62,8% најмлађих испитаника (15-29).  Остале социо-демографске карактеристике не утичу на коришћење интернета у сврху културе. </w:t>
      </w:r>
    </w:p>
    <w:p w:rsidR="00D33C02" w:rsidRPr="00AF0C06" w:rsidRDefault="00D33C02" w:rsidP="00EE3A50">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12</w:t>
      </w:r>
      <w:r w:rsidRPr="00AF0C06">
        <w:rPr>
          <w:rFonts w:ascii="Times New Roman" w:hAnsi="Times New Roman" w:cs="Times New Roman"/>
          <w:sz w:val="24"/>
          <w:szCs w:val="24"/>
          <w:lang/>
        </w:rPr>
        <w:t>: Тенденција коришћења интернета у сврху културе према степену образовања испитаника</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934075" cy="1619250"/>
            <wp:effectExtent l="0" t="0" r="9525"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Иако се интернет у великој мери користи у сврху културе, може се закључити да је то превасходно средство информисања о културним догађајима и темама. Наиме свега 20,9% испитаних поставља своје утиске о неком културном догађају на друштвеним мрежама или интернет странама. У том смислу, требало би анимирати грађане да се више укључују у развој критичке мисли према култури, евалуацију садржаја којем су присуствовали, исказивању потреба за неким програмима и слично. За то се могу користити различити алати од креирања форума публике, преко анкетирања на самом догађају, саопштавања и коментарисања резултата у виртуелном простору, до давања простора публици да укаже на садржаје и програме који недостају у понуди градских организатора дешавања у култури. Очекивано, на објављивање коментара на интернету утиче једино узраст испитаника. Наиме, у складу са коришћењем интернета у сврху културе, најчешће своје коментаре и утиске на друштвеним мрежама и форумима постављају испитаници средњих генерација (30-49), док најмање коментаре објављују најстарија група публике (50+).  Интересантно је, међутим, да се најстарији Сомборци који имају 65 и више година, чешће одваже да оставе свој коментар на интернету у односу на нешто млађу старосну категорију (50-64). Тако, 16,8% старијих од 64 године истиче да објављује коментаре и утиске на социјалним мрежама. Можда би овај проценат био и већи када би више припадника најстарије сомборске публике имала профиле на друштвеним мрежама, јер 38,8% њих нема профил, за разлику од свега 2,3% најмлађих (15-29), 3,3% оних средњих година и 21,7% испитаника старости између 50 и 64 године. </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Закључак који се намеће када се ови подаци узму у обзир је да треба охрабрити посебно младе у изражавању својих ставова на интернету, посебно имајући у виду да млади у преко 95% случајева имају профиле на друштвеним мрежама које посећују свакодневно, а преко 60% користи интернет у сврху културе. </w:t>
      </w:r>
    </w:p>
    <w:p w:rsidR="00D33C02" w:rsidRPr="00AF0C06" w:rsidRDefault="00D33C02" w:rsidP="00D33C02">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lastRenderedPageBreak/>
        <w:t>Графикон</w:t>
      </w:r>
      <w:r w:rsidR="00EE3A50" w:rsidRPr="00AF0C06">
        <w:rPr>
          <w:rFonts w:ascii="Times New Roman" w:hAnsi="Times New Roman" w:cs="Times New Roman"/>
          <w:sz w:val="24"/>
          <w:szCs w:val="24"/>
          <w:lang/>
        </w:rPr>
        <w:t xml:space="preserve"> 13</w:t>
      </w:r>
      <w:r w:rsidRPr="00AF0C06">
        <w:rPr>
          <w:rFonts w:ascii="Times New Roman" w:hAnsi="Times New Roman" w:cs="Times New Roman"/>
          <w:sz w:val="24"/>
          <w:szCs w:val="24"/>
          <w:lang/>
        </w:rPr>
        <w:t xml:space="preserve">: Колико сомборска публика објављује коментаре из културе на интернету </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953125" cy="885825"/>
            <wp:effectExtent l="0" t="0" r="9525" b="952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33C02" w:rsidRPr="00AF0C06" w:rsidRDefault="00D33C02" w:rsidP="00D33C02">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14</w:t>
      </w:r>
      <w:r w:rsidRPr="00AF0C06">
        <w:rPr>
          <w:rFonts w:ascii="Times New Roman" w:hAnsi="Times New Roman" w:cs="Times New Roman"/>
          <w:sz w:val="24"/>
          <w:szCs w:val="24"/>
          <w:lang/>
        </w:rPr>
        <w:t>: Колико сомборска публика објављује коментаре из културе на интернету према узрасту испитаника</w:t>
      </w:r>
    </w:p>
    <w:p w:rsidR="00D33C02" w:rsidRPr="00D33C02" w:rsidRDefault="00D33C02" w:rsidP="00D33C02">
      <w:pPr>
        <w:spacing w:after="0"/>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905500" cy="1304925"/>
            <wp:effectExtent l="0" t="0" r="0"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33C02" w:rsidRPr="00D33C02" w:rsidRDefault="00D33C02" w:rsidP="00D33C02">
      <w:pPr>
        <w:spacing w:after="0"/>
        <w:jc w:val="both"/>
        <w:rPr>
          <w:rFonts w:ascii="Times New Roman" w:hAnsi="Times New Roman" w:cs="Times New Roman"/>
          <w:color w:val="FF0000"/>
          <w:sz w:val="24"/>
          <w:szCs w:val="24"/>
          <w:lang/>
        </w:rPr>
      </w:pP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Без обзира на врсту извора информисања, велики део анкетираних сматра да се културни садржаји не рекламирају довољно – 42%. Такође, 24% не зна да оцени да ли је рекламирање културних програма довољно присутно, што такође наводи на закључак постојања индиферентне публике или пак, недовољног присуства културе у промотивним садржајима (ако је већ неко не примећује у свом окружењу). </w:t>
      </w:r>
    </w:p>
    <w:p w:rsidR="00D33C02" w:rsidRPr="00AF0C06" w:rsidRDefault="00D33C02" w:rsidP="00D33C02">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15</w:t>
      </w:r>
      <w:r w:rsidRPr="00AF0C06">
        <w:rPr>
          <w:rFonts w:ascii="Times New Roman" w:hAnsi="Times New Roman" w:cs="Times New Roman"/>
          <w:sz w:val="24"/>
          <w:szCs w:val="24"/>
          <w:lang/>
        </w:rPr>
        <w:t>: Одговор на питање „Генерално гледано, сматрате ли да се културни програми у Сомбору довољно рекламирају?“</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829300" cy="17526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D33C02">
        <w:rPr>
          <w:rFonts w:ascii="Times New Roman" w:hAnsi="Times New Roman" w:cs="Times New Roman"/>
          <w:color w:val="FF0000"/>
          <w:sz w:val="24"/>
          <w:szCs w:val="24"/>
          <w:lang/>
        </w:rPr>
        <w:tab/>
      </w:r>
    </w:p>
    <w:p w:rsidR="00D33C02" w:rsidRPr="00AF0C06" w:rsidRDefault="00D33C02" w:rsidP="00D33C02">
      <w:pPr>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Судећи према одговорима испитаних, установе културе и остали организатори културних садржаја треба да повећају рекламирање на друштвеним мрежама, што добија на значају ако се узме у обзир да су управо интернет социјалне мреже први извор информација. На другом месту као значајан модел рекламирања анкетирани виде слање порука на мобилне телефоне грађана, а затим рекламирање на локалним електронским и штампаним медијима. Управо ове одговоре испитаника, установе и организације у култури би могле да искористе за побољшање начина и интензитета промоције својих догађаја. У том смислу на правце промотивних активности указују и одговори који се тичу већег броја </w:t>
      </w:r>
      <w:r w:rsidRPr="00AF0C06">
        <w:rPr>
          <w:rFonts w:ascii="Times New Roman" w:hAnsi="Times New Roman" w:cs="Times New Roman"/>
          <w:sz w:val="24"/>
          <w:szCs w:val="24"/>
          <w:lang/>
        </w:rPr>
        <w:lastRenderedPageBreak/>
        <w:t>плаката, унапређења објава на интернет странама, креирања или активирања мејлинг листа.</w:t>
      </w:r>
    </w:p>
    <w:p w:rsidR="00D33C02" w:rsidRPr="00AF0C06" w:rsidRDefault="00D33C02" w:rsidP="00D33C02">
      <w:pPr>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16</w:t>
      </w:r>
      <w:r w:rsidRPr="00AF0C06">
        <w:rPr>
          <w:rFonts w:ascii="Times New Roman" w:hAnsi="Times New Roman" w:cs="Times New Roman"/>
          <w:sz w:val="24"/>
          <w:szCs w:val="24"/>
          <w:lang/>
        </w:rPr>
        <w:t>: Одговори испитаних о томе која врста рекламе/промоције највише недостаје у култури Сомбора? (мултипли одговори)</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905500" cy="3876675"/>
            <wp:effectExtent l="0" t="0" r="0" b="9525"/>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D33C02">
        <w:rPr>
          <w:rFonts w:ascii="Times New Roman" w:hAnsi="Times New Roman" w:cs="Times New Roman"/>
          <w:color w:val="FF0000"/>
          <w:sz w:val="24"/>
          <w:szCs w:val="24"/>
          <w:lang/>
        </w:rPr>
        <w:tab/>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С обзиром на то да су испитаници замољени да рангирају прва три најпожељнија начина промоције, уколико се сагледају само одговори првог ранга, објаве на интернет страницама установа културе и организатора манифестација се налазе на трећој позицији. Уколико се овај одговор стави у контекст извора информација где су сајтови при дну лествице, постаје јасно колико се заправо слабо користе могућности интернет промоције преко званичних интернет презентација установа и организација у култури. Управо на тај канал промоције треба ставити акценат у наредном периоду, уз видове личније комуникације коју грађани желе, попут СМС порука и мејлова. Да су потребе за адекватнијом промоцијом велике показује и податак да само 0,9% испитаних сматра да је промоција на постојећем нивоу задовољавајућа.</w:t>
      </w:r>
    </w:p>
    <w:p w:rsidR="00D33C02" w:rsidRPr="00D33C02" w:rsidRDefault="00D33C02" w:rsidP="00EE3A50">
      <w:pPr>
        <w:ind w:firstLine="720"/>
        <w:jc w:val="both"/>
        <w:rPr>
          <w:rFonts w:ascii="Times New Roman" w:hAnsi="Times New Roman" w:cs="Times New Roman"/>
          <w:color w:val="FF0000"/>
          <w:sz w:val="24"/>
          <w:szCs w:val="24"/>
          <w:lang/>
        </w:rPr>
      </w:pPr>
      <w:r w:rsidRPr="00AF0C06">
        <w:rPr>
          <w:rFonts w:ascii="Times New Roman" w:hAnsi="Times New Roman" w:cs="Times New Roman"/>
          <w:sz w:val="24"/>
          <w:szCs w:val="24"/>
          <w:lang/>
        </w:rPr>
        <w:t xml:space="preserve">Када се примарни одговори сагледају кроз визуру социо-демографских карактеристика приметно је мушкарци и ниже образовани у нешто већем постотку желе унапређење телевизијских реклама (склоност ка ТВ промоцији опада са порастом нивоа образовања) да су студенти и високо образовани наклоњени личнијим видовима промоције попут мејлинг листа и желе бољу промоцију на сајтовима установа и организација у култури. Наклоњеност интернет видовима рекламирања показују </w:t>
      </w:r>
      <w:r w:rsidRPr="00AF0C06">
        <w:rPr>
          <w:rFonts w:ascii="Times New Roman" w:hAnsi="Times New Roman" w:cs="Times New Roman"/>
          <w:sz w:val="24"/>
          <w:szCs w:val="24"/>
          <w:lang/>
        </w:rPr>
        <w:lastRenderedPageBreak/>
        <w:t>генерално млађи Сомборци, а рекламама на телевизији, штампаним медијима и радију више су окренути старији од 65 година. То је и очекивано, јер како су бројна истраживања и подаци на тему коришћења интернета, гледања телевизије, коришћења слободног времена показала, старији грађани слабије познају информационе технологије и више времена проводе уз телевизијски програм. Разлика према месту становања готово да нема.</w:t>
      </w:r>
      <w:r w:rsidRPr="00D33C02">
        <w:rPr>
          <w:rFonts w:ascii="Times New Roman" w:hAnsi="Times New Roman" w:cs="Times New Roman"/>
          <w:color w:val="FF0000"/>
          <w:sz w:val="24"/>
          <w:szCs w:val="24"/>
          <w:lang/>
        </w:rPr>
        <w:tab/>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Када је реч о врсти информација које Сомборци траже и усвајају о културним садржајима, </w:t>
      </w:r>
      <w:r w:rsidR="00AF0C06" w:rsidRPr="00AF0C06">
        <w:rPr>
          <w:rFonts w:ascii="Times New Roman" w:hAnsi="Times New Roman" w:cs="Times New Roman"/>
          <w:sz w:val="24"/>
          <w:szCs w:val="24"/>
          <w:lang/>
        </w:rPr>
        <w:t>може се</w:t>
      </w:r>
      <w:r w:rsidRPr="00AF0C06">
        <w:rPr>
          <w:rFonts w:ascii="Times New Roman" w:hAnsi="Times New Roman" w:cs="Times New Roman"/>
          <w:sz w:val="24"/>
          <w:szCs w:val="24"/>
          <w:lang/>
        </w:rPr>
        <w:t xml:space="preserve"> рећи да је сомборска публика сензибилисана за рецепцију предзнања о догађајима из културе. Наиме, скоро 40% се пре одласка на неки културни програм информише и о практичним детаљима програма (где, када, по којој цени) и конкретном садржају (радња представе, критика у новинама, који уметник учествује у програму и слично). Овоме у прилог говори и податак да се само 7,3% анкетираних уопште не информише о догађају. </w:t>
      </w:r>
    </w:p>
    <w:p w:rsidR="00D33C02" w:rsidRPr="00AF0C06" w:rsidRDefault="00D33C02" w:rsidP="00D33C02">
      <w:pPr>
        <w:spacing w:after="0"/>
        <w:jc w:val="both"/>
        <w:rPr>
          <w:rFonts w:ascii="Times New Roman" w:hAnsi="Times New Roman" w:cs="Times New Roman"/>
          <w:sz w:val="24"/>
          <w:szCs w:val="24"/>
          <w:lang/>
        </w:rPr>
      </w:pPr>
      <w:r w:rsidRPr="00AF0C06">
        <w:rPr>
          <w:rFonts w:ascii="Times New Roman" w:hAnsi="Times New Roman" w:cs="Times New Roman"/>
          <w:sz w:val="24"/>
          <w:szCs w:val="24"/>
          <w:lang/>
        </w:rPr>
        <w:t>Графикон</w:t>
      </w:r>
      <w:r w:rsidR="00EE3A50" w:rsidRPr="00AF0C06">
        <w:rPr>
          <w:rFonts w:ascii="Times New Roman" w:hAnsi="Times New Roman" w:cs="Times New Roman"/>
          <w:sz w:val="24"/>
          <w:szCs w:val="24"/>
          <w:lang/>
        </w:rPr>
        <w:t xml:space="preserve"> 17</w:t>
      </w:r>
      <w:r w:rsidRPr="00AF0C06">
        <w:rPr>
          <w:rFonts w:ascii="Times New Roman" w:hAnsi="Times New Roman" w:cs="Times New Roman"/>
          <w:sz w:val="24"/>
          <w:szCs w:val="24"/>
          <w:lang/>
        </w:rPr>
        <w:t>: Карактер информација који сомборска публика прикупља пре одласка на програме</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934075" cy="2619375"/>
            <wp:effectExtent l="0" t="0" r="9525" b="9525"/>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Кроз социо-демографску визуру, искључиво садржајне информације најчешће прикупљају грађани средњих година</w:t>
      </w:r>
      <w:r w:rsidRPr="00AF0C06">
        <w:rPr>
          <w:rFonts w:ascii="Times New Roman" w:hAnsi="Times New Roman" w:cs="Times New Roman"/>
          <w:sz w:val="24"/>
          <w:szCs w:val="24"/>
        </w:rPr>
        <w:t xml:space="preserve"> </w:t>
      </w:r>
      <w:r w:rsidRPr="00AF0C06">
        <w:rPr>
          <w:rFonts w:ascii="Times New Roman" w:hAnsi="Times New Roman" w:cs="Times New Roman"/>
          <w:sz w:val="24"/>
          <w:szCs w:val="24"/>
          <w:lang/>
        </w:rPr>
        <w:t xml:space="preserve">(30-49), и они високог образовања, а за практичним информацијама најчешће трагају најмлађи испитаници (15-29) и они нижег образовања. Полне и разлике према месту становања су занемарљиве. </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Када је реч о комуникацији актера у култури са публиком, испитаницима је у анкети постављено питање да ли су у последњих годину дана били позвани на неко дешавање од стране установа и организација у култури. С обзиром на то да су испитаници били сомборска публика која је бар два пута присуствовала догађајима, изненађује податак да 60% њих није добило позив од стране неке установе или организације у култури. Преосталих 40% најчешће позив најчешће добија од установа културе и културно-уметничких друштава и то путем мобилног телефона (порука) – 12,9% испитаних, и мејл адресе – 12,8%, а потом путем фејсбук позивнице – 8,6%. Такође, 4,7% испитаника истиче да су лично били позвани на неки догађај (телефоном или директом </w:t>
      </w:r>
      <w:r w:rsidRPr="00AF0C06">
        <w:rPr>
          <w:rFonts w:ascii="Times New Roman" w:hAnsi="Times New Roman" w:cs="Times New Roman"/>
          <w:sz w:val="24"/>
          <w:szCs w:val="24"/>
          <w:lang/>
        </w:rPr>
        <w:lastRenderedPageBreak/>
        <w:t>комуникацијом). Мали број истиче да су на догађаје били позивани од стране школа, удружења пензионера, града и месне заједнице и других актера.</w:t>
      </w:r>
    </w:p>
    <w:p w:rsidR="00D33C02" w:rsidRPr="00AF0C06" w:rsidRDefault="00D33C02" w:rsidP="00EE3A50">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Судећи према подацима, установе и остали организатори догађаја у култури морају да унапреде комуникацију са публиком. Треба свакако узети у обзир да је велики део сомборске публике навео да треба унапредити личније моделе комуникације у које спадају СМС обавештавање, као и поруке на мејл адресе. Може се закључити да грађани Сомбора веома цене директан контакт од стране установа и организација у култури, те би комуникацију требало даље развијати кроз ове канале.</w:t>
      </w:r>
    </w:p>
    <w:p w:rsidR="00D33C02" w:rsidRPr="00D33C02" w:rsidRDefault="00D33C02" w:rsidP="00D33C02">
      <w:pPr>
        <w:jc w:val="both"/>
        <w:rPr>
          <w:rFonts w:ascii="Times New Roman" w:hAnsi="Times New Roman" w:cs="Times New Roman"/>
          <w:b/>
          <w:sz w:val="28"/>
          <w:szCs w:val="28"/>
          <w:lang/>
        </w:rPr>
      </w:pPr>
      <w:r w:rsidRPr="00D33C02">
        <w:rPr>
          <w:rFonts w:ascii="Times New Roman" w:hAnsi="Times New Roman" w:cs="Times New Roman"/>
          <w:b/>
          <w:sz w:val="28"/>
          <w:szCs w:val="28"/>
          <w:lang/>
        </w:rPr>
        <w:t>Оцене и ставови о културној понуди града Сомбора</w:t>
      </w:r>
    </w:p>
    <w:p w:rsidR="00D33C02" w:rsidRPr="00D33C02" w:rsidRDefault="00D33C02" w:rsidP="00EE3A50">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Градска управа Сомбор је оснивач свих јавних установа културе у Сомбору, а преко конкурса за културу финансира рад удружења у Сомбору, пре свега културно-уметничких друштава. У односу на друге области, у Сомбору се за културу издваја 8,1% градског буџета, те је просечно годишње издвајање за културу по глави становника у 2019. години у Сомбору било 2.832,24 динара. Ипак, анкетирани грађани Сомбора (48,7%) сматрају да градска власт у Сомбору не обраћа довољно пажње на културу у односу на друге области. Израда Стратегије развоја културе града Сомбора (</w:t>
      </w:r>
      <w:r w:rsidR="00C931CA">
        <w:rPr>
          <w:rFonts w:ascii="Times New Roman" w:hAnsi="Times New Roman" w:cs="Times New Roman"/>
          <w:sz w:val="24"/>
          <w:szCs w:val="24"/>
          <w:lang/>
        </w:rPr>
        <w:t>2021</w:t>
      </w:r>
      <w:r w:rsidRPr="00D33C02">
        <w:rPr>
          <w:rFonts w:ascii="Times New Roman" w:hAnsi="Times New Roman" w:cs="Times New Roman"/>
          <w:sz w:val="24"/>
          <w:szCs w:val="24"/>
          <w:lang/>
        </w:rPr>
        <w:t xml:space="preserve"> – 2025) представља један од доказа да локална самоуправа једном од приоритетних области у развоју града сматра упра</w:t>
      </w:r>
      <w:r w:rsidR="00EE3A50">
        <w:rPr>
          <w:rFonts w:ascii="Times New Roman" w:hAnsi="Times New Roman" w:cs="Times New Roman"/>
          <w:sz w:val="24"/>
          <w:szCs w:val="24"/>
          <w:lang/>
        </w:rPr>
        <w:t>во и културу.</w:t>
      </w:r>
    </w:p>
    <w:p w:rsidR="00D33C02" w:rsidRPr="00D33C02" w:rsidRDefault="00D33C02" w:rsidP="00D33C02">
      <w:pPr>
        <w:spacing w:after="0"/>
        <w:jc w:val="both"/>
        <w:rPr>
          <w:rFonts w:ascii="Times New Roman" w:hAnsi="Times New Roman" w:cs="Times New Roman"/>
          <w:sz w:val="24"/>
          <w:szCs w:val="24"/>
          <w:lang/>
        </w:rPr>
      </w:pPr>
      <w:r w:rsidRPr="00EE3A50">
        <w:rPr>
          <w:rFonts w:ascii="Times New Roman" w:hAnsi="Times New Roman" w:cs="Times New Roman"/>
          <w:sz w:val="24"/>
          <w:szCs w:val="24"/>
          <w:lang/>
        </w:rPr>
        <w:t>Графикон</w:t>
      </w:r>
      <w:r w:rsidR="00EE3A50" w:rsidRPr="00EE3A50">
        <w:rPr>
          <w:rFonts w:ascii="Times New Roman" w:hAnsi="Times New Roman" w:cs="Times New Roman"/>
          <w:sz w:val="24"/>
          <w:szCs w:val="24"/>
          <w:lang/>
        </w:rPr>
        <w:t xml:space="preserve"> 18</w:t>
      </w:r>
      <w:r w:rsidRPr="00EE3A50">
        <w:rPr>
          <w:rFonts w:ascii="Times New Roman" w:hAnsi="Times New Roman" w:cs="Times New Roman"/>
          <w:sz w:val="24"/>
          <w:szCs w:val="24"/>
          <w:lang/>
        </w:rPr>
        <w:t>:</w:t>
      </w:r>
      <w:r w:rsidRPr="00D33C02">
        <w:rPr>
          <w:rFonts w:ascii="Times New Roman" w:hAnsi="Times New Roman" w:cs="Times New Roman"/>
          <w:sz w:val="24"/>
          <w:szCs w:val="24"/>
          <w:lang/>
        </w:rPr>
        <w:t xml:space="preserve"> Да ли Градска управа Сомбор обраћа довољно пажње на културу?</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5905500" cy="2219325"/>
            <wp:effectExtent l="0" t="0" r="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sz w:val="24"/>
          <w:szCs w:val="24"/>
          <w:lang/>
        </w:rPr>
        <w:t xml:space="preserve">Резултати истраживања показују да је културна понуда Сомбора на задовољавајућем нивоу, јер је њом (веома) задовољно је 70,7% испитаника, док је 14,4% (веома) незадовољно. Такође, велико задовоство је присутно и по питању учесталости и квалитета културних догађаја, те тако највећи проценат испитаника учесталости и квалитету културних догађаја даје оцену 3 (од максималних 5), а затим оцене 4 и 5, док мање од 10% анкетираних мисли да су учесталост и квалитет на лошем нивоу. Ипак, највишу оцену за учесталост догађаја дало је 3,1% младих, 15,1% испитаника од 30 до 49 година живота и 12,4% испитаника са 50 и више година. Сличан став се примећује и по питању квалитета </w:t>
      </w:r>
      <w:r w:rsidRPr="00D33C02">
        <w:rPr>
          <w:rFonts w:ascii="Times New Roman" w:hAnsi="Times New Roman" w:cs="Times New Roman"/>
          <w:sz w:val="24"/>
          <w:szCs w:val="24"/>
          <w:lang/>
        </w:rPr>
        <w:lastRenderedPageBreak/>
        <w:t xml:space="preserve">културних догађаја, те је квалитету оцену 5 дало 7,8% младих, 18,4% припадника средње генерације и 15,2% припадника старије генерације. </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sz w:val="24"/>
          <w:szCs w:val="24"/>
          <w:lang/>
        </w:rPr>
        <w:t>Када је реч о заступљености културних програма за поједине групе приметно је да грађани Сомбора сматрају да нема довољно програма ни за децу, ни за младе, ни за старе, ни за припаднике етничких заједница, ни за особе са инвалидитетом, ни за сеоско становништво. Међутим, највиша разлика се уочова код програма за младе, где 54,6% испитаника сматра да у Сомбору нису довољно заступљени програми за младе, а затим следе програми за децу и за старе. Важно је напоменути да велики проценат испитаника сматра да, ипак, постоје програми за све групе, осим за особе са инвалидитетом и рурално становништво. Наиме, 13,3% испитаника сматра да програма за особе с</w:t>
      </w:r>
      <w:r w:rsidR="00EE3A50">
        <w:rPr>
          <w:rFonts w:ascii="Times New Roman" w:hAnsi="Times New Roman" w:cs="Times New Roman"/>
          <w:sz w:val="24"/>
          <w:szCs w:val="24"/>
          <w:lang/>
        </w:rPr>
        <w:t>а инвалидитетом нема у Сомбору.</w:t>
      </w:r>
      <w:r w:rsidRPr="00D33C02">
        <w:rPr>
          <w:rFonts w:ascii="Times New Roman" w:hAnsi="Times New Roman" w:cs="Times New Roman"/>
          <w:sz w:val="24"/>
          <w:szCs w:val="24"/>
          <w:lang/>
        </w:rPr>
        <w:t xml:space="preserve"> </w:t>
      </w:r>
    </w:p>
    <w:p w:rsidR="00D33C02" w:rsidRPr="00D33C02" w:rsidRDefault="00D33C02" w:rsidP="00EE3A50">
      <w:pPr>
        <w:spacing w:after="0"/>
        <w:jc w:val="both"/>
        <w:rPr>
          <w:rFonts w:ascii="Times New Roman" w:hAnsi="Times New Roman" w:cs="Times New Roman"/>
          <w:sz w:val="24"/>
          <w:szCs w:val="24"/>
          <w:lang/>
        </w:rPr>
      </w:pPr>
      <w:r w:rsidRPr="00EE3A50">
        <w:rPr>
          <w:rFonts w:ascii="Times New Roman" w:hAnsi="Times New Roman" w:cs="Times New Roman"/>
          <w:sz w:val="24"/>
          <w:szCs w:val="24"/>
          <w:lang/>
        </w:rPr>
        <w:t>Графикон</w:t>
      </w:r>
      <w:r w:rsidR="00EE3A50" w:rsidRPr="00EE3A50">
        <w:rPr>
          <w:rFonts w:ascii="Times New Roman" w:hAnsi="Times New Roman" w:cs="Times New Roman"/>
          <w:sz w:val="24"/>
          <w:szCs w:val="24"/>
          <w:lang/>
        </w:rPr>
        <w:t xml:space="preserve"> 19</w:t>
      </w:r>
      <w:r w:rsidRPr="00EE3A50">
        <w:rPr>
          <w:rFonts w:ascii="Times New Roman" w:hAnsi="Times New Roman" w:cs="Times New Roman"/>
          <w:sz w:val="24"/>
          <w:szCs w:val="24"/>
          <w:lang/>
        </w:rPr>
        <w:t>: Заступљеност</w:t>
      </w:r>
      <w:r w:rsidRPr="00D33C02">
        <w:rPr>
          <w:rFonts w:ascii="Times New Roman" w:hAnsi="Times New Roman" w:cs="Times New Roman"/>
          <w:sz w:val="24"/>
          <w:szCs w:val="24"/>
          <w:lang/>
        </w:rPr>
        <w:t xml:space="preserve"> програма из културе за поједине групе</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6076950" cy="2924175"/>
            <wp:effectExtent l="0" t="0" r="0" b="952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D33C02">
        <w:rPr>
          <w:rFonts w:ascii="Times New Roman" w:hAnsi="Times New Roman" w:cs="Times New Roman"/>
          <w:sz w:val="24"/>
          <w:szCs w:val="24"/>
          <w:lang/>
        </w:rPr>
        <w:t xml:space="preserve"> </w:t>
      </w:r>
    </w:p>
    <w:p w:rsidR="00D33C02" w:rsidRPr="00D33C02" w:rsidRDefault="00D33C02" w:rsidP="00EE3A50">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 xml:space="preserve">Заступљеношћу програма за децу најмање су задовољни припадници средње генерације (54,8%), а затим припадници старије генерације (40%). Међутим, важно је напоменути и податак да 50,4% испитаника који имају децу, такође, сматра да програми за децу нису довољно заступљени. Када је реч о програмима за младе испитаници свих старосних групација се слажу да ови програми нису довољно заступљени, док 7% младих (за разлику од 3,3% оних од 30 до 49 година и 3,6% оних са више од 50 година) сматра да тих програма уопште нема у Сомбору. Сличан став примећује се и код заступљености програма за старе, где 5,9% најстаријих испитаника сматра да овог типа програма нема. </w:t>
      </w:r>
    </w:p>
    <w:p w:rsidR="00D33C02" w:rsidRPr="00D33C02" w:rsidRDefault="00D33C02" w:rsidP="00EE3A50">
      <w:pPr>
        <w:ind w:firstLine="720"/>
        <w:jc w:val="both"/>
        <w:rPr>
          <w:rFonts w:ascii="Times New Roman" w:hAnsi="Times New Roman" w:cs="Times New Roman"/>
          <w:noProof/>
          <w:sz w:val="24"/>
          <w:szCs w:val="24"/>
          <w:lang/>
        </w:rPr>
      </w:pPr>
      <w:r w:rsidRPr="00D33C02">
        <w:rPr>
          <w:rFonts w:ascii="Times New Roman" w:hAnsi="Times New Roman" w:cs="Times New Roman"/>
          <w:sz w:val="24"/>
          <w:szCs w:val="24"/>
          <w:lang/>
        </w:rPr>
        <w:t>Поред недовољне заступљености програма из културе за рурално становништво грађани Сомбора су на тему оцене културне понуде у насељеним местима дали готово сличан став. Наиме, 75,3</w:t>
      </w:r>
      <w:r w:rsidRPr="00D33C02">
        <w:rPr>
          <w:rFonts w:ascii="Times New Roman" w:hAnsi="Times New Roman" w:cs="Times New Roman"/>
          <w:sz w:val="24"/>
          <w:szCs w:val="24"/>
          <w:lang/>
        </w:rPr>
        <w:t xml:space="preserve">% </w:t>
      </w:r>
      <w:r w:rsidRPr="00D33C02">
        <w:rPr>
          <w:rFonts w:ascii="Times New Roman" w:hAnsi="Times New Roman" w:cs="Times New Roman"/>
          <w:noProof/>
          <w:sz w:val="24"/>
          <w:szCs w:val="24"/>
          <w:lang w:val="sr-Cyrl-CS"/>
        </w:rPr>
        <w:t xml:space="preserve">испитаника сматра да се у насељеним местима врло ретко, односно понекад одржавају културни </w:t>
      </w:r>
      <w:r w:rsidRPr="00EE3A50">
        <w:rPr>
          <w:rFonts w:ascii="Times New Roman" w:hAnsi="Times New Roman" w:cs="Times New Roman"/>
          <w:noProof/>
          <w:sz w:val="24"/>
          <w:szCs w:val="24"/>
          <w:lang w:val="sr-Cyrl-CS"/>
        </w:rPr>
        <w:t>програми</w:t>
      </w:r>
      <w:r w:rsidRPr="00EE3A50">
        <w:rPr>
          <w:rFonts w:ascii="Times New Roman" w:hAnsi="Times New Roman" w:cs="Times New Roman"/>
          <w:noProof/>
          <w:sz w:val="24"/>
          <w:szCs w:val="24"/>
          <w:lang/>
        </w:rPr>
        <w:t xml:space="preserve"> (Графикон</w:t>
      </w:r>
      <w:r w:rsidR="00EE3A50" w:rsidRPr="00EE3A50">
        <w:rPr>
          <w:rFonts w:ascii="Times New Roman" w:hAnsi="Times New Roman" w:cs="Times New Roman"/>
          <w:noProof/>
          <w:sz w:val="24"/>
          <w:szCs w:val="24"/>
          <w:lang/>
        </w:rPr>
        <w:t xml:space="preserve"> 20</w:t>
      </w:r>
      <w:r w:rsidRPr="00EE3A50">
        <w:rPr>
          <w:rFonts w:ascii="Times New Roman" w:hAnsi="Times New Roman" w:cs="Times New Roman"/>
          <w:noProof/>
          <w:sz w:val="24"/>
          <w:szCs w:val="24"/>
          <w:lang/>
        </w:rPr>
        <w:t>)</w:t>
      </w:r>
      <w:r w:rsidRPr="00EE3A50">
        <w:rPr>
          <w:rFonts w:ascii="Times New Roman" w:hAnsi="Times New Roman" w:cs="Times New Roman"/>
          <w:noProof/>
          <w:sz w:val="24"/>
          <w:szCs w:val="24"/>
          <w:lang w:val="sr-Cyrl-CS"/>
        </w:rPr>
        <w:t>.</w:t>
      </w:r>
      <w:r w:rsidRPr="00D33C02">
        <w:rPr>
          <w:rFonts w:ascii="Times New Roman" w:hAnsi="Times New Roman" w:cs="Times New Roman"/>
          <w:noProof/>
          <w:sz w:val="24"/>
          <w:szCs w:val="24"/>
          <w:lang w:val="sr-Cyrl-CS"/>
        </w:rPr>
        <w:t xml:space="preserve"> </w:t>
      </w:r>
      <w:r w:rsidRPr="00D33C02">
        <w:rPr>
          <w:rFonts w:ascii="Times New Roman" w:hAnsi="Times New Roman" w:cs="Times New Roman"/>
          <w:noProof/>
          <w:sz w:val="24"/>
          <w:szCs w:val="24"/>
          <w:lang/>
        </w:rPr>
        <w:t xml:space="preserve">Са овим ставом се слаже </w:t>
      </w:r>
      <w:r w:rsidRPr="00D33C02">
        <w:rPr>
          <w:rFonts w:ascii="Times New Roman" w:hAnsi="Times New Roman" w:cs="Times New Roman"/>
          <w:noProof/>
          <w:sz w:val="24"/>
          <w:szCs w:val="24"/>
          <w:lang/>
        </w:rPr>
        <w:lastRenderedPageBreak/>
        <w:t>71,9% грађана који живе у градском подручју и 86,1% испитаника који живе у руралном подручју</w:t>
      </w:r>
      <w:r w:rsidRPr="00D33C02">
        <w:rPr>
          <w:rFonts w:ascii="Times New Roman" w:hAnsi="Times New Roman" w:cs="Times New Roman"/>
          <w:noProof/>
          <w:sz w:val="24"/>
          <w:szCs w:val="24"/>
          <w:lang/>
        </w:rPr>
        <w:t xml:space="preserve">. </w:t>
      </w:r>
      <w:r w:rsidRPr="00D33C02">
        <w:rPr>
          <w:rFonts w:ascii="Times New Roman" w:hAnsi="Times New Roman" w:cs="Times New Roman"/>
          <w:noProof/>
          <w:sz w:val="24"/>
          <w:szCs w:val="24"/>
          <w:lang/>
        </w:rPr>
        <w:t xml:space="preserve">Сви наведени подаци указују да је неопходно унапредити културну понуду у насељеним местима и у креирање програма укључити мештане насељених места и удружења грађана. </w:t>
      </w:r>
    </w:p>
    <w:p w:rsidR="00D33C02" w:rsidRPr="00D33C02" w:rsidRDefault="00D33C02" w:rsidP="00D33C02">
      <w:pPr>
        <w:jc w:val="both"/>
        <w:rPr>
          <w:rFonts w:ascii="Times New Roman" w:hAnsi="Times New Roman" w:cs="Times New Roman"/>
          <w:noProof/>
          <w:sz w:val="24"/>
          <w:szCs w:val="24"/>
          <w:lang/>
        </w:rPr>
      </w:pPr>
    </w:p>
    <w:p w:rsidR="00D33C02" w:rsidRPr="00D33C02" w:rsidRDefault="00D33C02" w:rsidP="00D33C02">
      <w:pPr>
        <w:spacing w:after="0"/>
        <w:jc w:val="both"/>
        <w:rPr>
          <w:rFonts w:ascii="Times New Roman" w:hAnsi="Times New Roman" w:cs="Times New Roman"/>
          <w:noProof/>
          <w:sz w:val="24"/>
          <w:szCs w:val="24"/>
          <w:lang/>
        </w:rPr>
      </w:pPr>
      <w:r w:rsidRPr="00EE3A50">
        <w:rPr>
          <w:rFonts w:ascii="Times New Roman" w:hAnsi="Times New Roman" w:cs="Times New Roman"/>
          <w:noProof/>
          <w:sz w:val="24"/>
          <w:szCs w:val="24"/>
          <w:lang/>
        </w:rPr>
        <w:t>Графикон</w:t>
      </w:r>
      <w:r w:rsidR="00EE3A50" w:rsidRPr="00EE3A50">
        <w:rPr>
          <w:rFonts w:ascii="Times New Roman" w:hAnsi="Times New Roman" w:cs="Times New Roman"/>
          <w:noProof/>
          <w:sz w:val="24"/>
          <w:szCs w:val="24"/>
          <w:lang/>
        </w:rPr>
        <w:t xml:space="preserve"> 20</w:t>
      </w:r>
      <w:r w:rsidRPr="00EE3A50">
        <w:rPr>
          <w:rFonts w:ascii="Times New Roman" w:hAnsi="Times New Roman" w:cs="Times New Roman"/>
          <w:noProof/>
          <w:sz w:val="24"/>
          <w:szCs w:val="24"/>
          <w:lang/>
        </w:rPr>
        <w:t>: Оцена</w:t>
      </w:r>
      <w:r w:rsidRPr="00D33C02">
        <w:rPr>
          <w:rFonts w:ascii="Times New Roman" w:hAnsi="Times New Roman" w:cs="Times New Roman"/>
          <w:noProof/>
          <w:sz w:val="24"/>
          <w:szCs w:val="24"/>
          <w:lang/>
        </w:rPr>
        <w:t xml:space="preserve"> културне понуде у насељеним местима</w:t>
      </w:r>
    </w:p>
    <w:p w:rsidR="00D33C02" w:rsidRPr="00D33C02" w:rsidRDefault="00D33C02" w:rsidP="00D33C02">
      <w:pPr>
        <w:jc w:val="both"/>
        <w:rPr>
          <w:rFonts w:ascii="Times New Roman" w:hAnsi="Times New Roman" w:cs="Times New Roman"/>
          <w:noProof/>
          <w:sz w:val="24"/>
          <w:szCs w:val="24"/>
          <w:lang/>
        </w:rPr>
      </w:pPr>
      <w:r w:rsidRPr="00D33C02">
        <w:rPr>
          <w:rFonts w:ascii="Times New Roman" w:hAnsi="Times New Roman" w:cs="Times New Roman"/>
          <w:noProof/>
          <w:sz w:val="24"/>
          <w:szCs w:val="24"/>
        </w:rPr>
        <w:drawing>
          <wp:inline distT="0" distB="0" distL="0" distR="0">
            <wp:extent cx="5972175" cy="168592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D33C02">
        <w:rPr>
          <w:rFonts w:ascii="Times New Roman" w:hAnsi="Times New Roman" w:cs="Times New Roman"/>
          <w:noProof/>
          <w:sz w:val="24"/>
          <w:szCs w:val="24"/>
          <w:lang/>
        </w:rPr>
        <w:t xml:space="preserve"> </w:t>
      </w:r>
    </w:p>
    <w:p w:rsidR="00D33C02" w:rsidRPr="00D33C02" w:rsidRDefault="00D33C02" w:rsidP="00EE3A50">
      <w:pPr>
        <w:ind w:firstLine="720"/>
        <w:jc w:val="both"/>
        <w:rPr>
          <w:rFonts w:ascii="Times New Roman" w:hAnsi="Times New Roman" w:cs="Times New Roman"/>
          <w:noProof/>
          <w:sz w:val="24"/>
          <w:szCs w:val="24"/>
          <w:lang/>
        </w:rPr>
      </w:pPr>
      <w:r w:rsidRPr="00D33C02">
        <w:rPr>
          <w:rFonts w:ascii="Times New Roman" w:hAnsi="Times New Roman" w:cs="Times New Roman"/>
          <w:noProof/>
          <w:sz w:val="24"/>
          <w:szCs w:val="24"/>
          <w:lang/>
        </w:rPr>
        <w:t>Према мишљењу грађана Сомбора у културној понуди Сомбора требало би да има више концерата домаћих извођача (13,7% одговора), више програма на селу (12,7% одговора), концерата страних извођача (9,9% одговора) и више фестивала (9,3% одговора), док су остали одговори у мањем проценту заступљени. Међутим, социо – демографске карактеристике указују на извесне разлике, те тако испитаници до 30 година живота би желели више концерата домаћих извођача (28,7%), фестивала (24%) и концерата страних извођача (23,3%). Испитаници од 30 до 49 година поред концерата домаћих извођача (31,3%) и концерата страних извођача (21,7%) сматрају да би требало да буде више програма на селу (21,7%). Најстарији испитаници на првом месту истичу више програма на селу (34,3%), затим више фолклорних приредби (21%), док су на трећем месту концерти домаћих извођача (20%). Гледајући према нивоу образовања, такође се примећују разлике, те испитаници са најнижим образовањем би желели да културна понуда Сомбора буде употпуњена већим бројем концерата домаћих извођача (20%), позоришним представама (19,4%) и фолклорним приредбама (19,4%). Испитаници са завршеном средњом школом би поред концерата домаћих извођача (25,8%) волели да буде више програма на селу (27,9%) и фестивала (22,1%), док они са највишим образовањем сматрају да је првенствено потребно у Сомбору одржавати већи број концерата домаћих извођача (25,8%), затим концерата страних извођача (24,9%) и програма на селу (21,3%). Поред тога, разлике постоје и према месту становања испитаника. Наиме, испитаници који живе у урбаном подручју Сомбора сматрају да је потребно имати више концерата домаћих извођача (29,3%), концерата страних извођача (21,8%) и фестивала (18,9%), док они који живе у руралном подручју на првом месту издвајају више програма на селу (51,5%), а затим више концерата домаћих извођача (20,1%</w:t>
      </w:r>
      <w:r w:rsidR="003B5C99">
        <w:rPr>
          <w:rFonts w:ascii="Times New Roman" w:hAnsi="Times New Roman" w:cs="Times New Roman"/>
          <w:noProof/>
          <w:sz w:val="24"/>
          <w:szCs w:val="24"/>
          <w:lang/>
        </w:rPr>
        <w:t>) и фолклорних приредби (18,6%).</w:t>
      </w:r>
    </w:p>
    <w:p w:rsidR="003B5C99" w:rsidRDefault="003B5C99" w:rsidP="00D33C02">
      <w:pPr>
        <w:jc w:val="both"/>
        <w:rPr>
          <w:rFonts w:ascii="Times New Roman" w:hAnsi="Times New Roman" w:cs="Times New Roman"/>
          <w:noProof/>
          <w:sz w:val="24"/>
          <w:szCs w:val="24"/>
          <w:highlight w:val="yellow"/>
          <w:lang/>
        </w:rPr>
      </w:pPr>
    </w:p>
    <w:p w:rsidR="003B5C99" w:rsidRDefault="003B5C99" w:rsidP="00D33C02">
      <w:pPr>
        <w:jc w:val="both"/>
        <w:rPr>
          <w:rFonts w:ascii="Times New Roman" w:hAnsi="Times New Roman" w:cs="Times New Roman"/>
          <w:noProof/>
          <w:sz w:val="24"/>
          <w:szCs w:val="24"/>
          <w:highlight w:val="yellow"/>
          <w:lang/>
        </w:rPr>
      </w:pPr>
    </w:p>
    <w:p w:rsidR="003B5C99" w:rsidRDefault="003B5C99" w:rsidP="00D33C02">
      <w:pPr>
        <w:jc w:val="both"/>
        <w:rPr>
          <w:rFonts w:ascii="Times New Roman" w:hAnsi="Times New Roman" w:cs="Times New Roman"/>
          <w:noProof/>
          <w:sz w:val="24"/>
          <w:szCs w:val="24"/>
          <w:highlight w:val="yellow"/>
          <w:lang/>
        </w:rPr>
      </w:pPr>
    </w:p>
    <w:p w:rsidR="003B5C99" w:rsidRDefault="003B5C99" w:rsidP="00D33C02">
      <w:pPr>
        <w:jc w:val="both"/>
        <w:rPr>
          <w:rFonts w:ascii="Times New Roman" w:hAnsi="Times New Roman" w:cs="Times New Roman"/>
          <w:noProof/>
          <w:sz w:val="24"/>
          <w:szCs w:val="24"/>
          <w:highlight w:val="yellow"/>
          <w:lang/>
        </w:rPr>
      </w:pPr>
    </w:p>
    <w:p w:rsidR="00D33C02" w:rsidRPr="00D33C02" w:rsidRDefault="00D33C02" w:rsidP="00D33C02">
      <w:pPr>
        <w:jc w:val="both"/>
        <w:rPr>
          <w:rFonts w:ascii="Times New Roman" w:hAnsi="Times New Roman" w:cs="Times New Roman"/>
          <w:noProof/>
          <w:sz w:val="24"/>
          <w:szCs w:val="24"/>
          <w:lang/>
        </w:rPr>
      </w:pPr>
      <w:r w:rsidRPr="003B5C99">
        <w:rPr>
          <w:rFonts w:ascii="Times New Roman" w:hAnsi="Times New Roman" w:cs="Times New Roman"/>
          <w:noProof/>
          <w:sz w:val="24"/>
          <w:szCs w:val="24"/>
          <w:lang/>
        </w:rPr>
        <w:t>Графикон</w:t>
      </w:r>
      <w:r w:rsidR="003B5C99" w:rsidRPr="003B5C99">
        <w:rPr>
          <w:rFonts w:ascii="Times New Roman" w:hAnsi="Times New Roman" w:cs="Times New Roman"/>
          <w:noProof/>
          <w:sz w:val="24"/>
          <w:szCs w:val="24"/>
          <w:lang/>
        </w:rPr>
        <w:t xml:space="preserve"> 21</w:t>
      </w:r>
      <w:r w:rsidRPr="003B5C99">
        <w:rPr>
          <w:rFonts w:ascii="Times New Roman" w:hAnsi="Times New Roman" w:cs="Times New Roman"/>
          <w:noProof/>
          <w:sz w:val="24"/>
          <w:szCs w:val="24"/>
          <w:lang/>
        </w:rPr>
        <w:t>: Којих</w:t>
      </w:r>
      <w:r w:rsidRPr="00D33C02">
        <w:rPr>
          <w:rFonts w:ascii="Times New Roman" w:hAnsi="Times New Roman" w:cs="Times New Roman"/>
          <w:noProof/>
          <w:sz w:val="24"/>
          <w:szCs w:val="24"/>
          <w:lang/>
        </w:rPr>
        <w:t xml:space="preserve"> културних садржаја би требало више да буде у културној понуди Сомбору? Према старости, образовању и месту становања испитаника</w:t>
      </w:r>
    </w:p>
    <w:p w:rsidR="00D33C02" w:rsidRPr="00D33C02" w:rsidRDefault="00D33C02" w:rsidP="003B5C99">
      <w:pPr>
        <w:spacing w:after="0"/>
        <w:jc w:val="both"/>
        <w:rPr>
          <w:rFonts w:ascii="Times New Roman" w:hAnsi="Times New Roman" w:cs="Times New Roman"/>
          <w:noProof/>
          <w:sz w:val="24"/>
          <w:szCs w:val="24"/>
          <w:lang/>
        </w:rPr>
      </w:pPr>
      <w:r w:rsidRPr="00D33C02">
        <w:rPr>
          <w:rFonts w:ascii="Times New Roman" w:hAnsi="Times New Roman" w:cs="Times New Roman"/>
          <w:noProof/>
          <w:sz w:val="24"/>
          <w:szCs w:val="24"/>
        </w:rPr>
        <w:drawing>
          <wp:inline distT="0" distB="0" distL="0" distR="0">
            <wp:extent cx="5924550" cy="2524125"/>
            <wp:effectExtent l="0" t="0" r="0" b="952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D33C02">
        <w:rPr>
          <w:rFonts w:ascii="Times New Roman" w:hAnsi="Times New Roman" w:cs="Times New Roman"/>
          <w:noProof/>
          <w:sz w:val="24"/>
          <w:szCs w:val="24"/>
        </w:rPr>
        <w:drawing>
          <wp:inline distT="0" distB="0" distL="0" distR="0">
            <wp:extent cx="5953125" cy="2314575"/>
            <wp:effectExtent l="0" t="0" r="9525" b="9525"/>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33C02" w:rsidRPr="00D33C02" w:rsidRDefault="00D33C02" w:rsidP="00D33C02">
      <w:pPr>
        <w:jc w:val="both"/>
        <w:rPr>
          <w:rFonts w:ascii="Times New Roman" w:hAnsi="Times New Roman" w:cs="Times New Roman"/>
          <w:noProof/>
          <w:sz w:val="24"/>
          <w:szCs w:val="24"/>
          <w:lang/>
        </w:rPr>
      </w:pPr>
      <w:r w:rsidRPr="00D33C02">
        <w:rPr>
          <w:rFonts w:ascii="Times New Roman" w:hAnsi="Times New Roman" w:cs="Times New Roman"/>
          <w:noProof/>
          <w:sz w:val="24"/>
          <w:szCs w:val="24"/>
        </w:rPr>
        <w:lastRenderedPageBreak/>
        <w:drawing>
          <wp:inline distT="0" distB="0" distL="0" distR="0">
            <wp:extent cx="5962650" cy="2505075"/>
            <wp:effectExtent l="0" t="0" r="0" b="9525"/>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 xml:space="preserve">Грађани Сомбора, </w:t>
      </w:r>
      <w:r w:rsidRPr="00D33C02">
        <w:rPr>
          <w:rFonts w:ascii="Times New Roman" w:hAnsi="Times New Roman" w:cs="Times New Roman"/>
          <w:sz w:val="24"/>
          <w:szCs w:val="24"/>
          <w:lang/>
        </w:rPr>
        <w:t>35</w:t>
      </w:r>
      <w:r w:rsidRPr="00D33C02">
        <w:rPr>
          <w:rFonts w:ascii="Times New Roman" w:hAnsi="Times New Roman" w:cs="Times New Roman"/>
          <w:sz w:val="24"/>
          <w:szCs w:val="24"/>
          <w:lang/>
        </w:rPr>
        <w:t>% њих, сматра да</w:t>
      </w:r>
      <w:r w:rsidRPr="00D33C02">
        <w:rPr>
          <w:rFonts w:ascii="Times New Roman" w:hAnsi="Times New Roman" w:cs="Times New Roman"/>
          <w:sz w:val="24"/>
          <w:szCs w:val="24"/>
          <w:lang/>
        </w:rPr>
        <w:t xml:space="preserve"> </w:t>
      </w:r>
      <w:r w:rsidRPr="00D33C02">
        <w:rPr>
          <w:rFonts w:ascii="Times New Roman" w:hAnsi="Times New Roman" w:cs="Times New Roman"/>
          <w:noProof/>
          <w:sz w:val="24"/>
          <w:szCs w:val="24"/>
          <w:lang w:val="sr-Cyrl-CS"/>
        </w:rPr>
        <w:t>су</w:t>
      </w:r>
      <w:r w:rsidRPr="00D33C02">
        <w:rPr>
          <w:rFonts w:ascii="Times New Roman" w:hAnsi="Times New Roman" w:cs="Times New Roman"/>
          <w:sz w:val="24"/>
          <w:szCs w:val="24"/>
          <w:lang w:val="sr-Cyrl-CS"/>
        </w:rPr>
        <w:t xml:space="preserve"> </w:t>
      </w:r>
      <w:r w:rsidRPr="00D33C02">
        <w:rPr>
          <w:rFonts w:ascii="Times New Roman" w:hAnsi="Times New Roman" w:cs="Times New Roman"/>
          <w:sz w:val="24"/>
          <w:szCs w:val="24"/>
          <w:lang/>
        </w:rPr>
        <w:t xml:space="preserve">све установе културе у </w:t>
      </w:r>
      <w:r w:rsidRPr="00D33C02">
        <w:rPr>
          <w:rFonts w:ascii="Times New Roman" w:hAnsi="Times New Roman" w:cs="Times New Roman"/>
          <w:noProof/>
          <w:sz w:val="24"/>
          <w:szCs w:val="24"/>
          <w:lang w:val="sr-Cyrl-CS"/>
        </w:rPr>
        <w:t>Сомбору</w:t>
      </w:r>
      <w:r w:rsidRPr="00D33C02">
        <w:rPr>
          <w:rFonts w:ascii="Times New Roman" w:hAnsi="Times New Roman" w:cs="Times New Roman"/>
          <w:sz w:val="24"/>
          <w:szCs w:val="24"/>
          <w:lang w:val="sr-Cyrl-CS"/>
        </w:rPr>
        <w:t xml:space="preserve"> </w:t>
      </w:r>
      <w:r w:rsidRPr="00D33C02">
        <w:rPr>
          <w:rFonts w:ascii="Times New Roman" w:hAnsi="Times New Roman" w:cs="Times New Roman"/>
          <w:sz w:val="24"/>
          <w:szCs w:val="24"/>
          <w:lang/>
        </w:rPr>
        <w:t>подједнако значајне у културној понуди града. Ипак, више од четвртине анкетираних грађана сматра да је најзначајнија установа у граду Народно позориште Сомбор, а 15</w:t>
      </w:r>
      <w:r w:rsidRPr="00D33C02">
        <w:rPr>
          <w:rFonts w:ascii="Times New Roman" w:hAnsi="Times New Roman" w:cs="Times New Roman"/>
          <w:sz w:val="24"/>
          <w:szCs w:val="24"/>
          <w:lang/>
        </w:rPr>
        <w:t>,7</w:t>
      </w:r>
      <w:r w:rsidRPr="00D33C02">
        <w:rPr>
          <w:rFonts w:ascii="Times New Roman" w:hAnsi="Times New Roman" w:cs="Times New Roman"/>
          <w:sz w:val="24"/>
          <w:szCs w:val="24"/>
          <w:lang/>
        </w:rPr>
        <w:t>% грађана ову титулу даје</w:t>
      </w:r>
      <w:r w:rsidR="003B5C99">
        <w:rPr>
          <w:rFonts w:ascii="Times New Roman" w:hAnsi="Times New Roman" w:cs="Times New Roman"/>
          <w:sz w:val="24"/>
          <w:szCs w:val="24"/>
          <w:lang/>
        </w:rPr>
        <w:t xml:space="preserve"> Културном центру „Лаза Костић“.</w:t>
      </w:r>
    </w:p>
    <w:p w:rsidR="00D33C02" w:rsidRPr="00D33C02" w:rsidRDefault="00D33C02" w:rsidP="003B5C99">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t>Графикон</w:t>
      </w:r>
      <w:r w:rsidR="003B5C99" w:rsidRPr="003B5C99">
        <w:rPr>
          <w:rFonts w:ascii="Times New Roman" w:hAnsi="Times New Roman" w:cs="Times New Roman"/>
          <w:sz w:val="24"/>
          <w:szCs w:val="24"/>
          <w:lang/>
        </w:rPr>
        <w:t xml:space="preserve"> 22</w:t>
      </w:r>
      <w:r w:rsidRPr="003B5C99">
        <w:rPr>
          <w:rFonts w:ascii="Times New Roman" w:hAnsi="Times New Roman" w:cs="Times New Roman"/>
          <w:sz w:val="24"/>
          <w:szCs w:val="24"/>
          <w:lang/>
        </w:rPr>
        <w:t>: Установе</w:t>
      </w:r>
      <w:r w:rsidRPr="00D33C02">
        <w:rPr>
          <w:rFonts w:ascii="Times New Roman" w:hAnsi="Times New Roman" w:cs="Times New Roman"/>
          <w:sz w:val="24"/>
          <w:szCs w:val="24"/>
          <w:lang/>
        </w:rPr>
        <w:t xml:space="preserve"> културе у граду које навише доприносе културној понуди</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6000750" cy="272415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 xml:space="preserve">Без обзира на старост и образовање испитаника Народно позориште Сомбор највише доприноси културној понуди града, док је једина разлика уочљива код подручја становања испитаника. Наиме, становници руралног подручја Сомбора сматрају да културној понуди града највише доприноси Културни центар „Лаза Костић“ (23%), а затим Народно позориште (19,6%) што је и очекивано када се има у виду да Културни центар као поливалентна установа културе своје програме често изводи и у насељеним местима и тесно сарађује са културно – уметничким друштвима, носиоцима културног живота у насељеним местима. </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lastRenderedPageBreak/>
        <w:t xml:space="preserve">Према мишљењу анкетираних грађана Сомбора све установе културе у граду би требало да унапреде промоцију програма, да организују више програма за децу и са децом и више програма за старију популацију. Међутим, сагледавајући ове податке према свакој установи културе појединачно, примећују се извесне разлике. Наиме, анкета је показала да би </w:t>
      </w:r>
      <w:r w:rsidRPr="00D33C02">
        <w:rPr>
          <w:rFonts w:ascii="Times New Roman" w:hAnsi="Times New Roman" w:cs="Times New Roman"/>
          <w:b/>
          <w:sz w:val="24"/>
          <w:szCs w:val="24"/>
          <w:lang/>
        </w:rPr>
        <w:t>Градски музеј Сомбор</w:t>
      </w:r>
      <w:r w:rsidRPr="00D33C02">
        <w:rPr>
          <w:rFonts w:ascii="Times New Roman" w:hAnsi="Times New Roman" w:cs="Times New Roman"/>
          <w:sz w:val="24"/>
          <w:szCs w:val="24"/>
          <w:lang/>
        </w:rPr>
        <w:t xml:space="preserve"> првенствено требало да унапреди промоцију програма и да реализује више програма за децу и са децом. Млађи испитаници се на првом месту залажу за бољу промоцију програма, за унапређење рада са децом и за већу разноврсност програма, док најстарији испитаници сматрају да би требало да Градски музеј Сомбор има више програма, нарочито намењених старијој популацији.</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b/>
          <w:sz w:val="24"/>
          <w:szCs w:val="24"/>
          <w:lang/>
        </w:rPr>
        <w:t>Галерија „Милан Коњовић“</w:t>
      </w:r>
      <w:r w:rsidRPr="00D33C02">
        <w:rPr>
          <w:rFonts w:ascii="Times New Roman" w:hAnsi="Times New Roman" w:cs="Times New Roman"/>
          <w:sz w:val="24"/>
          <w:szCs w:val="24"/>
          <w:lang/>
        </w:rPr>
        <w:t xml:space="preserve"> у свом раду треба да унапреди промоцију програма, да има разноврсније прораме, већи број програма, нарочито оних намењених деци, што сматрју сви анкетирани грађани, без обзира на њихово социо – демографске карактеристике.</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b/>
          <w:sz w:val="24"/>
          <w:szCs w:val="24"/>
          <w:lang/>
        </w:rPr>
        <w:t>Културни центар „Лаза Костић“</w:t>
      </w:r>
      <w:r w:rsidRPr="00D33C02">
        <w:rPr>
          <w:rFonts w:ascii="Times New Roman" w:hAnsi="Times New Roman" w:cs="Times New Roman"/>
          <w:sz w:val="24"/>
          <w:szCs w:val="24"/>
          <w:lang/>
        </w:rPr>
        <w:t xml:space="preserve"> би, поред боље промоције и већег броја програма за децу и са децом, требало да има више програма за старију популацију, али и да истражује мишљење публике и на основу тога креира програме. Једине разлике у мишљењу видљиве су код места становања испитаника, те тако 17,2% грађана насељених места сматра да би Културни центар „Лаза Костић“ требало да анкетира публику (за разлику од 11,2% испитаника који живе у урбаном подручју). Са друге стране, 17,1% испитаника који живе у граду мисли да би Културни центар требало да има више програма за старију популацију, са чим се слаже 9,8% испитаника из руралног подручја. </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b/>
          <w:sz w:val="24"/>
          <w:szCs w:val="24"/>
          <w:lang/>
        </w:rPr>
        <w:t>Историјски архив Сомбор</w:t>
      </w:r>
      <w:r w:rsidRPr="00D33C02">
        <w:rPr>
          <w:rFonts w:ascii="Times New Roman" w:hAnsi="Times New Roman" w:cs="Times New Roman"/>
          <w:sz w:val="24"/>
          <w:szCs w:val="24"/>
          <w:lang/>
        </w:rPr>
        <w:t xml:space="preserve"> би, према мишљењу анкетираних грађана, требало да унапреди промоцију програма и да, генерално, има већи број програма. Млађи испитаници Архиву првенствено предлажу већу разноврсност програма и више модерних програма, испитаници од 30 – 49 година живота више програма за децу и са децом, а најстарији испитаници истраживања мишљења публике, са чим се слажу и становници руралног подручја Сомбора. </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b/>
          <w:sz w:val="24"/>
          <w:szCs w:val="24"/>
          <w:lang/>
        </w:rPr>
        <w:t>Народно позориште Сомбор</w:t>
      </w:r>
      <w:r w:rsidRPr="00D33C02">
        <w:rPr>
          <w:rFonts w:ascii="Times New Roman" w:hAnsi="Times New Roman" w:cs="Times New Roman"/>
          <w:sz w:val="24"/>
          <w:szCs w:val="24"/>
          <w:lang/>
        </w:rPr>
        <w:t xml:space="preserve"> требало би на првом месту да има више програма за децу и са децом, а затим за старију популацију, али би требало и да анкетира публику, што у највећој мери истичу испитаници који имају до 30 година живота. </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b/>
          <w:sz w:val="24"/>
          <w:szCs w:val="24"/>
          <w:lang/>
        </w:rPr>
        <w:t>Градска библиотека „Карло Бијелицки“</w:t>
      </w:r>
      <w:r w:rsidRPr="00D33C02">
        <w:rPr>
          <w:rFonts w:ascii="Times New Roman" w:hAnsi="Times New Roman" w:cs="Times New Roman"/>
          <w:sz w:val="24"/>
          <w:szCs w:val="24"/>
          <w:lang/>
        </w:rPr>
        <w:t xml:space="preserve"> би, према мишљењу анкетираних грађана, требало да има више програма за децу и са децом, док су остали ставови у мањој мери истакнути, те су једино становници насељених места нагла</w:t>
      </w:r>
      <w:r w:rsidR="003B5C99">
        <w:rPr>
          <w:rFonts w:ascii="Times New Roman" w:hAnsi="Times New Roman" w:cs="Times New Roman"/>
          <w:sz w:val="24"/>
          <w:szCs w:val="24"/>
          <w:lang/>
        </w:rPr>
        <w:t>сили већу разноврсност програма.</w:t>
      </w:r>
      <w:r w:rsidRPr="00D33C02">
        <w:rPr>
          <w:rFonts w:ascii="Times New Roman" w:hAnsi="Times New Roman" w:cs="Times New Roman"/>
          <w:sz w:val="24"/>
          <w:szCs w:val="24"/>
          <w:lang/>
        </w:rPr>
        <w:t xml:space="preserve"> </w:t>
      </w:r>
    </w:p>
    <w:p w:rsidR="00D33C02" w:rsidRPr="00D33C02" w:rsidRDefault="00D33C02" w:rsidP="003B5C99">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t>Графикон</w:t>
      </w:r>
      <w:r w:rsidR="003B5C99" w:rsidRPr="003B5C99">
        <w:rPr>
          <w:rFonts w:ascii="Times New Roman" w:hAnsi="Times New Roman" w:cs="Times New Roman"/>
          <w:sz w:val="24"/>
          <w:szCs w:val="24"/>
          <w:lang/>
        </w:rPr>
        <w:t xml:space="preserve"> 23</w:t>
      </w:r>
      <w:r w:rsidRPr="003B5C99">
        <w:rPr>
          <w:rFonts w:ascii="Times New Roman" w:hAnsi="Times New Roman" w:cs="Times New Roman"/>
          <w:sz w:val="24"/>
          <w:szCs w:val="24"/>
          <w:lang/>
        </w:rPr>
        <w:t>: Шта</w:t>
      </w:r>
      <w:r w:rsidRPr="00D33C02">
        <w:rPr>
          <w:rFonts w:ascii="Times New Roman" w:hAnsi="Times New Roman" w:cs="Times New Roman"/>
          <w:sz w:val="24"/>
          <w:szCs w:val="24"/>
          <w:lang/>
        </w:rPr>
        <w:t xml:space="preserve"> би установе културе у Сомбору требало да промене/унапреде у свом раду? (највећи % одговора)</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lastRenderedPageBreak/>
        <w:drawing>
          <wp:inline distT="0" distB="0" distL="0" distR="0">
            <wp:extent cx="5905500" cy="3257550"/>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 xml:space="preserve">Поред установа културе, културној понуди Сомбора могу допринети и други актери (удружења грађана, медији, школе...). Анкетирани грађани Сомбора сматрају да културно – уметничка друштва, удружења грађана у култури и Туристичка организација Сомбора играју значајну улогу у културној понуди града. Виши ранг на </w:t>
      </w:r>
      <w:r w:rsidR="003B5C99">
        <w:rPr>
          <w:rFonts w:ascii="Times New Roman" w:hAnsi="Times New Roman" w:cs="Times New Roman"/>
          <w:sz w:val="24"/>
          <w:szCs w:val="24"/>
          <w:lang/>
        </w:rPr>
        <w:t>лествици имају и медији и школе.</w:t>
      </w:r>
    </w:p>
    <w:p w:rsidR="00D33C02" w:rsidRPr="00D33C02" w:rsidRDefault="00D33C02" w:rsidP="00D33C02">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t>Графикон</w:t>
      </w:r>
      <w:r w:rsidR="003B5C99" w:rsidRPr="003B5C99">
        <w:rPr>
          <w:rFonts w:ascii="Times New Roman" w:hAnsi="Times New Roman" w:cs="Times New Roman"/>
          <w:sz w:val="24"/>
          <w:szCs w:val="24"/>
          <w:lang/>
        </w:rPr>
        <w:t xml:space="preserve"> 24</w:t>
      </w:r>
      <w:r w:rsidRPr="003B5C99">
        <w:rPr>
          <w:rFonts w:ascii="Times New Roman" w:hAnsi="Times New Roman" w:cs="Times New Roman"/>
          <w:sz w:val="24"/>
          <w:szCs w:val="24"/>
          <w:lang/>
        </w:rPr>
        <w:t>: Други</w:t>
      </w:r>
      <w:r w:rsidRPr="00D33C02">
        <w:rPr>
          <w:rFonts w:ascii="Times New Roman" w:hAnsi="Times New Roman" w:cs="Times New Roman"/>
          <w:sz w:val="24"/>
          <w:szCs w:val="24"/>
          <w:lang/>
        </w:rPr>
        <w:t xml:space="preserve"> актери који доприносе културној понуди Сомбора (мултипли одговори)</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5943600" cy="1838325"/>
            <wp:effectExtent l="0" t="0" r="0"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Сви наведени подаци указују да је потребно у креирање програма и развој културе у Сомбору укључити и друге, што би допринело већој разноврсности програма, медијској и туристичкој промоцији и развоју културног образовања. Због тога грађани Сомбора, без обзира на пол, године, образовање и место становања, сматрају да би сектор културе требало да развије бољу сарадњу са вртићима и школама (24,4%), са сектором туризма (17,3%), омладинским организаци</w:t>
      </w:r>
      <w:r w:rsidR="003B5C99">
        <w:rPr>
          <w:rFonts w:ascii="Times New Roman" w:hAnsi="Times New Roman" w:cs="Times New Roman"/>
          <w:sz w:val="24"/>
          <w:szCs w:val="24"/>
          <w:lang/>
        </w:rPr>
        <w:t>јама (16,2%) и медијима (12,1%).</w:t>
      </w:r>
    </w:p>
    <w:p w:rsidR="00D33C02" w:rsidRPr="00D33C02" w:rsidRDefault="00D33C02" w:rsidP="00D33C02">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lastRenderedPageBreak/>
        <w:t>Графикон</w:t>
      </w:r>
      <w:r w:rsidR="003B5C99" w:rsidRPr="003B5C99">
        <w:rPr>
          <w:rFonts w:ascii="Times New Roman" w:hAnsi="Times New Roman" w:cs="Times New Roman"/>
          <w:sz w:val="24"/>
          <w:szCs w:val="24"/>
          <w:lang/>
        </w:rPr>
        <w:t xml:space="preserve"> 25</w:t>
      </w:r>
      <w:r w:rsidRPr="003B5C99">
        <w:rPr>
          <w:rFonts w:ascii="Times New Roman" w:hAnsi="Times New Roman" w:cs="Times New Roman"/>
          <w:sz w:val="24"/>
          <w:szCs w:val="24"/>
          <w:lang/>
        </w:rPr>
        <w:t>:</w:t>
      </w:r>
      <w:r w:rsidRPr="00D33C02">
        <w:rPr>
          <w:rFonts w:ascii="Times New Roman" w:hAnsi="Times New Roman" w:cs="Times New Roman"/>
          <w:sz w:val="24"/>
          <w:szCs w:val="24"/>
          <w:lang/>
        </w:rPr>
        <w:t xml:space="preserve"> Сектор културе у Сомбору би требало да развије бољу сарадњу (мултипли одговори)</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5953125" cy="2809875"/>
            <wp:effectExtent l="0" t="0" r="9525"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Унапређење културног живота могло би се сагледати и кроз сферу његове веће присутности у свим областима друштвеног живота. У том смислу, култура би се могла доживљавати и приликом куповине, шетања и рекреације, вечере у ресторану, уз кафу са пријатељима у кафићима… Управо због тога су грађани давали своје виђење питања у којој мери и на који начин би култура требало да се прошири ван установа културе.</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Највећи број грађана сматра да би концерти најпре требало да се одржавају ван установа културе, а затим следе изложбе и књижевне вечери и трибине, позоришне</w:t>
      </w:r>
      <w:r w:rsidR="003B5C99">
        <w:rPr>
          <w:rFonts w:ascii="Times New Roman" w:hAnsi="Times New Roman" w:cs="Times New Roman"/>
          <w:sz w:val="24"/>
          <w:szCs w:val="24"/>
          <w:lang/>
        </w:rPr>
        <w:t xml:space="preserve"> представе и филмске пројекције.</w:t>
      </w:r>
    </w:p>
    <w:p w:rsidR="00D33C02" w:rsidRPr="00D33C02" w:rsidRDefault="00D33C02" w:rsidP="00D33C02">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t>Графикон</w:t>
      </w:r>
      <w:r w:rsidR="003B5C99" w:rsidRPr="003B5C99">
        <w:rPr>
          <w:rFonts w:ascii="Times New Roman" w:hAnsi="Times New Roman" w:cs="Times New Roman"/>
          <w:sz w:val="24"/>
          <w:szCs w:val="24"/>
          <w:lang/>
        </w:rPr>
        <w:t xml:space="preserve"> 26</w:t>
      </w:r>
      <w:r w:rsidRPr="003B5C99">
        <w:rPr>
          <w:rFonts w:ascii="Times New Roman" w:hAnsi="Times New Roman" w:cs="Times New Roman"/>
          <w:sz w:val="24"/>
          <w:szCs w:val="24"/>
          <w:lang/>
        </w:rPr>
        <w:t>: Тип</w:t>
      </w:r>
      <w:r w:rsidRPr="00D33C02">
        <w:rPr>
          <w:rFonts w:ascii="Times New Roman" w:hAnsi="Times New Roman" w:cs="Times New Roman"/>
          <w:sz w:val="24"/>
          <w:szCs w:val="24"/>
          <w:lang/>
        </w:rPr>
        <w:t xml:space="preserve"> културних програма који би могли да се одржавају ван простора установа културе</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6086475" cy="2533650"/>
            <wp:effectExtent l="0" t="0" r="9525"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D33C02">
        <w:rPr>
          <w:rFonts w:ascii="Times New Roman" w:hAnsi="Times New Roman" w:cs="Times New Roman"/>
          <w:sz w:val="24"/>
          <w:szCs w:val="24"/>
          <w:lang/>
        </w:rPr>
        <w:t xml:space="preserve"> </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sz w:val="24"/>
          <w:szCs w:val="24"/>
          <w:lang/>
        </w:rPr>
        <w:lastRenderedPageBreak/>
        <w:t>Према мишљењу анкетираних грађана Сомбора филмске пројекције би требало одржавати у парковима (17,4%), у кафићима (14,2%), школама (11,8%) и објектима културног наслеђа (попут двораца</w:t>
      </w:r>
      <w:r w:rsidR="00AF0C06">
        <w:rPr>
          <w:rFonts w:ascii="Times New Roman" w:hAnsi="Times New Roman" w:cs="Times New Roman"/>
          <w:sz w:val="24"/>
          <w:szCs w:val="24"/>
          <w:lang/>
        </w:rPr>
        <w:t xml:space="preserve"> </w:t>
      </w:r>
      <w:r w:rsidRPr="00D33C02">
        <w:rPr>
          <w:rFonts w:ascii="Times New Roman" w:hAnsi="Times New Roman" w:cs="Times New Roman"/>
          <w:sz w:val="24"/>
          <w:szCs w:val="24"/>
          <w:lang/>
        </w:rPr>
        <w:t>и верских објеката) – 10,5%, и у другим објектима, осим у књижарама. Извођење позоришних представа погодно је реализовати у школама (31,6%), у парковима (20,8%), објектима културног наслеђа (15,5%) и на улицама (13,1%), и у другим јавним просторима, осим кафића и књижара. Концерти могу да се одржавају првенствено у спортским халама (47,9%), на улицама и у парковима (24,5%), у кафићима (19,8%),  тржним центрима (18,8%), али и свим другим просторима, сем у књижарама. Изложбе могу да се реализују у тржним центрима (24,8%), на улицама (21,6%), у градским четвртима (19%), ресторанима (18,8%), као и у многим другим просторима, осим у спортским халама. Књижаре су најпогоднији простори за књижевне вечери и трибине (44,9%), а затим следе кафићи (21,9%), ресторани (19,5%), школе (14,5), док су, према мишљењу испитаника, за овај тип културних програма најмање погодне спортске хале</w:t>
      </w:r>
      <w:r w:rsidR="003B5C99">
        <w:rPr>
          <w:rFonts w:ascii="Times New Roman" w:hAnsi="Times New Roman" w:cs="Times New Roman"/>
          <w:sz w:val="24"/>
          <w:szCs w:val="24"/>
          <w:lang/>
        </w:rPr>
        <w:t>, паркови, улице и тржни центри.</w:t>
      </w:r>
    </w:p>
    <w:p w:rsidR="003B5C99" w:rsidRDefault="003B5C99" w:rsidP="00D33C02">
      <w:pPr>
        <w:jc w:val="both"/>
        <w:rPr>
          <w:rFonts w:ascii="Times New Roman" w:hAnsi="Times New Roman" w:cs="Times New Roman"/>
          <w:sz w:val="24"/>
          <w:szCs w:val="24"/>
          <w:highlight w:val="yellow"/>
          <w:lang/>
        </w:rPr>
      </w:pPr>
    </w:p>
    <w:p w:rsidR="003B5C99" w:rsidRDefault="003B5C99" w:rsidP="00D33C02">
      <w:pPr>
        <w:jc w:val="both"/>
        <w:rPr>
          <w:rFonts w:ascii="Times New Roman" w:hAnsi="Times New Roman" w:cs="Times New Roman"/>
          <w:sz w:val="24"/>
          <w:szCs w:val="24"/>
          <w:highlight w:val="yellow"/>
          <w:lang/>
        </w:rPr>
      </w:pPr>
    </w:p>
    <w:p w:rsidR="00D33C02" w:rsidRPr="00D33C02" w:rsidRDefault="00D33C02" w:rsidP="003B5C99">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t>Графикон</w:t>
      </w:r>
      <w:r w:rsidR="003B5C99" w:rsidRPr="003B5C99">
        <w:rPr>
          <w:rFonts w:ascii="Times New Roman" w:hAnsi="Times New Roman" w:cs="Times New Roman"/>
          <w:sz w:val="24"/>
          <w:szCs w:val="24"/>
          <w:lang/>
        </w:rPr>
        <w:t xml:space="preserve"> 27</w:t>
      </w:r>
      <w:r w:rsidRPr="003B5C99">
        <w:rPr>
          <w:rFonts w:ascii="Times New Roman" w:hAnsi="Times New Roman" w:cs="Times New Roman"/>
          <w:sz w:val="24"/>
          <w:szCs w:val="24"/>
          <w:lang/>
        </w:rPr>
        <w:t>: Простори</w:t>
      </w:r>
      <w:r w:rsidRPr="00D33C02">
        <w:rPr>
          <w:rFonts w:ascii="Times New Roman" w:hAnsi="Times New Roman" w:cs="Times New Roman"/>
          <w:sz w:val="24"/>
          <w:szCs w:val="24"/>
          <w:lang/>
        </w:rPr>
        <w:t xml:space="preserve"> у којима би могли да се одржавају културни програми</w:t>
      </w:r>
    </w:p>
    <w:p w:rsidR="00D33C02" w:rsidRPr="00D33C02" w:rsidRDefault="00D33C02" w:rsidP="00D33C02">
      <w:pPr>
        <w:jc w:val="both"/>
        <w:rPr>
          <w:rFonts w:ascii="Times New Roman" w:hAnsi="Times New Roman" w:cs="Times New Roman"/>
          <w:sz w:val="24"/>
          <w:szCs w:val="24"/>
          <w:lang/>
        </w:rPr>
      </w:pPr>
      <w:r w:rsidRPr="00D33C02">
        <w:rPr>
          <w:rFonts w:ascii="Times New Roman" w:hAnsi="Times New Roman" w:cs="Times New Roman"/>
          <w:noProof/>
          <w:sz w:val="24"/>
          <w:szCs w:val="24"/>
        </w:rPr>
        <w:lastRenderedPageBreak/>
        <w:drawing>
          <wp:inline distT="0" distB="0" distL="0" distR="0">
            <wp:extent cx="6238875" cy="7896225"/>
            <wp:effectExtent l="0" t="0" r="9525" b="952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Pr="00D33C02">
        <w:rPr>
          <w:rFonts w:ascii="Times New Roman" w:hAnsi="Times New Roman" w:cs="Times New Roman"/>
          <w:sz w:val="24"/>
          <w:szCs w:val="24"/>
          <w:lang/>
        </w:rPr>
        <w:t xml:space="preserve"> </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lastRenderedPageBreak/>
        <w:t>Коначно, када је реч о приоритетима за деловање и улагање у области културе испитаници су бирали три приоритетна стратешка циља  развоја културе у наредном периоду. У збиру свих одговора највећи приоритет би требало да буде неговање традиције и заштита културне баштине, а потом опремање/реновирање/реконструкција устан</w:t>
      </w:r>
      <w:r w:rsidR="003B5C99">
        <w:rPr>
          <w:rFonts w:ascii="Times New Roman" w:hAnsi="Times New Roman" w:cs="Times New Roman"/>
          <w:sz w:val="24"/>
          <w:szCs w:val="24"/>
          <w:lang/>
        </w:rPr>
        <w:t xml:space="preserve">ова и других простора у култури. </w:t>
      </w:r>
      <w:r w:rsidRPr="00D33C02">
        <w:rPr>
          <w:rFonts w:ascii="Times New Roman" w:hAnsi="Times New Roman" w:cs="Times New Roman"/>
          <w:sz w:val="24"/>
          <w:szCs w:val="24"/>
          <w:lang/>
        </w:rPr>
        <w:t>Важно је напоменути да је као први приоритет 35,5% испитаника навело неговање традиције и заштиту културног наслеђа, и овај циљ је први приоритет за све групе испитаника, без обзира на њихов пол, године живота, ниво образовања и место становања.</w:t>
      </w:r>
    </w:p>
    <w:p w:rsidR="00D33C02" w:rsidRPr="00D33C02" w:rsidRDefault="00D33C02" w:rsidP="003B5C99">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t>Графикон</w:t>
      </w:r>
      <w:r w:rsidR="003B5C99" w:rsidRPr="003B5C99">
        <w:rPr>
          <w:rFonts w:ascii="Times New Roman" w:hAnsi="Times New Roman" w:cs="Times New Roman"/>
          <w:sz w:val="24"/>
          <w:szCs w:val="24"/>
          <w:lang/>
        </w:rPr>
        <w:t xml:space="preserve"> 28</w:t>
      </w:r>
      <w:r w:rsidRPr="003B5C99">
        <w:rPr>
          <w:rFonts w:ascii="Times New Roman" w:hAnsi="Times New Roman" w:cs="Times New Roman"/>
          <w:sz w:val="24"/>
          <w:szCs w:val="24"/>
          <w:lang/>
        </w:rPr>
        <w:t>: Приоритетни</w:t>
      </w:r>
      <w:r w:rsidRPr="00D33C02">
        <w:rPr>
          <w:rFonts w:ascii="Times New Roman" w:hAnsi="Times New Roman" w:cs="Times New Roman"/>
          <w:sz w:val="24"/>
          <w:szCs w:val="24"/>
          <w:lang/>
        </w:rPr>
        <w:t xml:space="preserve"> стратешки циљеви према укупном броју одговора испитаника</w:t>
      </w:r>
    </w:p>
    <w:p w:rsidR="00D33C02" w:rsidRPr="00D33C02" w:rsidRDefault="00D33C02" w:rsidP="003B5C99">
      <w:pPr>
        <w:jc w:val="center"/>
        <w:rPr>
          <w:rFonts w:ascii="Times New Roman" w:hAnsi="Times New Roman" w:cs="Times New Roman"/>
          <w:sz w:val="24"/>
          <w:szCs w:val="24"/>
          <w:lang/>
        </w:rPr>
      </w:pPr>
      <w:r w:rsidRPr="00D33C02">
        <w:rPr>
          <w:rFonts w:ascii="Times New Roman" w:hAnsi="Times New Roman" w:cs="Times New Roman"/>
          <w:noProof/>
          <w:sz w:val="24"/>
          <w:szCs w:val="24"/>
        </w:rPr>
        <w:drawing>
          <wp:inline distT="0" distB="0" distL="0" distR="0">
            <wp:extent cx="5867400" cy="6067425"/>
            <wp:effectExtent l="0" t="0" r="0"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lastRenderedPageBreak/>
        <w:t xml:space="preserve">Социо-демографске карактеристике имале су утицај, али незнатни, на одређивање приоритета у стратешким циљевима код испитаника. </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Испитаници оба пола сматрају да је поред неговања традиције и заштите културног наслеђа потребно опремити/реновирати установа културе, али и развијати културно образовање код деце и младих и повећати број културних програма. Особе женског пола већу важност дају и већој разновсности програма пр</w:t>
      </w:r>
      <w:r w:rsidR="003B5C99">
        <w:rPr>
          <w:rFonts w:ascii="Times New Roman" w:hAnsi="Times New Roman" w:cs="Times New Roman"/>
          <w:sz w:val="24"/>
          <w:szCs w:val="24"/>
          <w:lang/>
        </w:rPr>
        <w:t>ема узрастима и групама публике.</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Испитаници свих старосних група сматрају да су приоритети и већи број културних програма и развој културног образовања, а најмлађи испитаници предност дају и бољој промоцији културних програма. Испитаници који припадају средњој генерацији као битан стратешки циљ за деловање у култури истичу и већу разноврсност програма пр</w:t>
      </w:r>
      <w:r w:rsidR="003B5C99">
        <w:rPr>
          <w:rFonts w:ascii="Times New Roman" w:hAnsi="Times New Roman" w:cs="Times New Roman"/>
          <w:sz w:val="24"/>
          <w:szCs w:val="24"/>
          <w:lang/>
        </w:rPr>
        <w:t>ема узрастима и групама публике</w:t>
      </w:r>
      <w:r w:rsidRPr="00D33C02">
        <w:rPr>
          <w:rFonts w:ascii="Times New Roman" w:hAnsi="Times New Roman" w:cs="Times New Roman"/>
          <w:sz w:val="24"/>
          <w:szCs w:val="24"/>
          <w:lang/>
        </w:rPr>
        <w:t>.</w:t>
      </w:r>
    </w:p>
    <w:p w:rsidR="00D33C02" w:rsidRPr="00D33C02" w:rsidRDefault="00D33C02" w:rsidP="003B5C99">
      <w:pPr>
        <w:spacing w:after="0"/>
        <w:jc w:val="both"/>
        <w:rPr>
          <w:rFonts w:ascii="Times New Roman" w:hAnsi="Times New Roman" w:cs="Times New Roman"/>
          <w:sz w:val="24"/>
          <w:szCs w:val="24"/>
          <w:lang/>
        </w:rPr>
      </w:pPr>
      <w:r w:rsidRPr="00D33C02">
        <w:rPr>
          <w:rFonts w:ascii="Times New Roman" w:hAnsi="Times New Roman" w:cs="Times New Roman"/>
          <w:sz w:val="24"/>
          <w:szCs w:val="24"/>
          <w:lang/>
        </w:rPr>
        <w:t>Табела</w:t>
      </w:r>
      <w:r w:rsidR="003B5C99">
        <w:rPr>
          <w:rFonts w:ascii="Times New Roman" w:hAnsi="Times New Roman" w:cs="Times New Roman"/>
          <w:sz w:val="24"/>
          <w:szCs w:val="24"/>
          <w:lang/>
        </w:rPr>
        <w:t xml:space="preserve"> 5</w:t>
      </w:r>
      <w:r w:rsidRPr="00D33C02">
        <w:rPr>
          <w:rFonts w:ascii="Times New Roman" w:hAnsi="Times New Roman" w:cs="Times New Roman"/>
          <w:sz w:val="24"/>
          <w:szCs w:val="24"/>
          <w:lang/>
        </w:rPr>
        <w:t>: Приоритетни стратешки циљеви испитаника према полу и старости испитаника</w:t>
      </w:r>
    </w:p>
    <w:tbl>
      <w:tblPr>
        <w:tblStyle w:val="LightGrid-Accent11"/>
        <w:tblW w:w="0" w:type="auto"/>
        <w:jc w:val="center"/>
        <w:tblLayout w:type="fixed"/>
        <w:tblLook w:val="04A0"/>
      </w:tblPr>
      <w:tblGrid>
        <w:gridCol w:w="3789"/>
        <w:gridCol w:w="1173"/>
        <w:gridCol w:w="1174"/>
        <w:gridCol w:w="1067"/>
        <w:gridCol w:w="1067"/>
        <w:gridCol w:w="1068"/>
      </w:tblGrid>
      <w:tr w:rsidR="00D33C02" w:rsidRPr="00D33C02" w:rsidTr="00D33C02">
        <w:trPr>
          <w:cnfStyle w:val="100000000000"/>
          <w:trHeight w:val="167"/>
          <w:jc w:val="center"/>
        </w:trPr>
        <w:tc>
          <w:tcPr>
            <w:cnfStyle w:val="001000000000"/>
            <w:tcW w:w="3789" w:type="dxa"/>
            <w:vMerge w:val="restart"/>
            <w:tcBorders>
              <w:right w:val="single" w:sz="18" w:space="0" w:color="365F91"/>
            </w:tcBorders>
            <w:vAlign w:val="center"/>
          </w:tcPr>
          <w:p w:rsidR="00D33C02" w:rsidRPr="00AF0C06" w:rsidRDefault="00D33C02" w:rsidP="00D33C02">
            <w:pPr>
              <w:jc w:val="center"/>
              <w:rPr>
                <w:rFonts w:ascii="Times New Roman" w:hAnsi="Times New Roman"/>
                <w:b w:val="0"/>
                <w:noProof/>
                <w:sz w:val="20"/>
                <w:szCs w:val="20"/>
              </w:rPr>
            </w:pPr>
            <w:r w:rsidRPr="00AF0C06">
              <w:rPr>
                <w:rFonts w:ascii="Times New Roman" w:hAnsi="Times New Roman"/>
                <w:b w:val="0"/>
                <w:noProof/>
                <w:sz w:val="20"/>
                <w:szCs w:val="20"/>
              </w:rPr>
              <w:t>Стратешки циљ</w:t>
            </w:r>
          </w:p>
        </w:tc>
        <w:tc>
          <w:tcPr>
            <w:tcW w:w="2347" w:type="dxa"/>
            <w:gridSpan w:val="2"/>
            <w:tcBorders>
              <w:left w:val="single" w:sz="18" w:space="0" w:color="365F91"/>
              <w:right w:val="single" w:sz="18" w:space="0" w:color="365F91"/>
            </w:tcBorders>
            <w:vAlign w:val="center"/>
          </w:tcPr>
          <w:p w:rsidR="00D33C02" w:rsidRPr="00AF0C06" w:rsidRDefault="00D33C02" w:rsidP="00D33C02">
            <w:pPr>
              <w:jc w:val="center"/>
              <w:cnfStyle w:val="100000000000"/>
              <w:rPr>
                <w:rFonts w:ascii="Times New Roman" w:hAnsi="Times New Roman"/>
                <w:noProof/>
                <w:sz w:val="20"/>
                <w:szCs w:val="20"/>
                <w:lang/>
              </w:rPr>
            </w:pPr>
            <w:r w:rsidRPr="00AF0C06">
              <w:rPr>
                <w:rFonts w:ascii="Times New Roman" w:hAnsi="Times New Roman"/>
                <w:noProof/>
                <w:sz w:val="20"/>
                <w:szCs w:val="20"/>
                <w:lang/>
              </w:rPr>
              <w:t>ПОЛ</w:t>
            </w:r>
          </w:p>
        </w:tc>
        <w:tc>
          <w:tcPr>
            <w:tcW w:w="3202" w:type="dxa"/>
            <w:gridSpan w:val="3"/>
            <w:tcBorders>
              <w:left w:val="single" w:sz="18" w:space="0" w:color="365F91"/>
            </w:tcBorders>
            <w:vAlign w:val="center"/>
          </w:tcPr>
          <w:p w:rsidR="00D33C02" w:rsidRPr="00AF0C06" w:rsidRDefault="00D33C02" w:rsidP="00D33C02">
            <w:pPr>
              <w:jc w:val="center"/>
              <w:cnfStyle w:val="100000000000"/>
              <w:rPr>
                <w:rFonts w:ascii="Times New Roman" w:hAnsi="Times New Roman"/>
                <w:noProof/>
                <w:sz w:val="20"/>
                <w:szCs w:val="20"/>
                <w:lang/>
              </w:rPr>
            </w:pPr>
            <w:r w:rsidRPr="00AF0C06">
              <w:rPr>
                <w:rFonts w:ascii="Times New Roman" w:hAnsi="Times New Roman"/>
                <w:noProof/>
                <w:sz w:val="20"/>
                <w:szCs w:val="20"/>
                <w:lang/>
              </w:rPr>
              <w:t>ГОДИНЕ</w:t>
            </w:r>
          </w:p>
        </w:tc>
      </w:tr>
      <w:tr w:rsidR="00D33C02" w:rsidRPr="00D33C02" w:rsidTr="00D33C02">
        <w:trPr>
          <w:cnfStyle w:val="000000100000"/>
          <w:trHeight w:val="167"/>
          <w:jc w:val="center"/>
        </w:trPr>
        <w:tc>
          <w:tcPr>
            <w:cnfStyle w:val="001000000000"/>
            <w:tcW w:w="3789" w:type="dxa"/>
            <w:vMerge/>
            <w:tcBorders>
              <w:right w:val="single" w:sz="18" w:space="0" w:color="365F91"/>
            </w:tcBorders>
            <w:vAlign w:val="center"/>
          </w:tcPr>
          <w:p w:rsidR="00D33C02" w:rsidRPr="00AF0C06" w:rsidRDefault="00D33C02" w:rsidP="00D33C02">
            <w:pPr>
              <w:jc w:val="center"/>
              <w:rPr>
                <w:rFonts w:ascii="Times New Roman" w:hAnsi="Times New Roman"/>
                <w:b w:val="0"/>
                <w:noProof/>
                <w:sz w:val="20"/>
                <w:szCs w:val="20"/>
              </w:rPr>
            </w:pP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lang/>
              </w:rPr>
            </w:pPr>
            <w:r w:rsidRPr="00AF0C06">
              <w:rPr>
                <w:rFonts w:cs="Times New Roman"/>
                <w:noProof/>
                <w:sz w:val="20"/>
                <w:szCs w:val="20"/>
                <w:lang/>
              </w:rPr>
              <w:t>Мушки</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lang/>
              </w:rPr>
            </w:pPr>
            <w:r w:rsidRPr="00AF0C06">
              <w:rPr>
                <w:rFonts w:cs="Times New Roman"/>
                <w:noProof/>
                <w:sz w:val="20"/>
                <w:szCs w:val="20"/>
                <w:lang/>
              </w:rPr>
              <w:t>женски</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до 30</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30 - 49</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50 и више</w:t>
            </w:r>
          </w:p>
        </w:tc>
      </w:tr>
      <w:tr w:rsidR="00D33C02" w:rsidRPr="00D33C02" w:rsidTr="00D33C02">
        <w:trPr>
          <w:cnfStyle w:val="00000001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неговање традиције и заштита културне баштине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52,2%</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52,5%</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48,8%</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48,9%</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60,5%</w:t>
            </w:r>
          </w:p>
        </w:tc>
      </w:tr>
      <w:tr w:rsidR="00D33C02" w:rsidRPr="00D33C02" w:rsidTr="00D33C02">
        <w:trPr>
          <w:cnfStyle w:val="00000010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савремено стваралаштво</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12,5%</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12,4%</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13,2%</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14%</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lang/>
              </w:rPr>
              <w:t>8</w:t>
            </w:r>
            <w:r w:rsidRPr="00AF0C06">
              <w:rPr>
                <w:rFonts w:cs="Times New Roman"/>
                <w:noProof/>
                <w:sz w:val="20"/>
                <w:szCs w:val="20"/>
              </w:rPr>
              <w:t>,6%</w:t>
            </w:r>
          </w:p>
        </w:tc>
      </w:tr>
      <w:tr w:rsidR="00D33C02" w:rsidRPr="00D33C02" w:rsidTr="00D33C02">
        <w:trPr>
          <w:cnfStyle w:val="00000001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опремање/реновирање/реконструкција установа културе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32,9%</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33%</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27,9%</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30,5%</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39%</w:t>
            </w:r>
          </w:p>
        </w:tc>
      </w:tr>
      <w:tr w:rsidR="00D33C02" w:rsidRPr="00D33C02" w:rsidTr="00D33C02">
        <w:trPr>
          <w:cnfStyle w:val="000000100000"/>
          <w:trHeight w:val="162"/>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обезбеђивање других простора за потребе култре</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15,3%</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12,9%</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12,4%</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w:t>
            </w:r>
            <w:r w:rsidRPr="00AF0C06">
              <w:rPr>
                <w:rFonts w:cs="Times New Roman"/>
                <w:noProof/>
                <w:sz w:val="20"/>
                <w:szCs w:val="20"/>
                <w:lang/>
              </w:rPr>
              <w:t>,2</w:t>
            </w:r>
            <w:r w:rsidRPr="00AF0C06">
              <w:rPr>
                <w:rFonts w:cs="Times New Roman"/>
                <w:noProof/>
                <w:sz w:val="20"/>
                <w:szCs w:val="20"/>
              </w:rPr>
              <w:t>%</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15,2%</w:t>
            </w:r>
          </w:p>
        </w:tc>
      </w:tr>
      <w:tr w:rsidR="00D33C02" w:rsidRPr="00D33C02" w:rsidTr="00D33C02">
        <w:trPr>
          <w:cnfStyle w:val="000000010000"/>
          <w:trHeight w:val="162"/>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оснивање нових установа културе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11,4%</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13,5%</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16,3%</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13,2%</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9</w:t>
            </w:r>
            <w:r w:rsidRPr="00AF0C06">
              <w:rPr>
                <w:rFonts w:cs="Times New Roman"/>
                <w:noProof/>
                <w:sz w:val="20"/>
                <w:szCs w:val="20"/>
                <w:lang/>
              </w:rPr>
              <w:t>,5</w:t>
            </w:r>
            <w:r w:rsidRPr="00AF0C06">
              <w:rPr>
                <w:rFonts w:cs="Times New Roman"/>
                <w:noProof/>
                <w:sz w:val="20"/>
                <w:szCs w:val="20"/>
              </w:rPr>
              <w:t>%</w:t>
            </w:r>
          </w:p>
        </w:tc>
      </w:tr>
      <w:tr w:rsidR="00D33C02" w:rsidRPr="00D33C02" w:rsidTr="00D33C02">
        <w:trPr>
          <w:cnfStyle w:val="00000010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већи број културних програма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31,8%</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21,2%</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35,7%</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21,7%</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25,7%</w:t>
            </w:r>
          </w:p>
        </w:tc>
      </w:tr>
      <w:tr w:rsidR="00D33C02" w:rsidRPr="00D33C02" w:rsidTr="00D33C02">
        <w:trPr>
          <w:cnfStyle w:val="00000001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већа разноврсност програма по типовима публике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14,5%</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25,3%</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17,1%</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23,2%</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19,5%</w:t>
            </w:r>
          </w:p>
        </w:tc>
      </w:tr>
      <w:tr w:rsidR="00D33C02" w:rsidRPr="00D33C02" w:rsidTr="00D33C02">
        <w:trPr>
          <w:cnfStyle w:val="00000010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већа разноврсност према типу програма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lang/>
              </w:rPr>
            </w:pPr>
            <w:r w:rsidRPr="00AF0C06">
              <w:rPr>
                <w:rFonts w:cs="Times New Roman"/>
                <w:noProof/>
                <w:sz w:val="20"/>
                <w:szCs w:val="20"/>
                <w:lang/>
              </w:rPr>
              <w:t>11,4%</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lang/>
              </w:rPr>
            </w:pPr>
            <w:r w:rsidRPr="00AF0C06">
              <w:rPr>
                <w:rFonts w:cs="Times New Roman"/>
                <w:noProof/>
                <w:sz w:val="20"/>
                <w:szCs w:val="20"/>
                <w:lang/>
              </w:rPr>
              <w:t>9,3%</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10,1%</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11%</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9,5%</w:t>
            </w:r>
          </w:p>
        </w:tc>
      </w:tr>
      <w:tr w:rsidR="00D33C02" w:rsidRPr="00D33C02" w:rsidTr="00D33C02">
        <w:trPr>
          <w:cnfStyle w:val="00000001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развој културног образовања</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23,5%</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24,7%</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21,7%</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26,1%</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24,3%</w:t>
            </w:r>
          </w:p>
        </w:tc>
      </w:tr>
      <w:tr w:rsidR="00D33C02" w:rsidRPr="00D33C02" w:rsidTr="00D33C02">
        <w:trPr>
          <w:cnfStyle w:val="00000010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већи акценат на развоју културног туризма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15,3%</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lang/>
              </w:rPr>
              <w:t>13,7</w:t>
            </w:r>
            <w:r w:rsidRPr="00AF0C06">
              <w:rPr>
                <w:rFonts w:cs="Times New Roman"/>
                <w:noProof/>
                <w:sz w:val="20"/>
                <w:szCs w:val="20"/>
              </w:rPr>
              <w:t>%</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13,2%</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17,3%</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11,9%</w:t>
            </w:r>
          </w:p>
        </w:tc>
      </w:tr>
      <w:tr w:rsidR="00D33C02" w:rsidRPr="00D33C02" w:rsidTr="00D33C02">
        <w:trPr>
          <w:cnfStyle w:val="00000001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усклађивање програма са потребама и укусом публике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14,1%</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11,3%</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13,2%</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9,9%</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13,8%</w:t>
            </w:r>
          </w:p>
        </w:tc>
      </w:tr>
      <w:tr w:rsidR="00D33C02" w:rsidRPr="00D33C02" w:rsidTr="00D33C02">
        <w:trPr>
          <w:cnfStyle w:val="00000010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боља промоција и подршка КУДовима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12,9%</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12,1%</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7,8%</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11,8%</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16,2%</w:t>
            </w:r>
          </w:p>
        </w:tc>
      </w:tr>
      <w:tr w:rsidR="00D33C02" w:rsidRPr="00D33C02" w:rsidTr="00D33C02">
        <w:trPr>
          <w:cnfStyle w:val="00000001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боља промоција културних програма</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13,7%</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14,8%</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21,7%</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16,2%</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8,1%</w:t>
            </w:r>
          </w:p>
        </w:tc>
      </w:tr>
      <w:tr w:rsidR="00D33C02" w:rsidRPr="00D33C02" w:rsidTr="00D33C02">
        <w:trPr>
          <w:cnfStyle w:val="000000100000"/>
          <w:trHeight w:val="167"/>
          <w:jc w:val="center"/>
        </w:trPr>
        <w:tc>
          <w:tcPr>
            <w:cnfStyle w:val="001000000000"/>
            <w:tcW w:w="3789"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промовисање мултикултуралности</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6,7%</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9,6%</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9,3%</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8,5%</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7,6%</w:t>
            </w:r>
          </w:p>
        </w:tc>
      </w:tr>
    </w:tbl>
    <w:p w:rsidR="00D33C02" w:rsidRPr="00D33C02" w:rsidRDefault="00D33C02" w:rsidP="00D33C02">
      <w:pPr>
        <w:spacing w:after="0"/>
        <w:jc w:val="center"/>
        <w:rPr>
          <w:rFonts w:ascii="Times New Roman" w:hAnsi="Times New Roman" w:cs="Times New Roman"/>
          <w:sz w:val="24"/>
          <w:szCs w:val="24"/>
          <w:lang/>
        </w:rPr>
      </w:pP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Гледајући према месту становања становницима урбаног подручја је поред неговања традиције и заштите културног наслеђа важан стратешки циљ развој културног образовања, док би становници насељених места радије волели да се опреме, одно</w:t>
      </w:r>
      <w:r w:rsidR="003B5C99">
        <w:rPr>
          <w:rFonts w:ascii="Times New Roman" w:hAnsi="Times New Roman" w:cs="Times New Roman"/>
          <w:sz w:val="24"/>
          <w:szCs w:val="24"/>
          <w:lang/>
        </w:rPr>
        <w:t>сно реновирају установе културе.</w:t>
      </w:r>
    </w:p>
    <w:p w:rsidR="00D33C02" w:rsidRPr="00D33C02" w:rsidRDefault="00D33C02" w:rsidP="003B5C99">
      <w:pPr>
        <w:ind w:firstLine="720"/>
        <w:jc w:val="both"/>
        <w:rPr>
          <w:rFonts w:ascii="Times New Roman" w:hAnsi="Times New Roman" w:cs="Times New Roman"/>
          <w:sz w:val="24"/>
          <w:szCs w:val="24"/>
          <w:lang/>
        </w:rPr>
      </w:pPr>
      <w:r w:rsidRPr="00D33C02">
        <w:rPr>
          <w:rFonts w:ascii="Times New Roman" w:hAnsi="Times New Roman" w:cs="Times New Roman"/>
          <w:sz w:val="24"/>
          <w:szCs w:val="24"/>
          <w:lang/>
        </w:rPr>
        <w:t>Високообразовани</w:t>
      </w:r>
      <w:r w:rsidR="00592889" w:rsidRPr="00AF0C06">
        <w:rPr>
          <w:rFonts w:ascii="Times New Roman" w:hAnsi="Times New Roman" w:cs="Times New Roman"/>
          <w:sz w:val="24"/>
          <w:szCs w:val="24"/>
          <w:lang/>
        </w:rPr>
        <w:t>м</w:t>
      </w:r>
      <w:r w:rsidRPr="00AF0C06">
        <w:rPr>
          <w:rFonts w:ascii="Times New Roman" w:hAnsi="Times New Roman" w:cs="Times New Roman"/>
          <w:sz w:val="24"/>
          <w:szCs w:val="24"/>
          <w:lang/>
        </w:rPr>
        <w:t xml:space="preserve"> </w:t>
      </w:r>
      <w:r w:rsidRPr="00D33C02">
        <w:rPr>
          <w:rFonts w:ascii="Times New Roman" w:hAnsi="Times New Roman" w:cs="Times New Roman"/>
          <w:sz w:val="24"/>
          <w:szCs w:val="24"/>
          <w:lang/>
        </w:rPr>
        <w:t>испитаницима веома важна је и већа разноврсност програма према типу програма, као и развој културног образовања, док испитаници са (не)завршеном основном и испитаници са завршеном средњом школом већу важност дају већем б</w:t>
      </w:r>
      <w:r w:rsidR="003B5C99">
        <w:rPr>
          <w:rFonts w:ascii="Times New Roman" w:hAnsi="Times New Roman" w:cs="Times New Roman"/>
          <w:sz w:val="24"/>
          <w:szCs w:val="24"/>
          <w:lang/>
        </w:rPr>
        <w:t>роју културних програма, уопште.</w:t>
      </w:r>
    </w:p>
    <w:p w:rsidR="00D33C02" w:rsidRPr="00D33C02" w:rsidRDefault="00D33C02" w:rsidP="003B5C99">
      <w:pPr>
        <w:spacing w:after="0"/>
        <w:jc w:val="both"/>
        <w:rPr>
          <w:rFonts w:ascii="Times New Roman" w:hAnsi="Times New Roman" w:cs="Times New Roman"/>
          <w:sz w:val="24"/>
          <w:szCs w:val="24"/>
          <w:lang/>
        </w:rPr>
      </w:pPr>
      <w:r w:rsidRPr="003B5C99">
        <w:rPr>
          <w:rFonts w:ascii="Times New Roman" w:hAnsi="Times New Roman" w:cs="Times New Roman"/>
          <w:sz w:val="24"/>
          <w:szCs w:val="24"/>
          <w:lang/>
        </w:rPr>
        <w:lastRenderedPageBreak/>
        <w:t>Табела</w:t>
      </w:r>
      <w:r w:rsidR="003B5C99" w:rsidRPr="003B5C99">
        <w:rPr>
          <w:rFonts w:ascii="Times New Roman" w:hAnsi="Times New Roman" w:cs="Times New Roman"/>
          <w:sz w:val="24"/>
          <w:szCs w:val="24"/>
          <w:lang/>
        </w:rPr>
        <w:t xml:space="preserve"> 6</w:t>
      </w:r>
      <w:r w:rsidRPr="003B5C99">
        <w:rPr>
          <w:rFonts w:ascii="Times New Roman" w:hAnsi="Times New Roman" w:cs="Times New Roman"/>
          <w:sz w:val="24"/>
          <w:szCs w:val="24"/>
          <w:lang/>
        </w:rPr>
        <w:t>: Приоритетни</w:t>
      </w:r>
      <w:r w:rsidRPr="00D33C02">
        <w:rPr>
          <w:rFonts w:ascii="Times New Roman" w:hAnsi="Times New Roman" w:cs="Times New Roman"/>
          <w:sz w:val="24"/>
          <w:szCs w:val="24"/>
          <w:lang/>
        </w:rPr>
        <w:t xml:space="preserve"> стратешки циљеви испитаника према месту становања и образовној структури</w:t>
      </w:r>
    </w:p>
    <w:tbl>
      <w:tblPr>
        <w:tblStyle w:val="LightGrid-Accent11"/>
        <w:tblW w:w="0" w:type="auto"/>
        <w:jc w:val="center"/>
        <w:tblLayout w:type="fixed"/>
        <w:tblLook w:val="04A0"/>
      </w:tblPr>
      <w:tblGrid>
        <w:gridCol w:w="3778"/>
        <w:gridCol w:w="1173"/>
        <w:gridCol w:w="1174"/>
        <w:gridCol w:w="1067"/>
        <w:gridCol w:w="1067"/>
        <w:gridCol w:w="1068"/>
      </w:tblGrid>
      <w:tr w:rsidR="00D33C02" w:rsidRPr="00D33C02" w:rsidTr="00D33C02">
        <w:trPr>
          <w:cnfStyle w:val="100000000000"/>
          <w:trHeight w:val="167"/>
          <w:jc w:val="center"/>
        </w:trPr>
        <w:tc>
          <w:tcPr>
            <w:cnfStyle w:val="001000000000"/>
            <w:tcW w:w="3778" w:type="dxa"/>
            <w:vMerge w:val="restart"/>
            <w:tcBorders>
              <w:right w:val="single" w:sz="18" w:space="0" w:color="365F91"/>
            </w:tcBorders>
            <w:vAlign w:val="center"/>
          </w:tcPr>
          <w:p w:rsidR="00D33C02" w:rsidRPr="00AF0C06" w:rsidRDefault="00D33C02" w:rsidP="00D33C02">
            <w:pPr>
              <w:jc w:val="center"/>
              <w:rPr>
                <w:rFonts w:ascii="Times New Roman" w:hAnsi="Times New Roman"/>
                <w:b w:val="0"/>
                <w:noProof/>
                <w:sz w:val="20"/>
                <w:szCs w:val="20"/>
              </w:rPr>
            </w:pPr>
            <w:r w:rsidRPr="00AF0C06">
              <w:rPr>
                <w:rFonts w:ascii="Times New Roman" w:hAnsi="Times New Roman"/>
                <w:b w:val="0"/>
                <w:noProof/>
                <w:sz w:val="20"/>
                <w:szCs w:val="20"/>
              </w:rPr>
              <w:t>Стратешки циљ</w:t>
            </w:r>
          </w:p>
        </w:tc>
        <w:tc>
          <w:tcPr>
            <w:tcW w:w="2347" w:type="dxa"/>
            <w:gridSpan w:val="2"/>
            <w:tcBorders>
              <w:left w:val="single" w:sz="18" w:space="0" w:color="365F91"/>
              <w:right w:val="single" w:sz="18" w:space="0" w:color="365F91"/>
            </w:tcBorders>
            <w:vAlign w:val="center"/>
          </w:tcPr>
          <w:p w:rsidR="00D33C02" w:rsidRPr="00AF0C06" w:rsidRDefault="00D33C02" w:rsidP="00D33C02">
            <w:pPr>
              <w:jc w:val="center"/>
              <w:cnfStyle w:val="100000000000"/>
              <w:rPr>
                <w:rFonts w:ascii="Times New Roman" w:hAnsi="Times New Roman"/>
                <w:noProof/>
                <w:sz w:val="20"/>
                <w:szCs w:val="20"/>
              </w:rPr>
            </w:pPr>
            <w:r w:rsidRPr="00AF0C06">
              <w:rPr>
                <w:rFonts w:ascii="Times New Roman" w:hAnsi="Times New Roman"/>
                <w:noProof/>
                <w:sz w:val="20"/>
                <w:szCs w:val="20"/>
              </w:rPr>
              <w:t>Место становања</w:t>
            </w:r>
          </w:p>
        </w:tc>
        <w:tc>
          <w:tcPr>
            <w:tcW w:w="3202" w:type="dxa"/>
            <w:gridSpan w:val="3"/>
            <w:tcBorders>
              <w:left w:val="single" w:sz="18" w:space="0" w:color="365F91"/>
            </w:tcBorders>
            <w:vAlign w:val="center"/>
          </w:tcPr>
          <w:p w:rsidR="00D33C02" w:rsidRPr="00AF0C06" w:rsidRDefault="00D33C02" w:rsidP="00D33C02">
            <w:pPr>
              <w:jc w:val="center"/>
              <w:cnfStyle w:val="100000000000"/>
              <w:rPr>
                <w:rFonts w:ascii="Times New Roman" w:hAnsi="Times New Roman"/>
                <w:noProof/>
                <w:sz w:val="20"/>
                <w:szCs w:val="20"/>
              </w:rPr>
            </w:pPr>
            <w:r w:rsidRPr="00AF0C06">
              <w:rPr>
                <w:rFonts w:ascii="Times New Roman" w:hAnsi="Times New Roman"/>
                <w:noProof/>
                <w:sz w:val="20"/>
                <w:szCs w:val="20"/>
              </w:rPr>
              <w:t>Образовање</w:t>
            </w:r>
          </w:p>
        </w:tc>
      </w:tr>
      <w:tr w:rsidR="00D33C02" w:rsidRPr="00D33C02" w:rsidTr="00D33C02">
        <w:trPr>
          <w:cnfStyle w:val="000000100000"/>
          <w:trHeight w:val="167"/>
          <w:jc w:val="center"/>
        </w:trPr>
        <w:tc>
          <w:tcPr>
            <w:cnfStyle w:val="001000000000"/>
            <w:tcW w:w="3778" w:type="dxa"/>
            <w:vMerge/>
            <w:tcBorders>
              <w:right w:val="single" w:sz="18" w:space="0" w:color="365F91"/>
            </w:tcBorders>
            <w:vAlign w:val="center"/>
          </w:tcPr>
          <w:p w:rsidR="00D33C02" w:rsidRPr="00AF0C06" w:rsidRDefault="00D33C02" w:rsidP="00D33C02">
            <w:pPr>
              <w:jc w:val="center"/>
              <w:rPr>
                <w:rFonts w:ascii="Times New Roman" w:hAnsi="Times New Roman"/>
                <w:b w:val="0"/>
                <w:noProof/>
                <w:sz w:val="20"/>
                <w:szCs w:val="20"/>
              </w:rPr>
            </w:pP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Град</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Насељено место</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ОШ</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ССС</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ВШ/ВСС</w:t>
            </w:r>
          </w:p>
        </w:tc>
      </w:tr>
      <w:tr w:rsidR="00D33C02" w:rsidRPr="00D33C02" w:rsidTr="00D33C02">
        <w:trPr>
          <w:cnfStyle w:val="00000001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неговање традиције и заштита културне баштине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50,1%</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57,4%</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55,6%</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53,6%</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49,8%</w:t>
            </w:r>
          </w:p>
        </w:tc>
      </w:tr>
      <w:tr w:rsidR="00D33C02" w:rsidRPr="00D33C02" w:rsidTr="00D33C02">
        <w:trPr>
          <w:cnfStyle w:val="00000010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савремено стваралаштво</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13,9%</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10,3%</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13,9%</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8,5%</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17,6%</w:t>
            </w:r>
          </w:p>
        </w:tc>
      </w:tr>
      <w:tr w:rsidR="00D33C02" w:rsidRPr="00D33C02" w:rsidTr="00D33C02">
        <w:trPr>
          <w:cnfStyle w:val="00000001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опремање/реновирање/реконструкција установа културе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27%</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43,1%</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31,9%</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32,7%</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33,9%</w:t>
            </w:r>
          </w:p>
        </w:tc>
      </w:tr>
      <w:tr w:rsidR="00D33C02" w:rsidRPr="00D33C02" w:rsidTr="00D33C02">
        <w:trPr>
          <w:cnfStyle w:val="000000100000"/>
          <w:trHeight w:val="162"/>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обезбеђивање других простора за потребе култре</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11,9%</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16,7%</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16,7%</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13,6%</w:t>
            </w:r>
          </w:p>
        </w:tc>
      </w:tr>
      <w:tr w:rsidR="00D33C02" w:rsidRPr="00D33C02" w:rsidTr="00D33C02">
        <w:trPr>
          <w:cnfStyle w:val="000000010000"/>
          <w:trHeight w:val="162"/>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оснивање нових установа културе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9,9%</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18,1%</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13,9%</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14,5%</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9%</w:t>
            </w:r>
          </w:p>
        </w:tc>
      </w:tr>
      <w:tr w:rsidR="00D33C02" w:rsidRPr="00D33C02" w:rsidTr="00D33C02">
        <w:trPr>
          <w:cnfStyle w:val="00000010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већи број културних програма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27%</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24%</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38,9%</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28,8%</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17,2%</w:t>
            </w:r>
          </w:p>
        </w:tc>
      </w:tr>
      <w:tr w:rsidR="00D33C02" w:rsidRPr="00D33C02" w:rsidTr="00D33C02">
        <w:trPr>
          <w:cnfStyle w:val="00000001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већа разноврсност програма по типовима публике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21,3%</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20,1%</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19,4%</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15,8%</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29,4%</w:t>
            </w:r>
          </w:p>
        </w:tc>
      </w:tr>
      <w:tr w:rsidR="00D33C02" w:rsidRPr="00D33C02" w:rsidTr="00D33C02">
        <w:trPr>
          <w:cnfStyle w:val="00000010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већа разноврсност према типу програма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lang/>
              </w:rPr>
            </w:pPr>
            <w:r w:rsidRPr="00AF0C06">
              <w:rPr>
                <w:rFonts w:cs="Times New Roman"/>
                <w:noProof/>
                <w:sz w:val="20"/>
                <w:szCs w:val="20"/>
                <w:lang/>
              </w:rPr>
              <w:t>12,9%</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lang/>
              </w:rPr>
            </w:pPr>
            <w:r w:rsidRPr="00AF0C06">
              <w:rPr>
                <w:rFonts w:cs="Times New Roman"/>
                <w:noProof/>
                <w:sz w:val="20"/>
                <w:szCs w:val="20"/>
                <w:lang/>
              </w:rPr>
              <w:t>5,9%</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12,5%</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7,6%</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13,6%</w:t>
            </w:r>
          </w:p>
        </w:tc>
      </w:tr>
      <w:tr w:rsidR="00D33C02" w:rsidRPr="00D33C02" w:rsidTr="00D33C02">
        <w:trPr>
          <w:cnfStyle w:val="00000001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lang/>
              </w:rPr>
            </w:pPr>
            <w:r w:rsidRPr="00AF0C06">
              <w:rPr>
                <w:rFonts w:ascii="Times New Roman" w:hAnsi="Times New Roman"/>
                <w:b w:val="0"/>
                <w:noProof/>
                <w:color w:val="000000"/>
                <w:sz w:val="20"/>
                <w:szCs w:val="20"/>
                <w:lang/>
              </w:rPr>
              <w:t>развој културног образовања</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26,3%</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lang/>
              </w:rPr>
            </w:pPr>
            <w:r w:rsidRPr="00AF0C06">
              <w:rPr>
                <w:rFonts w:cs="Times New Roman"/>
                <w:noProof/>
                <w:sz w:val="20"/>
                <w:szCs w:val="20"/>
                <w:lang/>
              </w:rPr>
              <w:t>20,6%</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18,1%</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22,7%</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28,5%</w:t>
            </w:r>
          </w:p>
        </w:tc>
      </w:tr>
      <w:tr w:rsidR="00D33C02" w:rsidRPr="00D33C02" w:rsidTr="00D33C02">
        <w:trPr>
          <w:cnfStyle w:val="00000010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већи акценат на развоју културног туризма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14,7%</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lang/>
              </w:rPr>
              <w:t>13,7</w:t>
            </w:r>
            <w:r w:rsidRPr="00AF0C06">
              <w:rPr>
                <w:rFonts w:cs="Times New Roman"/>
                <w:noProof/>
                <w:sz w:val="20"/>
                <w:szCs w:val="20"/>
              </w:rPr>
              <w:t>%</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12,5%</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13,3%</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16,3%</w:t>
            </w:r>
          </w:p>
        </w:tc>
      </w:tr>
      <w:tr w:rsidR="00D33C02" w:rsidRPr="00D33C02" w:rsidTr="00D33C02">
        <w:trPr>
          <w:cnfStyle w:val="00000001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усклађивање програма са потребама и укусом публике</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12,2%</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12,7%</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11,1%</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11,2%</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14,5%</w:t>
            </w:r>
          </w:p>
        </w:tc>
      </w:tr>
      <w:tr w:rsidR="00D33C02" w:rsidRPr="00D33C02" w:rsidTr="00D33C02">
        <w:trPr>
          <w:cnfStyle w:val="00000010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боља промоција и подршка КУДовима</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11,7%</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14,2%</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9,7%</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13,9%</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11,3%</w:t>
            </w:r>
          </w:p>
        </w:tc>
      </w:tr>
      <w:tr w:rsidR="00D33C02" w:rsidRPr="00D33C02" w:rsidTr="00D33C02">
        <w:trPr>
          <w:cnfStyle w:val="00000001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боља промоција културних програма</w:t>
            </w:r>
          </w:p>
        </w:tc>
        <w:tc>
          <w:tcPr>
            <w:tcW w:w="1173"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15,6%</w:t>
            </w:r>
          </w:p>
        </w:tc>
        <w:tc>
          <w:tcPr>
            <w:tcW w:w="1174" w:type="dxa"/>
            <w:tcBorders>
              <w:righ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13,2%</w:t>
            </w:r>
          </w:p>
        </w:tc>
        <w:tc>
          <w:tcPr>
            <w:tcW w:w="1067" w:type="dxa"/>
            <w:tcBorders>
              <w:left w:val="single" w:sz="18" w:space="0" w:color="365F91"/>
            </w:tcBorders>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18,1%</w:t>
            </w:r>
          </w:p>
        </w:tc>
        <w:tc>
          <w:tcPr>
            <w:tcW w:w="1067"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13,6%</w:t>
            </w:r>
          </w:p>
        </w:tc>
        <w:tc>
          <w:tcPr>
            <w:tcW w:w="1068" w:type="dxa"/>
            <w:vAlign w:val="center"/>
          </w:tcPr>
          <w:p w:rsidR="00D33C02" w:rsidRPr="00AF0C06" w:rsidRDefault="00D33C02" w:rsidP="00D33C02">
            <w:pPr>
              <w:jc w:val="center"/>
              <w:cnfStyle w:val="000000010000"/>
              <w:rPr>
                <w:rFonts w:cs="Times New Roman"/>
                <w:noProof/>
                <w:sz w:val="20"/>
                <w:szCs w:val="20"/>
              </w:rPr>
            </w:pPr>
            <w:r w:rsidRPr="00AF0C06">
              <w:rPr>
                <w:rFonts w:cs="Times New Roman"/>
                <w:noProof/>
                <w:sz w:val="20"/>
                <w:szCs w:val="20"/>
              </w:rPr>
              <w:t>14%</w:t>
            </w:r>
          </w:p>
        </w:tc>
      </w:tr>
      <w:tr w:rsidR="00D33C02" w:rsidRPr="00D33C02" w:rsidTr="00D33C02">
        <w:trPr>
          <w:cnfStyle w:val="000000100000"/>
          <w:trHeight w:val="167"/>
          <w:jc w:val="center"/>
        </w:trPr>
        <w:tc>
          <w:tcPr>
            <w:cnfStyle w:val="001000000000"/>
            <w:tcW w:w="3778" w:type="dxa"/>
            <w:tcBorders>
              <w:right w:val="single" w:sz="18" w:space="0" w:color="365F91"/>
            </w:tcBorders>
            <w:vAlign w:val="center"/>
          </w:tcPr>
          <w:p w:rsidR="00D33C02" w:rsidRPr="00AF0C06" w:rsidRDefault="00D33C02" w:rsidP="00D33C02">
            <w:pPr>
              <w:autoSpaceDE w:val="0"/>
              <w:autoSpaceDN w:val="0"/>
              <w:adjustRightInd w:val="0"/>
              <w:ind w:left="60" w:right="60"/>
              <w:jc w:val="center"/>
              <w:rPr>
                <w:rFonts w:ascii="Times New Roman" w:hAnsi="Times New Roman"/>
                <w:b w:val="0"/>
                <w:noProof/>
                <w:color w:val="000000"/>
                <w:sz w:val="20"/>
                <w:szCs w:val="20"/>
              </w:rPr>
            </w:pPr>
            <w:r w:rsidRPr="00AF0C06">
              <w:rPr>
                <w:rFonts w:ascii="Times New Roman" w:hAnsi="Times New Roman"/>
                <w:b w:val="0"/>
                <w:noProof/>
                <w:color w:val="000000"/>
                <w:sz w:val="20"/>
                <w:szCs w:val="20"/>
              </w:rPr>
              <w:t>промовисање мултикултуралности</w:t>
            </w:r>
          </w:p>
        </w:tc>
        <w:tc>
          <w:tcPr>
            <w:tcW w:w="1173"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6,7%</w:t>
            </w:r>
          </w:p>
        </w:tc>
        <w:tc>
          <w:tcPr>
            <w:tcW w:w="1174" w:type="dxa"/>
            <w:tcBorders>
              <w:righ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9,8%</w:t>
            </w:r>
          </w:p>
        </w:tc>
        <w:tc>
          <w:tcPr>
            <w:tcW w:w="1067" w:type="dxa"/>
            <w:tcBorders>
              <w:left w:val="single" w:sz="18" w:space="0" w:color="365F91"/>
            </w:tcBorders>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8,3%</w:t>
            </w:r>
          </w:p>
        </w:tc>
        <w:tc>
          <w:tcPr>
            <w:tcW w:w="1067"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6,4%</w:t>
            </w:r>
          </w:p>
        </w:tc>
        <w:tc>
          <w:tcPr>
            <w:tcW w:w="1068" w:type="dxa"/>
            <w:vAlign w:val="center"/>
          </w:tcPr>
          <w:p w:rsidR="00D33C02" w:rsidRPr="00AF0C06" w:rsidRDefault="00D33C02" w:rsidP="00D33C02">
            <w:pPr>
              <w:jc w:val="center"/>
              <w:cnfStyle w:val="000000100000"/>
              <w:rPr>
                <w:rFonts w:cs="Times New Roman"/>
                <w:noProof/>
                <w:sz w:val="20"/>
                <w:szCs w:val="20"/>
              </w:rPr>
            </w:pPr>
            <w:r w:rsidRPr="00AF0C06">
              <w:rPr>
                <w:rFonts w:cs="Times New Roman"/>
                <w:noProof/>
                <w:sz w:val="20"/>
                <w:szCs w:val="20"/>
              </w:rPr>
              <w:t>10,9%</w:t>
            </w:r>
          </w:p>
        </w:tc>
      </w:tr>
    </w:tbl>
    <w:p w:rsidR="00D33C02" w:rsidRPr="00D33C02" w:rsidRDefault="00D33C02" w:rsidP="00D33C02">
      <w:pPr>
        <w:jc w:val="both"/>
        <w:rPr>
          <w:rFonts w:ascii="Times New Roman" w:hAnsi="Times New Roman" w:cs="Times New Roman"/>
          <w:sz w:val="24"/>
          <w:szCs w:val="24"/>
          <w:lang/>
        </w:rPr>
      </w:pPr>
    </w:p>
    <w:p w:rsidR="00D33C02" w:rsidRPr="003B5C99" w:rsidRDefault="00D33C02" w:rsidP="003B5C99">
      <w:pPr>
        <w:pStyle w:val="Heading1"/>
        <w:numPr>
          <w:ilvl w:val="0"/>
          <w:numId w:val="39"/>
        </w:numPr>
        <w:spacing w:after="240"/>
        <w:rPr>
          <w:b/>
          <w:lang/>
        </w:rPr>
      </w:pPr>
      <w:bookmarkStart w:id="38" w:name="_Toc36072314"/>
      <w:r w:rsidRPr="003B5C99">
        <w:rPr>
          <w:b/>
          <w:lang/>
        </w:rPr>
        <w:t>Културна препознатљивост и брендирање</w:t>
      </w:r>
      <w:bookmarkEnd w:id="38"/>
    </w:p>
    <w:p w:rsidR="00D33C02" w:rsidRPr="00AF0C06" w:rsidRDefault="00D33C02" w:rsidP="003B5C99">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Важан део истраживања чинио је сагледавање препознатљивости града Сомбора из угла његових културно активних становника, од којих је тражено да укажу на симболе града који у великој мери граде идентитет локалне заједнице. </w:t>
      </w:r>
    </w:p>
    <w:p w:rsidR="00D33C02" w:rsidRPr="00AF0C06" w:rsidRDefault="00D33C02" w:rsidP="003B5C99">
      <w:pPr>
        <w:ind w:firstLine="720"/>
        <w:jc w:val="both"/>
        <w:rPr>
          <w:rFonts w:ascii="Times New Roman" w:hAnsi="Times New Roman" w:cs="Times New Roman"/>
          <w:sz w:val="24"/>
          <w:szCs w:val="24"/>
          <w:lang/>
        </w:rPr>
      </w:pPr>
      <w:r w:rsidRPr="00AF0C06">
        <w:rPr>
          <w:rFonts w:ascii="Times New Roman" w:hAnsi="Times New Roman" w:cs="Times New Roman"/>
          <w:sz w:val="24"/>
          <w:szCs w:val="24"/>
          <w:lang/>
        </w:rPr>
        <w:t xml:space="preserve">Подаци указују да сомборска публика сматра да је културна понуда на нивоу града прилично препознатљива – трећина испитаних сматра да је у великој мери препознатљива, и нешто више од половине да је на средњем нивоу препознатљива – укупно 83,5%. На основу тога </w:t>
      </w:r>
      <w:r w:rsidR="00AF0C06" w:rsidRPr="00AF0C06">
        <w:rPr>
          <w:rFonts w:ascii="Times New Roman" w:hAnsi="Times New Roman" w:cs="Times New Roman"/>
          <w:sz w:val="24"/>
          <w:szCs w:val="24"/>
          <w:lang/>
        </w:rPr>
        <w:t>може се</w:t>
      </w:r>
      <w:r w:rsidRPr="00AF0C06">
        <w:rPr>
          <w:rFonts w:ascii="Times New Roman" w:hAnsi="Times New Roman" w:cs="Times New Roman"/>
          <w:sz w:val="24"/>
          <w:szCs w:val="24"/>
          <w:lang/>
        </w:rPr>
        <w:t xml:space="preserve"> закључити да публика свој град доживљава као град културе. </w:t>
      </w:r>
    </w:p>
    <w:p w:rsidR="00D33C02" w:rsidRPr="00CF5856" w:rsidRDefault="003B5C99"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t>Међутим, са укрупња</w:t>
      </w:r>
      <w:r w:rsidR="00D33C02" w:rsidRPr="00CF5856">
        <w:rPr>
          <w:rFonts w:ascii="Times New Roman" w:hAnsi="Times New Roman" w:cs="Times New Roman"/>
          <w:sz w:val="24"/>
          <w:szCs w:val="24"/>
          <w:lang/>
        </w:rPr>
        <w:t xml:space="preserve">вањем географске територије, драстично се смањује број оних који сматрају да се Сомбор доживљава као град културе на нивоу Војводине, Србије или Региона. Наиме, већ на нивоу Војводине број оних који сматрају да је културна понуда препознатљива на високом нивоу смањује се за шест пута, а учетворостручује број оних који сматрају да је сомборска културна понуда препознатљива на ниском нивоу или да уопште није препознатљива. Ситуација је још више изражена на националном и нову Региона, без обзира на чињеницу да је Сомбор погранични и мултиркултурни град и да има могућност промоције своје културе у околним земљама (Хрватској и Мађарској на првом месту). Све ово указује да град (локална самоуправа и актери у култури) треба да </w:t>
      </w:r>
      <w:r w:rsidR="00D33C02" w:rsidRPr="00CF5856">
        <w:rPr>
          <w:rFonts w:ascii="Times New Roman" w:hAnsi="Times New Roman" w:cs="Times New Roman"/>
          <w:sz w:val="24"/>
          <w:szCs w:val="24"/>
          <w:lang/>
        </w:rPr>
        <w:lastRenderedPageBreak/>
        <w:t xml:space="preserve">ради на јачању свог имиџа као града културе и да организује већи број догађаја који превазилазе локални карактер.      </w:t>
      </w:r>
    </w:p>
    <w:p w:rsidR="00D33C02" w:rsidRPr="00CF5856" w:rsidRDefault="00D33C02" w:rsidP="003B5C99">
      <w:pPr>
        <w:spacing w:after="0"/>
        <w:jc w:val="both"/>
        <w:rPr>
          <w:rFonts w:ascii="Times New Roman" w:hAnsi="Times New Roman" w:cs="Times New Roman"/>
          <w:sz w:val="24"/>
          <w:szCs w:val="24"/>
          <w:lang/>
        </w:rPr>
      </w:pPr>
      <w:r w:rsidRPr="00CF5856">
        <w:rPr>
          <w:rFonts w:ascii="Times New Roman" w:hAnsi="Times New Roman" w:cs="Times New Roman"/>
          <w:sz w:val="24"/>
          <w:szCs w:val="24"/>
          <w:lang/>
        </w:rPr>
        <w:t>Графикон</w:t>
      </w:r>
      <w:r w:rsidR="003B5C99" w:rsidRPr="00CF5856">
        <w:rPr>
          <w:rFonts w:ascii="Times New Roman" w:hAnsi="Times New Roman" w:cs="Times New Roman"/>
          <w:sz w:val="24"/>
          <w:szCs w:val="24"/>
          <w:lang/>
        </w:rPr>
        <w:t xml:space="preserve"> 29</w:t>
      </w:r>
      <w:r w:rsidRPr="00CF5856">
        <w:rPr>
          <w:rFonts w:ascii="Times New Roman" w:hAnsi="Times New Roman" w:cs="Times New Roman"/>
          <w:sz w:val="24"/>
          <w:szCs w:val="24"/>
          <w:lang/>
        </w:rPr>
        <w:t>: Препознатљивост културне понуде у Сомбору и шире</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838825" cy="3267075"/>
            <wp:effectExtent l="0" t="0" r="952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33C02" w:rsidRPr="00CF5856" w:rsidRDefault="00D33C0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t>Управо на трагу јачања културног идентитета и ван локалних граница Град је пре две године, поред до сада значајних фестивала, покренуо и филмски фестивал. Идеја је да се постепено изгради јединствени идентитет филмског фестивала који би понудио садржај који није присутан на културној сцени Србије. Због тога је упитник садржао и питање које</w:t>
      </w:r>
      <w:r w:rsidR="00BD10E4" w:rsidRPr="00CF5856">
        <w:rPr>
          <w:rFonts w:ascii="Times New Roman" w:hAnsi="Times New Roman" w:cs="Times New Roman"/>
          <w:sz w:val="24"/>
          <w:szCs w:val="24"/>
          <w:lang/>
        </w:rPr>
        <w:t xml:space="preserve"> се</w:t>
      </w:r>
      <w:r w:rsidRPr="00CF5856">
        <w:rPr>
          <w:rFonts w:ascii="Times New Roman" w:hAnsi="Times New Roman" w:cs="Times New Roman"/>
          <w:sz w:val="24"/>
          <w:szCs w:val="24"/>
          <w:lang/>
        </w:rPr>
        <w:t xml:space="preserve"> тиче препознатљивости Сомбора као филмског града међу сомборском културном публиком.</w:t>
      </w:r>
    </w:p>
    <w:p w:rsidR="00D33C02" w:rsidRPr="00CF5856" w:rsidRDefault="00D33C02" w:rsidP="003B5C99">
      <w:pPr>
        <w:ind w:firstLine="720"/>
        <w:jc w:val="both"/>
        <w:rPr>
          <w:rFonts w:ascii="Times New Roman" w:hAnsi="Times New Roman" w:cs="Times New Roman"/>
          <w:sz w:val="24"/>
          <w:szCs w:val="24"/>
        </w:rPr>
      </w:pPr>
      <w:r w:rsidRPr="00CF5856">
        <w:rPr>
          <w:rFonts w:ascii="Times New Roman" w:hAnsi="Times New Roman" w:cs="Times New Roman"/>
          <w:sz w:val="24"/>
          <w:szCs w:val="24"/>
          <w:lang/>
        </w:rPr>
        <w:t xml:space="preserve">Међу испитанима, 52% сматра да Сомбор оправдано носи титулу филмског града и да је као такав препознат и на националном нивоу. Највећи број њих сматра да је то тако због бројних глумаца који су родом из Сомбора, а потом због чињенице да је Сомбор постао атрактивна филмска локација. </w:t>
      </w:r>
      <w:r w:rsidR="00CF5856" w:rsidRPr="00CF5856">
        <w:rPr>
          <w:rFonts w:ascii="Times New Roman" w:hAnsi="Times New Roman" w:cs="Times New Roman"/>
          <w:sz w:val="24"/>
          <w:szCs w:val="24"/>
          <w:lang/>
        </w:rPr>
        <w:t>Д</w:t>
      </w:r>
      <w:r w:rsidRPr="00CF5856">
        <w:rPr>
          <w:rFonts w:ascii="Times New Roman" w:hAnsi="Times New Roman" w:cs="Times New Roman"/>
          <w:sz w:val="24"/>
          <w:szCs w:val="24"/>
          <w:lang/>
        </w:rPr>
        <w:t xml:space="preserve">а је разлог филмски фестивал мисли само 7,6% грађана, што и није мали постотак ако се има у виду да се фестивал одиграо само два пута, али потребно је повећање промотивних активности и његово брендирање у циљу повећања препознатљивости „филмског Сомбора“. У том смислу, поред 18,6% оних који сматра да се на националном нивоу Сомбор не доживљава као филмски град, значајно је сагледати и 14,5% одговора испитаника који истичу да се Сомбор као филмски град не доживљава тако ни од самих Сомбораца. Промотивне активности усмерене на филмску традицију и контекст неопходно је, према томе, спровести и на локалном нивоу. Социо-демографске карактеристике испитаника не утичу на одговоре по питању препознатљивости Сомбора као града филма, тако да промотивне активности у почетку не морају нужно бити фокусиране на посебне групе грађана.   </w:t>
      </w:r>
    </w:p>
    <w:p w:rsidR="00D33C02" w:rsidRPr="00CF5856" w:rsidRDefault="00D33C02" w:rsidP="003B5C99">
      <w:pPr>
        <w:spacing w:after="0"/>
        <w:jc w:val="both"/>
        <w:rPr>
          <w:rFonts w:ascii="Times New Roman" w:hAnsi="Times New Roman" w:cs="Times New Roman"/>
          <w:sz w:val="24"/>
          <w:szCs w:val="24"/>
          <w:lang/>
        </w:rPr>
      </w:pPr>
      <w:r w:rsidRPr="00CF5856">
        <w:rPr>
          <w:rFonts w:ascii="Times New Roman" w:hAnsi="Times New Roman" w:cs="Times New Roman"/>
          <w:sz w:val="24"/>
          <w:szCs w:val="24"/>
          <w:lang/>
        </w:rPr>
        <w:t>Графикон</w:t>
      </w:r>
      <w:r w:rsidR="003B5C99" w:rsidRPr="00CF5856">
        <w:rPr>
          <w:rFonts w:ascii="Times New Roman" w:hAnsi="Times New Roman" w:cs="Times New Roman"/>
          <w:sz w:val="24"/>
          <w:szCs w:val="24"/>
          <w:lang/>
        </w:rPr>
        <w:t xml:space="preserve"> 30</w:t>
      </w:r>
      <w:r w:rsidRPr="00CF5856">
        <w:rPr>
          <w:rFonts w:ascii="Times New Roman" w:hAnsi="Times New Roman" w:cs="Times New Roman"/>
          <w:sz w:val="24"/>
          <w:szCs w:val="24"/>
          <w:lang/>
        </w:rPr>
        <w:t>: Колико је Сомбор препознат као филмски град на националном нивоу?</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lastRenderedPageBreak/>
        <w:drawing>
          <wp:inline distT="0" distB="0" distL="0" distR="0">
            <wp:extent cx="5934075" cy="2266950"/>
            <wp:effectExtent l="0" t="0" r="9525"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D33C02">
        <w:rPr>
          <w:rFonts w:ascii="Times New Roman" w:hAnsi="Times New Roman" w:cs="Times New Roman"/>
          <w:color w:val="FF0000"/>
          <w:sz w:val="24"/>
          <w:szCs w:val="24"/>
          <w:lang/>
        </w:rPr>
        <w:t xml:space="preserve">   </w:t>
      </w:r>
    </w:p>
    <w:p w:rsidR="00D33C02" w:rsidRPr="00CF5856" w:rsidRDefault="00D33C02" w:rsidP="00D33C02">
      <w:pPr>
        <w:jc w:val="both"/>
        <w:rPr>
          <w:rFonts w:ascii="Times New Roman" w:hAnsi="Times New Roman" w:cs="Times New Roman"/>
          <w:sz w:val="24"/>
          <w:szCs w:val="24"/>
          <w:lang/>
        </w:rPr>
      </w:pPr>
      <w:r w:rsidRPr="00CF5856">
        <w:rPr>
          <w:rFonts w:ascii="Times New Roman" w:hAnsi="Times New Roman" w:cs="Times New Roman"/>
          <w:sz w:val="24"/>
          <w:szCs w:val="24"/>
          <w:lang/>
        </w:rPr>
        <w:t>Уколико Сомбор није град филма, шта су онда водећи симболи и елементи идентитета овог града из угла његових грађана? На питање да наведу најупечатљивију одлику или знаменитост града</w:t>
      </w:r>
      <w:r w:rsidRPr="00CF5856">
        <w:rPr>
          <w:rFonts w:ascii="Times New Roman" w:hAnsi="Times New Roman" w:cs="Times New Roman"/>
          <w:sz w:val="24"/>
          <w:szCs w:val="24"/>
        </w:rPr>
        <w:t xml:space="preserve"> </w:t>
      </w:r>
      <w:r w:rsidRPr="00CF5856">
        <w:rPr>
          <w:rFonts w:ascii="Times New Roman" w:hAnsi="Times New Roman" w:cs="Times New Roman"/>
          <w:sz w:val="24"/>
          <w:szCs w:val="24"/>
          <w:lang/>
        </w:rPr>
        <w:t xml:space="preserve">(институцију, догађај, манифестацију, споменик и слично), Сомборци у највећој мери истичу фестивале и манифестације у области културе, а потом сомборско позориште и зграду </w:t>
      </w:r>
      <w:r w:rsidR="00BD10E4" w:rsidRPr="00CF5856">
        <w:rPr>
          <w:rFonts w:ascii="Times New Roman" w:hAnsi="Times New Roman" w:cs="Times New Roman"/>
          <w:sz w:val="24"/>
          <w:szCs w:val="24"/>
          <w:lang/>
        </w:rPr>
        <w:t>Ж</w:t>
      </w:r>
      <w:r w:rsidRPr="00CF5856">
        <w:rPr>
          <w:rFonts w:ascii="Times New Roman" w:hAnsi="Times New Roman" w:cs="Times New Roman"/>
          <w:sz w:val="24"/>
          <w:szCs w:val="24"/>
          <w:lang/>
        </w:rPr>
        <w:t xml:space="preserve">упаније. Интересантно је и да више од четвртине одговора који упућују на културне догађаје као симболе града чини манифестација Позоришни маратон. На основу тога може се закључити да се Народно позориште Сомбор доживљава као један од кључних елемената културног идентитета града. Тиме су подаци анкете потврдилии налазе на основу фокус група.  </w:t>
      </w:r>
    </w:p>
    <w:p w:rsidR="003B5C99" w:rsidRPr="00CF5856" w:rsidRDefault="003B5C99" w:rsidP="00D33C02">
      <w:pPr>
        <w:jc w:val="both"/>
        <w:rPr>
          <w:rFonts w:ascii="Times New Roman" w:hAnsi="Times New Roman" w:cs="Times New Roman"/>
          <w:sz w:val="24"/>
          <w:szCs w:val="24"/>
          <w:lang/>
        </w:rPr>
      </w:pPr>
    </w:p>
    <w:p w:rsidR="00D33C02" w:rsidRPr="00CF5856" w:rsidRDefault="00D33C02" w:rsidP="003B5C99">
      <w:pPr>
        <w:spacing w:after="0"/>
        <w:jc w:val="both"/>
        <w:rPr>
          <w:rFonts w:ascii="Times New Roman" w:hAnsi="Times New Roman" w:cs="Times New Roman"/>
          <w:sz w:val="24"/>
          <w:szCs w:val="24"/>
          <w:lang/>
        </w:rPr>
      </w:pPr>
      <w:r w:rsidRPr="00CF5856">
        <w:rPr>
          <w:rFonts w:ascii="Times New Roman" w:hAnsi="Times New Roman" w:cs="Times New Roman"/>
          <w:sz w:val="24"/>
          <w:szCs w:val="24"/>
          <w:lang/>
        </w:rPr>
        <w:t>Графикон</w:t>
      </w:r>
      <w:r w:rsidR="003B5C99" w:rsidRPr="00CF5856">
        <w:rPr>
          <w:rFonts w:ascii="Times New Roman" w:hAnsi="Times New Roman" w:cs="Times New Roman"/>
          <w:sz w:val="24"/>
          <w:szCs w:val="24"/>
          <w:lang/>
        </w:rPr>
        <w:t xml:space="preserve"> 31</w:t>
      </w:r>
      <w:r w:rsidRPr="00CF5856">
        <w:rPr>
          <w:rFonts w:ascii="Times New Roman" w:hAnsi="Times New Roman" w:cs="Times New Roman"/>
          <w:sz w:val="24"/>
          <w:szCs w:val="24"/>
          <w:lang/>
        </w:rPr>
        <w:t>: Културни симболи града према одговорима испитаника (питање отвореног типа)</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876925" cy="2914650"/>
            <wp:effectExtent l="0" t="0" r="9525"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Pr="00D33C02">
        <w:rPr>
          <w:rFonts w:ascii="Times New Roman" w:hAnsi="Times New Roman" w:cs="Times New Roman"/>
          <w:color w:val="FF0000"/>
          <w:sz w:val="24"/>
          <w:szCs w:val="24"/>
          <w:lang/>
        </w:rPr>
        <w:t xml:space="preserve"> </w:t>
      </w:r>
    </w:p>
    <w:p w:rsidR="00D33C02" w:rsidRPr="00CF5856" w:rsidRDefault="00D33C0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lastRenderedPageBreak/>
        <w:t xml:space="preserve">Поред Позоришног маратона у оквиру одговора „фестивали и манифестације“ као симболи града посебно су препознати Сомборско лето, Фестивал мултикултуралности, Дужионица, и Сомборске музичке свечаности (СОМУС), што се у великој мери поклопило и код питања и фестивалима које сматрају најрепрезентативнијим. </w:t>
      </w:r>
    </w:p>
    <w:p w:rsidR="00D33C02" w:rsidRPr="00CF5856" w:rsidRDefault="00D33C02" w:rsidP="00D33C02">
      <w:pPr>
        <w:spacing w:after="0"/>
        <w:jc w:val="both"/>
        <w:rPr>
          <w:rFonts w:ascii="Times New Roman" w:hAnsi="Times New Roman" w:cs="Times New Roman"/>
          <w:sz w:val="24"/>
          <w:szCs w:val="24"/>
          <w:lang/>
        </w:rPr>
      </w:pPr>
      <w:r w:rsidRPr="00CF5856">
        <w:rPr>
          <w:rFonts w:ascii="Times New Roman" w:hAnsi="Times New Roman" w:cs="Times New Roman"/>
          <w:sz w:val="24"/>
          <w:szCs w:val="24"/>
          <w:lang/>
        </w:rPr>
        <w:t>Графикон</w:t>
      </w:r>
      <w:r w:rsidR="003B5C99" w:rsidRPr="00CF5856">
        <w:rPr>
          <w:rFonts w:ascii="Times New Roman" w:hAnsi="Times New Roman" w:cs="Times New Roman"/>
          <w:sz w:val="24"/>
          <w:szCs w:val="24"/>
          <w:lang/>
        </w:rPr>
        <w:t xml:space="preserve"> 32</w:t>
      </w:r>
      <w:r w:rsidRPr="00CF5856">
        <w:rPr>
          <w:rFonts w:ascii="Times New Roman" w:hAnsi="Times New Roman" w:cs="Times New Roman"/>
          <w:sz w:val="24"/>
          <w:szCs w:val="24"/>
          <w:lang/>
        </w:rPr>
        <w:t>: Фестивали и манифестације препознати као културни симболи града (питање отвореног типа)</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drawing>
          <wp:inline distT="0" distB="0" distL="0" distR="0">
            <wp:extent cx="5867400" cy="3533775"/>
            <wp:effectExtent l="0" t="0" r="0" b="952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D33C02">
        <w:rPr>
          <w:rFonts w:ascii="Times New Roman" w:hAnsi="Times New Roman" w:cs="Times New Roman"/>
          <w:color w:val="FF0000"/>
          <w:sz w:val="24"/>
          <w:szCs w:val="24"/>
          <w:lang/>
        </w:rPr>
        <w:t xml:space="preserve"> </w:t>
      </w:r>
    </w:p>
    <w:p w:rsidR="00D33C02" w:rsidRPr="00CF5856" w:rsidRDefault="00D33C0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t xml:space="preserve">И значајне личности из живота града, актуелне и оне које су део наслеђа, могу допринети развоју идентитета града. Водећа личност симбол града, према одговорима испитаника је Лаза Костић, затим Милан Коњовић. Значајно мање навођења од стране испитаника имали су Сава Стојков, Никола Јокић, Ернест Бошњак и Вељко Петровић. </w:t>
      </w:r>
    </w:p>
    <w:p w:rsidR="003B5C99" w:rsidRPr="00CF5856" w:rsidRDefault="003B5C99" w:rsidP="003B5C99">
      <w:pPr>
        <w:spacing w:after="0"/>
        <w:jc w:val="both"/>
        <w:rPr>
          <w:rFonts w:ascii="Times New Roman" w:hAnsi="Times New Roman" w:cs="Times New Roman"/>
          <w:sz w:val="24"/>
          <w:szCs w:val="24"/>
          <w:lang/>
        </w:rPr>
      </w:pPr>
      <w:r w:rsidRPr="00CF5856">
        <w:rPr>
          <w:rFonts w:ascii="Times New Roman" w:hAnsi="Times New Roman" w:cs="Times New Roman"/>
          <w:sz w:val="24"/>
          <w:szCs w:val="24"/>
          <w:lang/>
        </w:rPr>
        <w:t>Графикон 33: Најзначајније личности за идентитет Сомбора</w:t>
      </w:r>
    </w:p>
    <w:p w:rsidR="00D33C02" w:rsidRPr="00D33C02" w:rsidRDefault="00D33C02" w:rsidP="00D33C02">
      <w:pPr>
        <w:jc w:val="both"/>
        <w:rPr>
          <w:rFonts w:ascii="Times New Roman" w:hAnsi="Times New Roman" w:cs="Times New Roman"/>
          <w:color w:val="FF0000"/>
          <w:sz w:val="24"/>
          <w:szCs w:val="24"/>
          <w:lang/>
        </w:rPr>
      </w:pPr>
      <w:r w:rsidRPr="00D33C02">
        <w:rPr>
          <w:rFonts w:ascii="Times New Roman" w:hAnsi="Times New Roman" w:cs="Times New Roman"/>
          <w:noProof/>
          <w:color w:val="FF0000"/>
          <w:sz w:val="24"/>
          <w:szCs w:val="24"/>
        </w:rPr>
        <w:lastRenderedPageBreak/>
        <w:drawing>
          <wp:inline distT="0" distB="0" distL="0" distR="0">
            <wp:extent cx="5867400" cy="2714625"/>
            <wp:effectExtent l="0" t="0" r="0" b="9525"/>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D33C02" w:rsidRPr="00CF5856" w:rsidRDefault="00D33C0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t xml:space="preserve">У контексту брендирања, испитаници су наводили колико виде одређене елементе културног туризма као шансу за економски развој града. И у овом сегменту грађани још једном потврђују да свој град доживљавају као динамичан град културе, па као елементе са највећим потенцијалом за економски развој кроз културни туризам препознају квалитет културних догађаја и промоцију града као културне дестинације. </w:t>
      </w:r>
    </w:p>
    <w:p w:rsidR="00D33C02" w:rsidRPr="00CF5856" w:rsidRDefault="00D33C02" w:rsidP="003B5C99">
      <w:pPr>
        <w:spacing w:after="0"/>
        <w:jc w:val="both"/>
        <w:rPr>
          <w:rFonts w:ascii="Times New Roman" w:hAnsi="Times New Roman" w:cs="Times New Roman"/>
          <w:sz w:val="24"/>
          <w:szCs w:val="24"/>
          <w:lang/>
        </w:rPr>
      </w:pPr>
      <w:r w:rsidRPr="00CF5856">
        <w:rPr>
          <w:rFonts w:ascii="Times New Roman" w:hAnsi="Times New Roman" w:cs="Times New Roman"/>
          <w:sz w:val="24"/>
          <w:szCs w:val="24"/>
          <w:lang/>
        </w:rPr>
        <w:t>Табела</w:t>
      </w:r>
      <w:r w:rsidR="003B5C99" w:rsidRPr="00CF5856">
        <w:rPr>
          <w:rFonts w:ascii="Times New Roman" w:hAnsi="Times New Roman" w:cs="Times New Roman"/>
          <w:sz w:val="24"/>
          <w:szCs w:val="24"/>
          <w:lang/>
        </w:rPr>
        <w:t xml:space="preserve"> 7</w:t>
      </w:r>
      <w:r w:rsidRPr="00CF5856">
        <w:rPr>
          <w:rFonts w:ascii="Times New Roman" w:hAnsi="Times New Roman" w:cs="Times New Roman"/>
          <w:sz w:val="24"/>
          <w:szCs w:val="24"/>
          <w:lang/>
        </w:rPr>
        <w:t>: Оцена потенцијала економског развоја кроз сегменте културног туризма</w:t>
      </w:r>
    </w:p>
    <w:tbl>
      <w:tblPr>
        <w:tblStyle w:val="LightGrid-Accent11"/>
        <w:tblW w:w="9297" w:type="dxa"/>
        <w:tblLayout w:type="fixed"/>
        <w:tblLook w:val="04A0"/>
      </w:tblPr>
      <w:tblGrid>
        <w:gridCol w:w="4225"/>
        <w:gridCol w:w="1014"/>
        <w:gridCol w:w="1014"/>
        <w:gridCol w:w="1015"/>
        <w:gridCol w:w="1014"/>
        <w:gridCol w:w="1015"/>
      </w:tblGrid>
      <w:tr w:rsidR="00D33C02" w:rsidRPr="003B5C99" w:rsidTr="00D33C02">
        <w:trPr>
          <w:cnfStyle w:val="100000000000"/>
          <w:trHeight w:val="209"/>
        </w:trPr>
        <w:tc>
          <w:tcPr>
            <w:cnfStyle w:val="001000000000"/>
            <w:tcW w:w="4225" w:type="dxa"/>
          </w:tcPr>
          <w:p w:rsidR="00D33C02" w:rsidRPr="003B5C99" w:rsidRDefault="00D33C02" w:rsidP="00D33C02">
            <w:pPr>
              <w:widowControl w:val="0"/>
              <w:suppressAutoHyphens/>
              <w:jc w:val="center"/>
              <w:rPr>
                <w:rFonts w:ascii="Times New Roman" w:hAnsi="Times New Roman"/>
                <w:noProof/>
                <w:sz w:val="20"/>
                <w:szCs w:val="20"/>
                <w:lang w:val="sr-Cyrl-CS"/>
              </w:rPr>
            </w:pPr>
            <w:r w:rsidRPr="003B5C99">
              <w:rPr>
                <w:rFonts w:ascii="Times New Roman" w:hAnsi="Times New Roman"/>
                <w:noProof/>
                <w:sz w:val="20"/>
                <w:szCs w:val="20"/>
                <w:lang w:val="sr-Cyrl-CS"/>
              </w:rPr>
              <w:t xml:space="preserve">У којој мери сматрате да су поједини елементи културног туризма имају потенцијал за економски развој града </w:t>
            </w:r>
          </w:p>
        </w:tc>
        <w:tc>
          <w:tcPr>
            <w:tcW w:w="1014" w:type="dxa"/>
            <w:vAlign w:val="center"/>
          </w:tcPr>
          <w:p w:rsidR="00D33C02" w:rsidRPr="003B5C99" w:rsidRDefault="00D33C02" w:rsidP="00D33C02">
            <w:pPr>
              <w:widowControl w:val="0"/>
              <w:suppressAutoHyphens/>
              <w:jc w:val="center"/>
              <w:cnfStyle w:val="100000000000"/>
              <w:rPr>
                <w:rFonts w:ascii="Times New Roman" w:hAnsi="Times New Roman"/>
                <w:b w:val="0"/>
                <w:noProof/>
                <w:sz w:val="20"/>
                <w:szCs w:val="20"/>
                <w:lang w:val="sr-Cyrl-CS"/>
              </w:rPr>
            </w:pPr>
            <w:r w:rsidRPr="003B5C99">
              <w:rPr>
                <w:rFonts w:ascii="Times New Roman" w:hAnsi="Times New Roman"/>
                <w:b w:val="0"/>
                <w:noProof/>
                <w:sz w:val="20"/>
                <w:szCs w:val="20"/>
                <w:lang w:val="sr-Cyrl-CS"/>
              </w:rPr>
              <w:t>висок ниво</w:t>
            </w:r>
          </w:p>
        </w:tc>
        <w:tc>
          <w:tcPr>
            <w:tcW w:w="1014" w:type="dxa"/>
            <w:vAlign w:val="center"/>
          </w:tcPr>
          <w:p w:rsidR="00D33C02" w:rsidRPr="003B5C99" w:rsidRDefault="00D33C02" w:rsidP="00D33C02">
            <w:pPr>
              <w:widowControl w:val="0"/>
              <w:suppressAutoHyphens/>
              <w:jc w:val="center"/>
              <w:cnfStyle w:val="100000000000"/>
              <w:rPr>
                <w:rFonts w:ascii="Times New Roman" w:hAnsi="Times New Roman"/>
                <w:b w:val="0"/>
                <w:noProof/>
                <w:sz w:val="20"/>
                <w:szCs w:val="20"/>
                <w:lang w:val="sr-Cyrl-CS"/>
              </w:rPr>
            </w:pPr>
            <w:r w:rsidRPr="003B5C99">
              <w:rPr>
                <w:rFonts w:ascii="Times New Roman" w:hAnsi="Times New Roman"/>
                <w:b w:val="0"/>
                <w:noProof/>
                <w:sz w:val="20"/>
                <w:szCs w:val="20"/>
                <w:lang w:val="sr-Cyrl-CS"/>
              </w:rPr>
              <w:t>средњи ниво</w:t>
            </w:r>
          </w:p>
        </w:tc>
        <w:tc>
          <w:tcPr>
            <w:tcW w:w="1015" w:type="dxa"/>
            <w:vAlign w:val="center"/>
          </w:tcPr>
          <w:p w:rsidR="00D33C02" w:rsidRPr="003B5C99" w:rsidRDefault="00D33C02" w:rsidP="00D33C02">
            <w:pPr>
              <w:widowControl w:val="0"/>
              <w:suppressAutoHyphens/>
              <w:jc w:val="center"/>
              <w:cnfStyle w:val="100000000000"/>
              <w:rPr>
                <w:rFonts w:ascii="Times New Roman" w:hAnsi="Times New Roman"/>
                <w:b w:val="0"/>
                <w:noProof/>
                <w:sz w:val="20"/>
                <w:szCs w:val="20"/>
                <w:lang w:val="sr-Cyrl-CS"/>
              </w:rPr>
            </w:pPr>
            <w:r w:rsidRPr="003B5C99">
              <w:rPr>
                <w:rFonts w:ascii="Times New Roman" w:hAnsi="Times New Roman"/>
                <w:b w:val="0"/>
                <w:noProof/>
                <w:sz w:val="20"/>
                <w:szCs w:val="20"/>
                <w:lang w:val="sr-Cyrl-CS"/>
              </w:rPr>
              <w:t>низак ниво</w:t>
            </w:r>
          </w:p>
        </w:tc>
        <w:tc>
          <w:tcPr>
            <w:tcW w:w="1014" w:type="dxa"/>
            <w:vAlign w:val="center"/>
          </w:tcPr>
          <w:p w:rsidR="00D33C02" w:rsidRPr="003B5C99" w:rsidRDefault="00D33C02" w:rsidP="00D33C02">
            <w:pPr>
              <w:widowControl w:val="0"/>
              <w:suppressAutoHyphens/>
              <w:jc w:val="center"/>
              <w:cnfStyle w:val="100000000000"/>
              <w:rPr>
                <w:rFonts w:ascii="Times New Roman" w:hAnsi="Times New Roman"/>
                <w:b w:val="0"/>
                <w:noProof/>
                <w:sz w:val="20"/>
                <w:szCs w:val="20"/>
                <w:lang w:val="sr-Cyrl-CS"/>
              </w:rPr>
            </w:pPr>
            <w:r w:rsidRPr="003B5C99">
              <w:rPr>
                <w:rFonts w:ascii="Times New Roman" w:hAnsi="Times New Roman"/>
                <w:b w:val="0"/>
                <w:noProof/>
                <w:sz w:val="20"/>
                <w:szCs w:val="20"/>
                <w:lang w:val="sr-Cyrl-CS"/>
              </w:rPr>
              <w:t>не уопште</w:t>
            </w:r>
          </w:p>
        </w:tc>
        <w:tc>
          <w:tcPr>
            <w:tcW w:w="1015" w:type="dxa"/>
            <w:vAlign w:val="center"/>
          </w:tcPr>
          <w:p w:rsidR="00D33C02" w:rsidRPr="003B5C99" w:rsidRDefault="00D33C02" w:rsidP="00D33C02">
            <w:pPr>
              <w:widowControl w:val="0"/>
              <w:suppressAutoHyphens/>
              <w:jc w:val="center"/>
              <w:cnfStyle w:val="100000000000"/>
              <w:rPr>
                <w:rFonts w:ascii="Times New Roman" w:hAnsi="Times New Roman"/>
                <w:b w:val="0"/>
                <w:bCs w:val="0"/>
                <w:noProof/>
                <w:sz w:val="20"/>
                <w:szCs w:val="20"/>
                <w:lang w:val="sr-Cyrl-CS"/>
              </w:rPr>
            </w:pPr>
            <w:r w:rsidRPr="003B5C99">
              <w:rPr>
                <w:rFonts w:ascii="Times New Roman" w:hAnsi="Times New Roman"/>
                <w:b w:val="0"/>
                <w:bCs w:val="0"/>
                <w:noProof/>
                <w:sz w:val="20"/>
                <w:szCs w:val="20"/>
                <w:lang w:val="sr-Cyrl-CS"/>
              </w:rPr>
              <w:t>без одговора</w:t>
            </w:r>
          </w:p>
        </w:tc>
      </w:tr>
      <w:tr w:rsidR="00D33C02" w:rsidRPr="003B5C99" w:rsidTr="00D33C02">
        <w:trPr>
          <w:cnfStyle w:val="000000100000"/>
          <w:trHeight w:val="209"/>
        </w:trPr>
        <w:tc>
          <w:tcPr>
            <w:cnfStyle w:val="001000000000"/>
            <w:tcW w:w="4225" w:type="dxa"/>
          </w:tcPr>
          <w:p w:rsidR="00D33C02" w:rsidRPr="003B5C99" w:rsidRDefault="00D33C02" w:rsidP="00D33C02">
            <w:pPr>
              <w:widowControl w:val="0"/>
              <w:suppressAutoHyphens/>
              <w:rPr>
                <w:rFonts w:ascii="Times New Roman" w:hAnsi="Times New Roman"/>
                <w:b w:val="0"/>
                <w:noProof/>
                <w:sz w:val="20"/>
                <w:szCs w:val="20"/>
                <w:lang w:val="sr-Cyrl-CS"/>
              </w:rPr>
            </w:pPr>
            <w:r w:rsidRPr="003B5C99">
              <w:rPr>
                <w:rFonts w:ascii="Times New Roman" w:hAnsi="Times New Roman"/>
                <w:b w:val="0"/>
                <w:noProof/>
                <w:sz w:val="20"/>
                <w:szCs w:val="20"/>
                <w:lang w:val="sr-Cyrl-CS"/>
              </w:rPr>
              <w:t>реконструкција значајних објеката и споменика у сврху туристичке промоције</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43,3%</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40,6%</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9,7%</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1,3%</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5,1%</w:t>
            </w:r>
          </w:p>
        </w:tc>
      </w:tr>
      <w:tr w:rsidR="00D33C02" w:rsidRPr="003B5C99" w:rsidTr="00D33C02">
        <w:trPr>
          <w:cnfStyle w:val="000000010000"/>
          <w:trHeight w:val="209"/>
        </w:trPr>
        <w:tc>
          <w:tcPr>
            <w:cnfStyle w:val="001000000000"/>
            <w:tcW w:w="4225" w:type="dxa"/>
          </w:tcPr>
          <w:p w:rsidR="00D33C02" w:rsidRPr="003B5C99" w:rsidRDefault="00D33C02" w:rsidP="00D33C02">
            <w:pPr>
              <w:widowControl w:val="0"/>
              <w:suppressAutoHyphens/>
              <w:rPr>
                <w:rFonts w:ascii="Times New Roman" w:hAnsi="Times New Roman"/>
                <w:b w:val="0"/>
                <w:noProof/>
                <w:sz w:val="20"/>
                <w:szCs w:val="20"/>
                <w:lang w:val="sr-Cyrl-CS"/>
              </w:rPr>
            </w:pPr>
            <w:r w:rsidRPr="003B5C99">
              <w:rPr>
                <w:rFonts w:ascii="Times New Roman" w:hAnsi="Times New Roman"/>
                <w:b w:val="0"/>
                <w:noProof/>
                <w:sz w:val="20"/>
                <w:szCs w:val="20"/>
                <w:lang w:val="sr-Cyrl-CS"/>
              </w:rPr>
              <w:t>туристички информативни центри на више пунктова у граду</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31%</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42,3%</w:t>
            </w:r>
          </w:p>
        </w:tc>
        <w:tc>
          <w:tcPr>
            <w:tcW w:w="1015"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18,4%</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2,2%</w:t>
            </w:r>
          </w:p>
        </w:tc>
        <w:tc>
          <w:tcPr>
            <w:tcW w:w="1015"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6,1%</w:t>
            </w:r>
          </w:p>
        </w:tc>
      </w:tr>
      <w:tr w:rsidR="00D33C02" w:rsidRPr="003B5C99" w:rsidTr="00D33C02">
        <w:trPr>
          <w:cnfStyle w:val="000000100000"/>
          <w:trHeight w:val="209"/>
        </w:trPr>
        <w:tc>
          <w:tcPr>
            <w:cnfStyle w:val="001000000000"/>
            <w:tcW w:w="4225" w:type="dxa"/>
          </w:tcPr>
          <w:p w:rsidR="00D33C02" w:rsidRPr="003B5C99" w:rsidRDefault="00D33C02" w:rsidP="00D33C02">
            <w:pPr>
              <w:widowControl w:val="0"/>
              <w:suppressAutoHyphens/>
              <w:rPr>
                <w:rFonts w:ascii="Times New Roman" w:hAnsi="Times New Roman"/>
                <w:b w:val="0"/>
                <w:noProof/>
                <w:sz w:val="20"/>
                <w:szCs w:val="20"/>
                <w:lang w:val="sr-Cyrl-CS"/>
              </w:rPr>
            </w:pPr>
            <w:r w:rsidRPr="003B5C99">
              <w:rPr>
                <w:rFonts w:ascii="Times New Roman" w:hAnsi="Times New Roman"/>
                <w:b w:val="0"/>
                <w:noProof/>
                <w:sz w:val="20"/>
                <w:szCs w:val="20"/>
                <w:lang w:val="sr-Cyrl-CS"/>
              </w:rPr>
              <w:t>штампане брошуре за презентацију културних потенцијала</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27,3%</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43,6%</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18,7%</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3%</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7,3%</w:t>
            </w:r>
          </w:p>
        </w:tc>
      </w:tr>
      <w:tr w:rsidR="00D33C02" w:rsidRPr="003B5C99" w:rsidTr="00D33C02">
        <w:trPr>
          <w:cnfStyle w:val="000000010000"/>
          <w:trHeight w:val="209"/>
        </w:trPr>
        <w:tc>
          <w:tcPr>
            <w:cnfStyle w:val="001000000000"/>
            <w:tcW w:w="4225" w:type="dxa"/>
          </w:tcPr>
          <w:p w:rsidR="00D33C02" w:rsidRPr="003B5C99" w:rsidRDefault="00D33C02" w:rsidP="00D33C02">
            <w:pPr>
              <w:widowControl w:val="0"/>
              <w:suppressAutoHyphens/>
              <w:rPr>
                <w:rFonts w:ascii="Times New Roman" w:hAnsi="Times New Roman"/>
                <w:b w:val="0"/>
                <w:noProof/>
                <w:sz w:val="20"/>
                <w:szCs w:val="20"/>
                <w:lang w:val="sr-Cyrl-CS"/>
              </w:rPr>
            </w:pPr>
            <w:r w:rsidRPr="003B5C99">
              <w:rPr>
                <w:rFonts w:ascii="Times New Roman" w:hAnsi="Times New Roman"/>
                <w:b w:val="0"/>
                <w:noProof/>
                <w:sz w:val="20"/>
                <w:szCs w:val="20"/>
                <w:lang w:val="sr-Cyrl-CS"/>
              </w:rPr>
              <w:t>дигиталне брошуре и мобилне апликације за презентацију културних потенцијала</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38,2%</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32,6%</w:t>
            </w:r>
          </w:p>
        </w:tc>
        <w:tc>
          <w:tcPr>
            <w:tcW w:w="1015"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17,9%</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3,8%</w:t>
            </w:r>
          </w:p>
        </w:tc>
        <w:tc>
          <w:tcPr>
            <w:tcW w:w="1015"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7,5%</w:t>
            </w:r>
          </w:p>
        </w:tc>
      </w:tr>
      <w:tr w:rsidR="00D33C02" w:rsidRPr="003B5C99" w:rsidTr="00D33C02">
        <w:trPr>
          <w:cnfStyle w:val="000000100000"/>
          <w:trHeight w:val="209"/>
        </w:trPr>
        <w:tc>
          <w:tcPr>
            <w:cnfStyle w:val="001000000000"/>
            <w:tcW w:w="4225" w:type="dxa"/>
          </w:tcPr>
          <w:p w:rsidR="00D33C02" w:rsidRPr="003B5C99" w:rsidRDefault="00D33C02" w:rsidP="00D33C02">
            <w:pPr>
              <w:widowControl w:val="0"/>
              <w:suppressAutoHyphens/>
              <w:rPr>
                <w:rFonts w:ascii="Times New Roman" w:hAnsi="Times New Roman"/>
                <w:b w:val="0"/>
                <w:noProof/>
                <w:sz w:val="20"/>
                <w:szCs w:val="20"/>
                <w:lang w:val="sr-Cyrl-CS"/>
              </w:rPr>
            </w:pPr>
            <w:r w:rsidRPr="003B5C99">
              <w:rPr>
                <w:rFonts w:ascii="Times New Roman" w:hAnsi="Times New Roman"/>
                <w:b w:val="0"/>
                <w:noProof/>
                <w:sz w:val="20"/>
                <w:szCs w:val="20"/>
                <w:lang w:val="sr-Cyrl-CS"/>
              </w:rPr>
              <w:t>квалитет туристичких услуга (смештај, паркинзи, љубазност особља)</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46,8%</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30,4%</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13,7%</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3,5%</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5,6%</w:t>
            </w:r>
          </w:p>
        </w:tc>
      </w:tr>
      <w:tr w:rsidR="00D33C02" w:rsidRPr="003B5C99" w:rsidTr="00D33C02">
        <w:trPr>
          <w:cnfStyle w:val="000000010000"/>
          <w:trHeight w:val="209"/>
        </w:trPr>
        <w:tc>
          <w:tcPr>
            <w:cnfStyle w:val="001000000000"/>
            <w:tcW w:w="4225" w:type="dxa"/>
          </w:tcPr>
          <w:p w:rsidR="00D33C02" w:rsidRPr="003B5C99" w:rsidRDefault="00D33C02" w:rsidP="00D33C02">
            <w:pPr>
              <w:widowControl w:val="0"/>
              <w:suppressAutoHyphens/>
              <w:rPr>
                <w:rFonts w:ascii="Times New Roman" w:hAnsi="Times New Roman"/>
                <w:b w:val="0"/>
                <w:noProof/>
                <w:sz w:val="20"/>
                <w:szCs w:val="20"/>
                <w:lang w:val="sr-Cyrl-CS"/>
              </w:rPr>
            </w:pPr>
            <w:r w:rsidRPr="003B5C99">
              <w:rPr>
                <w:rFonts w:ascii="Times New Roman" w:hAnsi="Times New Roman"/>
                <w:b w:val="0"/>
                <w:noProof/>
                <w:sz w:val="20"/>
                <w:szCs w:val="20"/>
                <w:lang w:val="sr-Cyrl-CS"/>
              </w:rPr>
              <w:t>квалитет културних догађаја</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55%</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30,5%</w:t>
            </w:r>
          </w:p>
        </w:tc>
        <w:tc>
          <w:tcPr>
            <w:tcW w:w="1015"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6,5%</w:t>
            </w:r>
          </w:p>
        </w:tc>
        <w:tc>
          <w:tcPr>
            <w:tcW w:w="1014"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1,4%</w:t>
            </w:r>
          </w:p>
        </w:tc>
        <w:tc>
          <w:tcPr>
            <w:tcW w:w="1015" w:type="dxa"/>
            <w:vAlign w:val="center"/>
          </w:tcPr>
          <w:p w:rsidR="00D33C02" w:rsidRPr="003B5C99" w:rsidRDefault="00D33C02" w:rsidP="00D33C02">
            <w:pPr>
              <w:widowControl w:val="0"/>
              <w:suppressAutoHyphens/>
              <w:jc w:val="center"/>
              <w:cnfStyle w:val="000000010000"/>
              <w:rPr>
                <w:rFonts w:eastAsia="Times New Roman" w:cs="Times New Roman"/>
                <w:bCs/>
                <w:noProof/>
                <w:szCs w:val="24"/>
                <w:lang w:val="sr-Cyrl-CS"/>
              </w:rPr>
            </w:pPr>
            <w:r w:rsidRPr="003B5C99">
              <w:rPr>
                <w:rFonts w:eastAsia="Times New Roman" w:cs="Times New Roman"/>
                <w:bCs/>
                <w:noProof/>
                <w:szCs w:val="24"/>
                <w:lang w:val="sr-Cyrl-CS"/>
              </w:rPr>
              <w:t>6,5%</w:t>
            </w:r>
          </w:p>
        </w:tc>
      </w:tr>
      <w:tr w:rsidR="00D33C02" w:rsidRPr="003B5C99" w:rsidTr="00D33C02">
        <w:trPr>
          <w:cnfStyle w:val="000000100000"/>
          <w:trHeight w:val="209"/>
        </w:trPr>
        <w:tc>
          <w:tcPr>
            <w:cnfStyle w:val="001000000000"/>
            <w:tcW w:w="4225" w:type="dxa"/>
          </w:tcPr>
          <w:p w:rsidR="00D33C02" w:rsidRPr="003B5C99" w:rsidRDefault="00D33C02" w:rsidP="00D33C02">
            <w:pPr>
              <w:widowControl w:val="0"/>
              <w:suppressAutoHyphens/>
              <w:rPr>
                <w:rFonts w:ascii="Times New Roman" w:hAnsi="Times New Roman"/>
                <w:b w:val="0"/>
                <w:noProof/>
                <w:sz w:val="20"/>
                <w:szCs w:val="20"/>
                <w:lang w:val="sr-Cyrl-CS"/>
              </w:rPr>
            </w:pPr>
            <w:r w:rsidRPr="003B5C99">
              <w:rPr>
                <w:rFonts w:ascii="Times New Roman" w:hAnsi="Times New Roman"/>
                <w:b w:val="0"/>
                <w:noProof/>
                <w:sz w:val="20"/>
                <w:szCs w:val="20"/>
                <w:lang w:val="sr-Cyrl-CS"/>
              </w:rPr>
              <w:t>промоција града као културне дестинације</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51%</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32,4%</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9,3%</w:t>
            </w:r>
          </w:p>
        </w:tc>
        <w:tc>
          <w:tcPr>
            <w:tcW w:w="1014"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2,1%</w:t>
            </w:r>
          </w:p>
        </w:tc>
        <w:tc>
          <w:tcPr>
            <w:tcW w:w="1015" w:type="dxa"/>
            <w:vAlign w:val="center"/>
          </w:tcPr>
          <w:p w:rsidR="00D33C02" w:rsidRPr="003B5C99" w:rsidRDefault="00D33C02" w:rsidP="00D33C02">
            <w:pPr>
              <w:widowControl w:val="0"/>
              <w:suppressAutoHyphens/>
              <w:jc w:val="center"/>
              <w:cnfStyle w:val="000000100000"/>
              <w:rPr>
                <w:rFonts w:eastAsia="Times New Roman" w:cs="Times New Roman"/>
                <w:bCs/>
                <w:noProof/>
                <w:szCs w:val="24"/>
                <w:lang w:val="sr-Cyrl-CS"/>
              </w:rPr>
            </w:pPr>
            <w:r w:rsidRPr="003B5C99">
              <w:rPr>
                <w:rFonts w:eastAsia="Times New Roman" w:cs="Times New Roman"/>
                <w:bCs/>
                <w:noProof/>
                <w:szCs w:val="24"/>
                <w:lang w:val="sr-Cyrl-CS"/>
              </w:rPr>
              <w:t>5,3%</w:t>
            </w:r>
          </w:p>
        </w:tc>
      </w:tr>
    </w:tbl>
    <w:p w:rsidR="00D33C02" w:rsidRPr="00D33C02" w:rsidRDefault="00D33C02" w:rsidP="003B5C99">
      <w:pPr>
        <w:spacing w:after="0"/>
        <w:jc w:val="both"/>
        <w:rPr>
          <w:rFonts w:ascii="Times New Roman" w:hAnsi="Times New Roman" w:cs="Times New Roman"/>
          <w:color w:val="FF0000"/>
          <w:sz w:val="24"/>
          <w:szCs w:val="24"/>
        </w:rPr>
      </w:pPr>
    </w:p>
    <w:p w:rsidR="00D33C02" w:rsidRPr="00CF5856" w:rsidRDefault="00D33C0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t>Судећи по одговорима испитаника у делу који се тиче идентитета града, његових основних симбола и потенцијала за развој културног туризма, испитани грађани слажу се да то пре свега треба да буду фестивали и манифестације. Доносиоци одлука би управо ово требало да имају у виду када је реч о подршци културним програмима. Мишљење грађана је јасно да је Сомбор успео кроз неколико значајних фестивала да изгради имиџ града културе и ту се пре свега наводе Позоришни маратон, СОМУС, Ликовна јесен, промоција мултикултуралности и неговања традиције и наслеђа различитих етничких заједница које живе на територији Сомбора, као и фестивала за младе.</w:t>
      </w:r>
    </w:p>
    <w:p w:rsidR="00D33C02" w:rsidRPr="00CF5856" w:rsidRDefault="00D33C0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lastRenderedPageBreak/>
        <w:t xml:space="preserve">Интересантно је да испитаници у развоју дигиталних модела презентације града у области културе виде значајан потенцијал, односно већи од традиционалних модела путем брошура и туристичких пунктова. Највећи број оних који у томе виде низак или уопште не виде потенцијал припадају најниже образованим са једне стране, и најстаријим суграђанима са друге стране, што није изненађење узимајући у обзир податке да ове категорије најмање користе информационе технологије. Високообразовани и припадници млађих генерација у овоме виде значајну шансу развоја културног туризма и привлачења туриста, па самим тим и могућност за економски развој града.   </w:t>
      </w:r>
    </w:p>
    <w:p w:rsidR="00D33C02" w:rsidRPr="00CF5856" w:rsidRDefault="00D33C0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t xml:space="preserve">На списак значајних потенцијала неколико грађана додало је и друге могућности развоја културног туризма, попут развоја сеоског и спортског туризма, и промоцију гастрономије, њене разноликости и гастрохеритолошких одлика овог краја. </w:t>
      </w:r>
    </w:p>
    <w:p w:rsidR="00506B52" w:rsidRPr="00CF5856" w:rsidRDefault="00506B52" w:rsidP="003B5C99">
      <w:pPr>
        <w:ind w:firstLine="720"/>
        <w:jc w:val="both"/>
        <w:rPr>
          <w:rFonts w:ascii="Times New Roman" w:hAnsi="Times New Roman" w:cs="Times New Roman"/>
          <w:sz w:val="24"/>
          <w:szCs w:val="24"/>
          <w:lang/>
        </w:rPr>
      </w:pPr>
      <w:r w:rsidRPr="00CF5856">
        <w:rPr>
          <w:rFonts w:ascii="Times New Roman" w:hAnsi="Times New Roman" w:cs="Times New Roman"/>
          <w:sz w:val="24"/>
          <w:szCs w:val="24"/>
          <w:lang/>
        </w:rPr>
        <w:t xml:space="preserve">Када је реч о </w:t>
      </w:r>
      <w:r w:rsidR="00CD0144" w:rsidRPr="00CF5856">
        <w:rPr>
          <w:rFonts w:ascii="Times New Roman" w:hAnsi="Times New Roman" w:cs="Times New Roman"/>
          <w:sz w:val="24"/>
          <w:szCs w:val="24"/>
          <w:lang/>
        </w:rPr>
        <w:t xml:space="preserve">елементима културе који би требало подржати у наредном периоду ставови запослених и грађана показују значајне разлике. Иако и публика као и запослени у установама културе сматра да треба улагати у дворце у околини Сомбора, публика је приметно више окренута манастирима и црквама у односу на културне делатнике, знатно више подржава позоришно стваралаштво и традицију сомборског театра, као и ликовно стваралаштво Сомбораца, мимо Галерије „Милан Коњовић“. </w:t>
      </w:r>
    </w:p>
    <w:p w:rsidR="00506B52" w:rsidRPr="00BB312B" w:rsidRDefault="00506B52" w:rsidP="00506B5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rPr>
        <w:t xml:space="preserve">Табела 8: </w:t>
      </w:r>
      <w:r w:rsidRPr="00992F08">
        <w:rPr>
          <w:rFonts w:ascii="Times New Roman" w:hAnsi="Times New Roman" w:cs="Times New Roman"/>
          <w:sz w:val="24"/>
          <w:szCs w:val="24"/>
          <w:lang/>
        </w:rPr>
        <w:t>Објекти и особености које би требало посебно подржати</w:t>
      </w:r>
      <w:r w:rsidRPr="00AC0FF1">
        <w:rPr>
          <w:rFonts w:ascii="Times New Roman" w:hAnsi="Times New Roman" w:cs="Times New Roman"/>
          <w:sz w:val="24"/>
          <w:szCs w:val="24"/>
          <w:lang/>
        </w:rPr>
        <w:t xml:space="preserve"> </w:t>
      </w:r>
    </w:p>
    <w:tbl>
      <w:tblPr>
        <w:tblStyle w:val="GridTable4-Accent11"/>
        <w:tblW w:w="0" w:type="auto"/>
        <w:tblLook w:val="04A0"/>
      </w:tblPr>
      <w:tblGrid>
        <w:gridCol w:w="7366"/>
        <w:gridCol w:w="1158"/>
        <w:gridCol w:w="1015"/>
      </w:tblGrid>
      <w:tr w:rsidR="00506B52" w:rsidRPr="00B0554F" w:rsidTr="00506B52">
        <w:trPr>
          <w:cnfStyle w:val="100000000000"/>
        </w:trPr>
        <w:tc>
          <w:tcPr>
            <w:cnfStyle w:val="001000000000"/>
            <w:tcW w:w="7366" w:type="dxa"/>
            <w:vAlign w:val="center"/>
          </w:tcPr>
          <w:p w:rsidR="00506B52" w:rsidRPr="00B0554F" w:rsidRDefault="00506B52" w:rsidP="008F6A37">
            <w:pPr>
              <w:spacing w:line="276" w:lineRule="auto"/>
              <w:jc w:val="both"/>
              <w:rPr>
                <w:b w:val="0"/>
                <w:lang/>
              </w:rPr>
            </w:pPr>
            <w:r w:rsidRPr="00B0554F">
              <w:rPr>
                <w:b w:val="0"/>
                <w:lang/>
              </w:rPr>
              <w:t>Објекти и особености које би требало посебно подржати</w:t>
            </w:r>
          </w:p>
        </w:tc>
        <w:tc>
          <w:tcPr>
            <w:tcW w:w="969" w:type="dxa"/>
            <w:vAlign w:val="center"/>
          </w:tcPr>
          <w:p w:rsidR="00506B52" w:rsidRPr="00506B52" w:rsidRDefault="00506B52" w:rsidP="008F6A37">
            <w:pPr>
              <w:spacing w:line="276" w:lineRule="auto"/>
              <w:jc w:val="center"/>
              <w:cnfStyle w:val="100000000000"/>
              <w:rPr>
                <w:lang/>
              </w:rPr>
            </w:pPr>
            <w:r w:rsidRPr="00506B52">
              <w:rPr>
                <w:lang/>
              </w:rPr>
              <w:t>Запослени</w:t>
            </w:r>
          </w:p>
        </w:tc>
        <w:tc>
          <w:tcPr>
            <w:tcW w:w="1015" w:type="dxa"/>
          </w:tcPr>
          <w:p w:rsidR="00506B52" w:rsidRPr="00506B52" w:rsidRDefault="00506B52" w:rsidP="008F6A37">
            <w:pPr>
              <w:spacing w:line="276" w:lineRule="auto"/>
              <w:jc w:val="center"/>
              <w:cnfStyle w:val="100000000000"/>
              <w:rPr>
                <w:lang/>
              </w:rPr>
            </w:pPr>
            <w:r w:rsidRPr="00506B52">
              <w:rPr>
                <w:lang/>
              </w:rPr>
              <w:t>Публика</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Дворци у околини Сомбора</w:t>
            </w:r>
          </w:p>
        </w:tc>
        <w:tc>
          <w:tcPr>
            <w:tcW w:w="969" w:type="dxa"/>
            <w:vAlign w:val="center"/>
          </w:tcPr>
          <w:p w:rsidR="00506B52" w:rsidRPr="00B0554F" w:rsidRDefault="00506B52" w:rsidP="008F6A37">
            <w:pPr>
              <w:jc w:val="center"/>
              <w:cnfStyle w:val="000000100000"/>
              <w:rPr>
                <w:lang/>
              </w:rPr>
            </w:pPr>
            <w:r>
              <w:rPr>
                <w:lang/>
              </w:rPr>
              <w:t>41,</w:t>
            </w:r>
            <w:r w:rsidRPr="00B0554F">
              <w:rPr>
                <w:lang/>
              </w:rPr>
              <w:t>9%</w:t>
            </w:r>
          </w:p>
        </w:tc>
        <w:tc>
          <w:tcPr>
            <w:tcW w:w="1015" w:type="dxa"/>
            <w:vAlign w:val="center"/>
          </w:tcPr>
          <w:p w:rsidR="00506B52" w:rsidRPr="00B0554F" w:rsidRDefault="00506B52" w:rsidP="008F6A37">
            <w:pPr>
              <w:jc w:val="center"/>
              <w:cnfStyle w:val="000000100000"/>
              <w:rPr>
                <w:lang/>
              </w:rPr>
            </w:pPr>
            <w:r>
              <w:rPr>
                <w:lang/>
              </w:rPr>
              <w:t>39,8%</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Објекти и простор старог градског језгра</w:t>
            </w:r>
          </w:p>
        </w:tc>
        <w:tc>
          <w:tcPr>
            <w:tcW w:w="969" w:type="dxa"/>
            <w:vAlign w:val="center"/>
          </w:tcPr>
          <w:p w:rsidR="00506B52" w:rsidRPr="00B0554F" w:rsidRDefault="00506B52" w:rsidP="008F6A37">
            <w:pPr>
              <w:jc w:val="center"/>
              <w:cnfStyle w:val="000000000000"/>
              <w:rPr>
                <w:lang/>
              </w:rPr>
            </w:pPr>
            <w:r>
              <w:rPr>
                <w:lang/>
              </w:rPr>
              <w:t>30,</w:t>
            </w:r>
            <w:r w:rsidRPr="00B0554F">
              <w:rPr>
                <w:lang/>
              </w:rPr>
              <w:t>2%</w:t>
            </w:r>
          </w:p>
        </w:tc>
        <w:tc>
          <w:tcPr>
            <w:tcW w:w="1015" w:type="dxa"/>
            <w:vAlign w:val="center"/>
          </w:tcPr>
          <w:p w:rsidR="00506B52" w:rsidRPr="00B0554F" w:rsidRDefault="00506B52" w:rsidP="008F6A37">
            <w:pPr>
              <w:jc w:val="center"/>
              <w:cnfStyle w:val="000000000000"/>
              <w:rPr>
                <w:lang/>
              </w:rPr>
            </w:pPr>
            <w:r>
              <w:rPr>
                <w:lang/>
              </w:rPr>
              <w:t>18,8%</w:t>
            </w:r>
          </w:p>
        </w:tc>
      </w:tr>
      <w:tr w:rsidR="00506B52" w:rsidRPr="00B0554F" w:rsidTr="00506B52">
        <w:trPr>
          <w:cnfStyle w:val="000000100000"/>
        </w:trPr>
        <w:tc>
          <w:tcPr>
            <w:cnfStyle w:val="001000000000"/>
            <w:tcW w:w="7366" w:type="dxa"/>
            <w:vAlign w:val="center"/>
          </w:tcPr>
          <w:p w:rsidR="00506B52" w:rsidRPr="00B0554F" w:rsidRDefault="00506B52" w:rsidP="00CD0144">
            <w:pPr>
              <w:rPr>
                <w:lang/>
              </w:rPr>
            </w:pPr>
            <w:r w:rsidRPr="00B0554F">
              <w:rPr>
                <w:lang/>
              </w:rPr>
              <w:t>Стари занати Сомбора (стапарски ћилим, бездански дамаст,</w:t>
            </w:r>
            <w:r w:rsidR="00CD0144">
              <w:rPr>
                <w:lang/>
              </w:rPr>
              <w:t xml:space="preserve"> сир...</w:t>
            </w:r>
            <w:r>
              <w:rPr>
                <w:lang/>
              </w:rPr>
              <w:t>)</w:t>
            </w:r>
          </w:p>
        </w:tc>
        <w:tc>
          <w:tcPr>
            <w:tcW w:w="969" w:type="dxa"/>
            <w:vAlign w:val="center"/>
          </w:tcPr>
          <w:p w:rsidR="00506B52" w:rsidRPr="00B0554F" w:rsidRDefault="00506B52" w:rsidP="008F6A37">
            <w:pPr>
              <w:jc w:val="center"/>
              <w:cnfStyle w:val="000000100000"/>
              <w:rPr>
                <w:lang/>
              </w:rPr>
            </w:pPr>
            <w:r w:rsidRPr="00B0554F">
              <w:rPr>
                <w:lang/>
              </w:rPr>
              <w:t>2</w:t>
            </w:r>
            <w:r>
              <w:rPr>
                <w:lang/>
              </w:rPr>
              <w:t>7,</w:t>
            </w:r>
            <w:r w:rsidRPr="00B0554F">
              <w:rPr>
                <w:lang/>
              </w:rPr>
              <w:t>9%</w:t>
            </w:r>
          </w:p>
        </w:tc>
        <w:tc>
          <w:tcPr>
            <w:tcW w:w="1015" w:type="dxa"/>
            <w:vAlign w:val="center"/>
          </w:tcPr>
          <w:p w:rsidR="00506B52" w:rsidRPr="00B0554F" w:rsidRDefault="00506B52" w:rsidP="008F6A37">
            <w:pPr>
              <w:jc w:val="center"/>
              <w:cnfStyle w:val="000000100000"/>
              <w:rPr>
                <w:lang/>
              </w:rPr>
            </w:pPr>
            <w:r>
              <w:rPr>
                <w:lang/>
              </w:rPr>
              <w:t>34,3%</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Фестивали</w:t>
            </w:r>
          </w:p>
        </w:tc>
        <w:tc>
          <w:tcPr>
            <w:tcW w:w="969" w:type="dxa"/>
            <w:vAlign w:val="center"/>
          </w:tcPr>
          <w:p w:rsidR="00506B52" w:rsidRPr="00B0554F" w:rsidRDefault="00506B52" w:rsidP="008F6A37">
            <w:pPr>
              <w:jc w:val="center"/>
              <w:cnfStyle w:val="000000000000"/>
              <w:rPr>
                <w:lang/>
              </w:rPr>
            </w:pPr>
            <w:r>
              <w:rPr>
                <w:lang/>
              </w:rPr>
              <w:t>27,</w:t>
            </w:r>
            <w:r w:rsidRPr="00B0554F">
              <w:rPr>
                <w:lang/>
              </w:rPr>
              <w:t>9%</w:t>
            </w:r>
          </w:p>
        </w:tc>
        <w:tc>
          <w:tcPr>
            <w:tcW w:w="1015" w:type="dxa"/>
            <w:vAlign w:val="center"/>
          </w:tcPr>
          <w:p w:rsidR="00506B52" w:rsidRPr="00B0554F" w:rsidRDefault="00506B52" w:rsidP="008F6A37">
            <w:pPr>
              <w:jc w:val="center"/>
              <w:cnfStyle w:val="000000000000"/>
              <w:rPr>
                <w:lang/>
              </w:rPr>
            </w:pPr>
            <w:r>
              <w:rPr>
                <w:lang/>
              </w:rPr>
              <w:t>14,4%</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Резерват биосфере Бачко Подунавље</w:t>
            </w:r>
          </w:p>
        </w:tc>
        <w:tc>
          <w:tcPr>
            <w:tcW w:w="969" w:type="dxa"/>
            <w:vAlign w:val="center"/>
          </w:tcPr>
          <w:p w:rsidR="00506B52" w:rsidRPr="00B0554F" w:rsidRDefault="00506B52" w:rsidP="008F6A37">
            <w:pPr>
              <w:jc w:val="center"/>
              <w:cnfStyle w:val="000000100000"/>
              <w:rPr>
                <w:lang/>
              </w:rPr>
            </w:pPr>
            <w:r>
              <w:rPr>
                <w:lang/>
              </w:rPr>
              <w:t>25,</w:t>
            </w:r>
            <w:r w:rsidRPr="00B0554F">
              <w:rPr>
                <w:lang/>
              </w:rPr>
              <w:t>6%</w:t>
            </w:r>
          </w:p>
        </w:tc>
        <w:tc>
          <w:tcPr>
            <w:tcW w:w="1015" w:type="dxa"/>
            <w:vAlign w:val="center"/>
          </w:tcPr>
          <w:p w:rsidR="00506B52" w:rsidRPr="00B0554F" w:rsidRDefault="00506B52" w:rsidP="008F6A37">
            <w:pPr>
              <w:jc w:val="center"/>
              <w:cnfStyle w:val="000000100000"/>
              <w:rPr>
                <w:lang/>
              </w:rPr>
            </w:pPr>
            <w:r>
              <w:rPr>
                <w:lang/>
              </w:rPr>
              <w:t>13,3%</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Градски музеј Сомбор</w:t>
            </w:r>
          </w:p>
        </w:tc>
        <w:tc>
          <w:tcPr>
            <w:tcW w:w="969" w:type="dxa"/>
            <w:vAlign w:val="center"/>
          </w:tcPr>
          <w:p w:rsidR="00506B52" w:rsidRPr="00B0554F" w:rsidRDefault="00506B52" w:rsidP="008F6A37">
            <w:pPr>
              <w:jc w:val="center"/>
              <w:cnfStyle w:val="000000000000"/>
              <w:rPr>
                <w:lang/>
              </w:rPr>
            </w:pPr>
            <w:r>
              <w:rPr>
                <w:lang/>
              </w:rPr>
              <w:t>23,</w:t>
            </w:r>
            <w:r w:rsidRPr="00B0554F">
              <w:rPr>
                <w:lang/>
              </w:rPr>
              <w:t>3%</w:t>
            </w:r>
          </w:p>
        </w:tc>
        <w:tc>
          <w:tcPr>
            <w:tcW w:w="1015" w:type="dxa"/>
            <w:vAlign w:val="center"/>
          </w:tcPr>
          <w:p w:rsidR="00506B52" w:rsidRPr="00B0554F" w:rsidRDefault="00506B52" w:rsidP="008F6A37">
            <w:pPr>
              <w:jc w:val="center"/>
              <w:cnfStyle w:val="000000000000"/>
              <w:rPr>
                <w:lang/>
              </w:rPr>
            </w:pPr>
            <w:r>
              <w:rPr>
                <w:lang/>
              </w:rPr>
              <w:t>16,1%</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Мултикултурни карактер</w:t>
            </w:r>
          </w:p>
        </w:tc>
        <w:tc>
          <w:tcPr>
            <w:tcW w:w="969" w:type="dxa"/>
            <w:vAlign w:val="center"/>
          </w:tcPr>
          <w:p w:rsidR="00506B52" w:rsidRPr="00B0554F" w:rsidRDefault="00506B52" w:rsidP="008F6A37">
            <w:pPr>
              <w:jc w:val="center"/>
              <w:cnfStyle w:val="000000100000"/>
              <w:rPr>
                <w:lang/>
              </w:rPr>
            </w:pPr>
            <w:r>
              <w:rPr>
                <w:lang/>
              </w:rPr>
              <w:t>18,</w:t>
            </w:r>
            <w:r w:rsidRPr="00B0554F">
              <w:rPr>
                <w:lang/>
              </w:rPr>
              <w:t>6%</w:t>
            </w:r>
          </w:p>
        </w:tc>
        <w:tc>
          <w:tcPr>
            <w:tcW w:w="1015" w:type="dxa"/>
            <w:vAlign w:val="center"/>
          </w:tcPr>
          <w:p w:rsidR="00506B52" w:rsidRPr="00B0554F" w:rsidRDefault="00506B52" w:rsidP="008F6A37">
            <w:pPr>
              <w:jc w:val="center"/>
              <w:cnfStyle w:val="000000100000"/>
              <w:rPr>
                <w:lang/>
              </w:rPr>
            </w:pPr>
            <w:r>
              <w:rPr>
                <w:lang/>
              </w:rPr>
              <w:t>8,5%</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Позоришно стваралаштво</w:t>
            </w:r>
          </w:p>
        </w:tc>
        <w:tc>
          <w:tcPr>
            <w:tcW w:w="969" w:type="dxa"/>
            <w:vAlign w:val="center"/>
          </w:tcPr>
          <w:p w:rsidR="00506B52" w:rsidRPr="00B0554F" w:rsidRDefault="00506B52" w:rsidP="008F6A37">
            <w:pPr>
              <w:jc w:val="center"/>
              <w:cnfStyle w:val="000000000000"/>
              <w:rPr>
                <w:lang/>
              </w:rPr>
            </w:pPr>
            <w:r>
              <w:rPr>
                <w:lang/>
              </w:rPr>
              <w:t>14,</w:t>
            </w:r>
            <w:r w:rsidRPr="00B0554F">
              <w:rPr>
                <w:lang/>
              </w:rPr>
              <w:t>0%</w:t>
            </w:r>
          </w:p>
        </w:tc>
        <w:tc>
          <w:tcPr>
            <w:tcW w:w="1015" w:type="dxa"/>
            <w:vAlign w:val="center"/>
          </w:tcPr>
          <w:p w:rsidR="00506B52" w:rsidRPr="00B0554F" w:rsidRDefault="00506B52" w:rsidP="008F6A37">
            <w:pPr>
              <w:jc w:val="center"/>
              <w:cnfStyle w:val="000000000000"/>
              <w:rPr>
                <w:lang/>
              </w:rPr>
            </w:pPr>
            <w:r>
              <w:rPr>
                <w:lang/>
              </w:rPr>
              <w:t>26,6%</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Књижевна традиција и стваралаштво</w:t>
            </w:r>
          </w:p>
        </w:tc>
        <w:tc>
          <w:tcPr>
            <w:tcW w:w="969" w:type="dxa"/>
            <w:vAlign w:val="center"/>
          </w:tcPr>
          <w:p w:rsidR="00506B52" w:rsidRPr="00B0554F" w:rsidRDefault="00506B52" w:rsidP="008F6A37">
            <w:pPr>
              <w:jc w:val="center"/>
              <w:cnfStyle w:val="000000100000"/>
              <w:rPr>
                <w:lang/>
              </w:rPr>
            </w:pPr>
            <w:r>
              <w:rPr>
                <w:lang/>
              </w:rPr>
              <w:t>14,</w:t>
            </w:r>
            <w:r w:rsidRPr="00B0554F">
              <w:rPr>
                <w:lang/>
              </w:rPr>
              <w:t>0%</w:t>
            </w:r>
          </w:p>
        </w:tc>
        <w:tc>
          <w:tcPr>
            <w:tcW w:w="1015" w:type="dxa"/>
            <w:vAlign w:val="center"/>
          </w:tcPr>
          <w:p w:rsidR="00506B52" w:rsidRPr="00B0554F" w:rsidRDefault="00506B52" w:rsidP="008F6A37">
            <w:pPr>
              <w:jc w:val="center"/>
              <w:cnfStyle w:val="000000100000"/>
              <w:rPr>
                <w:lang/>
              </w:rPr>
            </w:pPr>
            <w:r>
              <w:rPr>
                <w:lang/>
              </w:rPr>
              <w:t>8,2%</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Сликарска традиција и Галерија „Милан Коњовић“</w:t>
            </w:r>
          </w:p>
        </w:tc>
        <w:tc>
          <w:tcPr>
            <w:tcW w:w="969" w:type="dxa"/>
            <w:vAlign w:val="center"/>
          </w:tcPr>
          <w:p w:rsidR="00506B52" w:rsidRPr="00B0554F" w:rsidRDefault="00506B52" w:rsidP="008F6A37">
            <w:pPr>
              <w:jc w:val="center"/>
              <w:cnfStyle w:val="000000000000"/>
              <w:rPr>
                <w:lang/>
              </w:rPr>
            </w:pPr>
            <w:r>
              <w:rPr>
                <w:lang/>
              </w:rPr>
              <w:t>11,</w:t>
            </w:r>
            <w:r w:rsidRPr="00B0554F">
              <w:rPr>
                <w:lang/>
              </w:rPr>
              <w:t>6%</w:t>
            </w:r>
          </w:p>
        </w:tc>
        <w:tc>
          <w:tcPr>
            <w:tcW w:w="1015" w:type="dxa"/>
            <w:vAlign w:val="center"/>
          </w:tcPr>
          <w:p w:rsidR="00506B52" w:rsidRPr="00B0554F" w:rsidRDefault="00506B52" w:rsidP="008F6A37">
            <w:pPr>
              <w:jc w:val="center"/>
              <w:cnfStyle w:val="000000000000"/>
              <w:rPr>
                <w:lang/>
              </w:rPr>
            </w:pPr>
            <w:r>
              <w:rPr>
                <w:lang/>
              </w:rPr>
              <w:t>12,7%</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Манастири (Манастир Светог архиђакона Стевана, Фрањевачки манастир и Кармелићански манастир</w:t>
            </w:r>
          </w:p>
        </w:tc>
        <w:tc>
          <w:tcPr>
            <w:tcW w:w="969" w:type="dxa"/>
            <w:vAlign w:val="center"/>
          </w:tcPr>
          <w:p w:rsidR="00506B52" w:rsidRPr="00B0554F" w:rsidRDefault="00506B52" w:rsidP="008F6A37">
            <w:pPr>
              <w:jc w:val="center"/>
              <w:cnfStyle w:val="000000100000"/>
              <w:rPr>
                <w:lang/>
              </w:rPr>
            </w:pPr>
            <w:r>
              <w:rPr>
                <w:lang/>
              </w:rPr>
              <w:t>9,</w:t>
            </w:r>
            <w:r w:rsidRPr="00B0554F">
              <w:rPr>
                <w:lang/>
              </w:rPr>
              <w:t>3%</w:t>
            </w:r>
          </w:p>
        </w:tc>
        <w:tc>
          <w:tcPr>
            <w:tcW w:w="1015" w:type="dxa"/>
            <w:vAlign w:val="center"/>
          </w:tcPr>
          <w:p w:rsidR="00506B52" w:rsidRPr="00B0554F" w:rsidRDefault="00506B52" w:rsidP="008F6A37">
            <w:pPr>
              <w:jc w:val="center"/>
              <w:cnfStyle w:val="000000100000"/>
              <w:rPr>
                <w:lang/>
              </w:rPr>
            </w:pPr>
            <w:r>
              <w:rPr>
                <w:lang/>
              </w:rPr>
              <w:t>16,2%</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Филмска традиција и стваралаштво</w:t>
            </w:r>
          </w:p>
        </w:tc>
        <w:tc>
          <w:tcPr>
            <w:tcW w:w="969" w:type="dxa"/>
            <w:vAlign w:val="center"/>
          </w:tcPr>
          <w:p w:rsidR="00506B52" w:rsidRPr="00B0554F" w:rsidRDefault="00506B52" w:rsidP="008F6A37">
            <w:pPr>
              <w:jc w:val="center"/>
              <w:cnfStyle w:val="000000000000"/>
              <w:rPr>
                <w:lang/>
              </w:rPr>
            </w:pPr>
            <w:r>
              <w:rPr>
                <w:lang/>
              </w:rPr>
              <w:t>9,</w:t>
            </w:r>
            <w:r w:rsidRPr="00B0554F">
              <w:rPr>
                <w:lang/>
              </w:rPr>
              <w:t>3%</w:t>
            </w:r>
          </w:p>
        </w:tc>
        <w:tc>
          <w:tcPr>
            <w:tcW w:w="1015" w:type="dxa"/>
            <w:vAlign w:val="center"/>
          </w:tcPr>
          <w:p w:rsidR="00506B52" w:rsidRPr="00B0554F" w:rsidRDefault="00506B52" w:rsidP="008F6A37">
            <w:pPr>
              <w:jc w:val="center"/>
              <w:cnfStyle w:val="000000000000"/>
              <w:rPr>
                <w:lang/>
              </w:rPr>
            </w:pPr>
            <w:r>
              <w:rPr>
                <w:lang/>
              </w:rPr>
              <w:t>10,6%</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Споменици индустријске архитектуре (преводница код Бездана и сл.)</w:t>
            </w:r>
          </w:p>
        </w:tc>
        <w:tc>
          <w:tcPr>
            <w:tcW w:w="969" w:type="dxa"/>
            <w:vAlign w:val="center"/>
          </w:tcPr>
          <w:p w:rsidR="00506B52" w:rsidRPr="00B0554F" w:rsidRDefault="00506B52" w:rsidP="008F6A37">
            <w:pPr>
              <w:jc w:val="center"/>
              <w:cnfStyle w:val="000000100000"/>
              <w:rPr>
                <w:lang/>
              </w:rPr>
            </w:pPr>
            <w:r>
              <w:rPr>
                <w:lang/>
              </w:rPr>
              <w:t>7,</w:t>
            </w:r>
            <w:r w:rsidRPr="00B0554F">
              <w:rPr>
                <w:lang/>
              </w:rPr>
              <w:t>0%</w:t>
            </w:r>
          </w:p>
        </w:tc>
        <w:tc>
          <w:tcPr>
            <w:tcW w:w="1015" w:type="dxa"/>
            <w:vAlign w:val="center"/>
          </w:tcPr>
          <w:p w:rsidR="00506B52" w:rsidRPr="00B0554F" w:rsidRDefault="00506B52" w:rsidP="008F6A37">
            <w:pPr>
              <w:jc w:val="center"/>
              <w:cnfStyle w:val="000000100000"/>
              <w:rPr>
                <w:lang/>
              </w:rPr>
            </w:pPr>
            <w:r>
              <w:rPr>
                <w:lang/>
              </w:rPr>
              <w:t>4,5%</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Цркве – барокне грађевине</w:t>
            </w:r>
          </w:p>
        </w:tc>
        <w:tc>
          <w:tcPr>
            <w:tcW w:w="969" w:type="dxa"/>
            <w:vAlign w:val="center"/>
          </w:tcPr>
          <w:p w:rsidR="00506B52" w:rsidRPr="00B0554F" w:rsidRDefault="00506B52" w:rsidP="008F6A37">
            <w:pPr>
              <w:jc w:val="center"/>
              <w:cnfStyle w:val="000000000000"/>
              <w:rPr>
                <w:lang/>
              </w:rPr>
            </w:pPr>
            <w:r>
              <w:rPr>
                <w:lang/>
              </w:rPr>
              <w:t>4,</w:t>
            </w:r>
            <w:r w:rsidRPr="00B0554F">
              <w:rPr>
                <w:lang/>
              </w:rPr>
              <w:t>7%</w:t>
            </w:r>
          </w:p>
        </w:tc>
        <w:tc>
          <w:tcPr>
            <w:tcW w:w="1015" w:type="dxa"/>
            <w:vAlign w:val="center"/>
          </w:tcPr>
          <w:p w:rsidR="00506B52" w:rsidRPr="00B0554F" w:rsidRDefault="00506B52" w:rsidP="008F6A37">
            <w:pPr>
              <w:jc w:val="center"/>
              <w:cnfStyle w:val="000000000000"/>
              <w:rPr>
                <w:lang/>
              </w:rPr>
            </w:pPr>
            <w:r>
              <w:rPr>
                <w:lang/>
              </w:rPr>
              <w:t>19,1%</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Стратишта Подунавских Немаца (Гаково, Крушевље, Кронић палата)</w:t>
            </w:r>
          </w:p>
        </w:tc>
        <w:tc>
          <w:tcPr>
            <w:tcW w:w="969" w:type="dxa"/>
            <w:vAlign w:val="center"/>
          </w:tcPr>
          <w:p w:rsidR="00506B52" w:rsidRPr="00B0554F" w:rsidRDefault="00506B52" w:rsidP="008F6A37">
            <w:pPr>
              <w:jc w:val="center"/>
              <w:cnfStyle w:val="000000100000"/>
              <w:rPr>
                <w:lang/>
              </w:rPr>
            </w:pPr>
            <w:r>
              <w:rPr>
                <w:lang/>
              </w:rPr>
              <w:t>4,</w:t>
            </w:r>
            <w:r w:rsidRPr="00B0554F">
              <w:rPr>
                <w:lang/>
              </w:rPr>
              <w:t>7%</w:t>
            </w:r>
          </w:p>
        </w:tc>
        <w:tc>
          <w:tcPr>
            <w:tcW w:w="1015" w:type="dxa"/>
            <w:vAlign w:val="center"/>
          </w:tcPr>
          <w:p w:rsidR="00506B52" w:rsidRPr="00B0554F" w:rsidRDefault="00506B52" w:rsidP="008F6A37">
            <w:pPr>
              <w:jc w:val="center"/>
              <w:cnfStyle w:val="000000100000"/>
              <w:rPr>
                <w:lang/>
              </w:rPr>
            </w:pPr>
            <w:r>
              <w:rPr>
                <w:lang/>
              </w:rPr>
              <w:t>7,9%</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Музеј Батинске битке</w:t>
            </w:r>
          </w:p>
        </w:tc>
        <w:tc>
          <w:tcPr>
            <w:tcW w:w="969" w:type="dxa"/>
            <w:vAlign w:val="center"/>
          </w:tcPr>
          <w:p w:rsidR="00506B52" w:rsidRPr="00B0554F" w:rsidRDefault="00506B52" w:rsidP="008F6A37">
            <w:pPr>
              <w:jc w:val="center"/>
              <w:cnfStyle w:val="000000000000"/>
              <w:rPr>
                <w:lang/>
              </w:rPr>
            </w:pPr>
            <w:r>
              <w:rPr>
                <w:lang/>
              </w:rPr>
              <w:t>4,</w:t>
            </w:r>
            <w:r w:rsidRPr="00B0554F">
              <w:rPr>
                <w:lang/>
              </w:rPr>
              <w:t>7%</w:t>
            </w:r>
          </w:p>
        </w:tc>
        <w:tc>
          <w:tcPr>
            <w:tcW w:w="1015" w:type="dxa"/>
            <w:vAlign w:val="center"/>
          </w:tcPr>
          <w:p w:rsidR="00506B52" w:rsidRPr="00B0554F" w:rsidRDefault="00506B52" w:rsidP="008F6A37">
            <w:pPr>
              <w:jc w:val="center"/>
              <w:cnfStyle w:val="000000000000"/>
              <w:rPr>
                <w:lang/>
              </w:rPr>
            </w:pPr>
            <w:r>
              <w:rPr>
                <w:lang/>
              </w:rPr>
              <w:t>9,5%</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Ликовно стваралаштво</w:t>
            </w:r>
          </w:p>
        </w:tc>
        <w:tc>
          <w:tcPr>
            <w:tcW w:w="969" w:type="dxa"/>
            <w:vAlign w:val="center"/>
          </w:tcPr>
          <w:p w:rsidR="00506B52" w:rsidRPr="00B0554F" w:rsidRDefault="00506B52" w:rsidP="008F6A37">
            <w:pPr>
              <w:jc w:val="center"/>
              <w:cnfStyle w:val="000000100000"/>
              <w:rPr>
                <w:lang/>
              </w:rPr>
            </w:pPr>
            <w:r>
              <w:rPr>
                <w:lang/>
              </w:rPr>
              <w:t>4,</w:t>
            </w:r>
            <w:r w:rsidRPr="00B0554F">
              <w:rPr>
                <w:lang/>
              </w:rPr>
              <w:t>7%</w:t>
            </w:r>
          </w:p>
        </w:tc>
        <w:tc>
          <w:tcPr>
            <w:tcW w:w="1015" w:type="dxa"/>
            <w:vAlign w:val="center"/>
          </w:tcPr>
          <w:p w:rsidR="00506B52" w:rsidRPr="00B0554F" w:rsidRDefault="00506B52" w:rsidP="008F6A37">
            <w:pPr>
              <w:jc w:val="center"/>
              <w:cnfStyle w:val="000000100000"/>
              <w:rPr>
                <w:lang/>
              </w:rPr>
            </w:pPr>
            <w:r>
              <w:rPr>
                <w:lang/>
              </w:rPr>
              <w:t>11,6%</w:t>
            </w:r>
          </w:p>
        </w:tc>
      </w:tr>
      <w:tr w:rsidR="00506B52" w:rsidRPr="00B0554F" w:rsidTr="00506B52">
        <w:tc>
          <w:tcPr>
            <w:cnfStyle w:val="001000000000"/>
            <w:tcW w:w="7366" w:type="dxa"/>
            <w:vAlign w:val="center"/>
          </w:tcPr>
          <w:p w:rsidR="00506B52" w:rsidRPr="00B0554F" w:rsidRDefault="00506B52" w:rsidP="008F6A37">
            <w:pPr>
              <w:rPr>
                <w:lang/>
              </w:rPr>
            </w:pPr>
            <w:r w:rsidRPr="00B0554F">
              <w:rPr>
                <w:lang/>
              </w:rPr>
              <w:t>Винске руте Сомбора</w:t>
            </w:r>
          </w:p>
        </w:tc>
        <w:tc>
          <w:tcPr>
            <w:tcW w:w="969" w:type="dxa"/>
            <w:vAlign w:val="center"/>
          </w:tcPr>
          <w:p w:rsidR="00506B52" w:rsidRPr="00B0554F" w:rsidRDefault="00506B52" w:rsidP="008F6A37">
            <w:pPr>
              <w:jc w:val="center"/>
              <w:cnfStyle w:val="000000000000"/>
              <w:rPr>
                <w:lang/>
              </w:rPr>
            </w:pPr>
            <w:r>
              <w:rPr>
                <w:lang/>
              </w:rPr>
              <w:t>2,</w:t>
            </w:r>
            <w:r w:rsidRPr="00B0554F">
              <w:rPr>
                <w:lang/>
              </w:rPr>
              <w:t>3%</w:t>
            </w:r>
          </w:p>
        </w:tc>
        <w:tc>
          <w:tcPr>
            <w:tcW w:w="1015" w:type="dxa"/>
            <w:vAlign w:val="center"/>
          </w:tcPr>
          <w:p w:rsidR="00506B52" w:rsidRPr="00B0554F" w:rsidRDefault="00506B52" w:rsidP="008F6A37">
            <w:pPr>
              <w:jc w:val="center"/>
              <w:cnfStyle w:val="000000000000"/>
              <w:rPr>
                <w:lang/>
              </w:rPr>
            </w:pPr>
            <w:r>
              <w:rPr>
                <w:lang/>
              </w:rPr>
              <w:t>6,1%</w:t>
            </w:r>
          </w:p>
        </w:tc>
      </w:tr>
      <w:tr w:rsidR="00506B52" w:rsidRPr="00B0554F" w:rsidTr="00506B52">
        <w:trPr>
          <w:cnfStyle w:val="000000100000"/>
        </w:trPr>
        <w:tc>
          <w:tcPr>
            <w:cnfStyle w:val="001000000000"/>
            <w:tcW w:w="7366" w:type="dxa"/>
            <w:vAlign w:val="center"/>
          </w:tcPr>
          <w:p w:rsidR="00506B52" w:rsidRPr="00B0554F" w:rsidRDefault="00506B52" w:rsidP="008F6A37">
            <w:pPr>
              <w:rPr>
                <w:lang/>
              </w:rPr>
            </w:pPr>
            <w:r w:rsidRPr="00B0554F">
              <w:rPr>
                <w:lang/>
              </w:rPr>
              <w:t>Друго</w:t>
            </w:r>
          </w:p>
        </w:tc>
        <w:tc>
          <w:tcPr>
            <w:tcW w:w="969" w:type="dxa"/>
            <w:vAlign w:val="center"/>
          </w:tcPr>
          <w:p w:rsidR="00506B52" w:rsidRPr="00B0554F" w:rsidRDefault="00506B52" w:rsidP="008F6A37">
            <w:pPr>
              <w:jc w:val="center"/>
              <w:cnfStyle w:val="000000100000"/>
              <w:rPr>
                <w:lang/>
              </w:rPr>
            </w:pPr>
            <w:r>
              <w:rPr>
                <w:lang/>
              </w:rPr>
              <w:t>9,</w:t>
            </w:r>
            <w:r w:rsidRPr="00B0554F">
              <w:rPr>
                <w:lang/>
              </w:rPr>
              <w:t>3%</w:t>
            </w:r>
          </w:p>
        </w:tc>
        <w:tc>
          <w:tcPr>
            <w:tcW w:w="1015" w:type="dxa"/>
            <w:vAlign w:val="center"/>
          </w:tcPr>
          <w:p w:rsidR="00506B52" w:rsidRPr="00B0554F" w:rsidRDefault="00506B52" w:rsidP="008F6A37">
            <w:pPr>
              <w:jc w:val="center"/>
              <w:cnfStyle w:val="000000100000"/>
              <w:rPr>
                <w:lang/>
              </w:rPr>
            </w:pPr>
            <w:r>
              <w:rPr>
                <w:lang/>
              </w:rPr>
              <w:t>1,6%</w:t>
            </w:r>
          </w:p>
        </w:tc>
      </w:tr>
    </w:tbl>
    <w:p w:rsidR="0057644C" w:rsidRPr="002E7B6E" w:rsidRDefault="0057644C" w:rsidP="002E7B6E">
      <w:pPr>
        <w:pStyle w:val="Heading1"/>
        <w:shd w:val="clear" w:color="auto" w:fill="9CC2E5" w:themeFill="accent1" w:themeFillTint="99"/>
        <w:jc w:val="center"/>
        <w:rPr>
          <w:b/>
          <w:color w:val="FFFFFF" w:themeColor="background1"/>
          <w:lang/>
        </w:rPr>
      </w:pPr>
      <w:bookmarkStart w:id="39" w:name="_Toc36072315"/>
      <w:r w:rsidRPr="002E7B6E">
        <w:rPr>
          <w:b/>
          <w:color w:val="FFFFFF" w:themeColor="background1"/>
          <w:lang/>
        </w:rPr>
        <w:t>АНЕКС 2:</w:t>
      </w:r>
      <w:r w:rsidR="002E7B6E" w:rsidRPr="002E7B6E">
        <w:rPr>
          <w:b/>
          <w:color w:val="FFFFFF" w:themeColor="background1"/>
          <w:lang/>
        </w:rPr>
        <w:t xml:space="preserve"> </w:t>
      </w:r>
      <w:r w:rsidRPr="002E7B6E">
        <w:rPr>
          <w:rFonts w:ascii="Times New Roman" w:hAnsi="Times New Roman" w:cs="Times New Roman"/>
          <w:b/>
          <w:color w:val="FFFFFF" w:themeColor="background1"/>
          <w:sz w:val="24"/>
          <w:szCs w:val="24"/>
          <w:lang/>
        </w:rPr>
        <w:t>Анализа ставова и потреба запослених у установама културе града Сомбора</w:t>
      </w:r>
      <w:bookmarkEnd w:id="39"/>
    </w:p>
    <w:p w:rsidR="0057644C" w:rsidRPr="007B736E" w:rsidRDefault="0057644C" w:rsidP="0057644C">
      <w:pPr>
        <w:autoSpaceDE w:val="0"/>
        <w:autoSpaceDN w:val="0"/>
        <w:adjustRightInd w:val="0"/>
        <w:spacing w:after="0"/>
        <w:ind w:right="60"/>
        <w:rPr>
          <w:rFonts w:ascii="Times New Roman" w:hAnsi="Times New Roman" w:cs="Times New Roman"/>
          <w:b/>
          <w:sz w:val="24"/>
          <w:szCs w:val="24"/>
          <w:lang/>
        </w:rPr>
      </w:pPr>
    </w:p>
    <w:p w:rsidR="0057644C" w:rsidRPr="00BB312B" w:rsidRDefault="0057644C" w:rsidP="0057644C">
      <w:pPr>
        <w:autoSpaceDE w:val="0"/>
        <w:autoSpaceDN w:val="0"/>
        <w:adjustRightInd w:val="0"/>
        <w:spacing w:after="0"/>
        <w:ind w:right="60" w:firstLine="720"/>
        <w:jc w:val="both"/>
        <w:rPr>
          <w:rFonts w:ascii="Times New Roman" w:hAnsi="Times New Roman" w:cs="Times New Roman"/>
          <w:color w:val="202124"/>
          <w:spacing w:val="3"/>
          <w:sz w:val="24"/>
          <w:szCs w:val="24"/>
          <w:shd w:val="clear" w:color="auto" w:fill="FFFFFF"/>
          <w:lang/>
        </w:rPr>
      </w:pPr>
      <w:r w:rsidRPr="00BB312B">
        <w:rPr>
          <w:rFonts w:ascii="Times New Roman" w:hAnsi="Times New Roman" w:cs="Times New Roman"/>
          <w:color w:val="202124"/>
          <w:spacing w:val="3"/>
          <w:sz w:val="24"/>
          <w:szCs w:val="24"/>
          <w:shd w:val="clear" w:color="auto" w:fill="FFFFFF"/>
        </w:rPr>
        <w:t xml:space="preserve">За потребе израде Стратегије развоја културе града Сомбора </w:t>
      </w:r>
      <w:r w:rsidR="00C931CA">
        <w:rPr>
          <w:rFonts w:ascii="Times New Roman" w:hAnsi="Times New Roman" w:cs="Times New Roman"/>
          <w:color w:val="202124"/>
          <w:spacing w:val="3"/>
          <w:sz w:val="24"/>
          <w:szCs w:val="24"/>
          <w:shd w:val="clear" w:color="auto" w:fill="FFFFFF"/>
        </w:rPr>
        <w:t>2021</w:t>
      </w:r>
      <w:r w:rsidRPr="00BB312B">
        <w:rPr>
          <w:rFonts w:ascii="Times New Roman" w:hAnsi="Times New Roman" w:cs="Times New Roman"/>
          <w:color w:val="202124"/>
          <w:spacing w:val="3"/>
          <w:sz w:val="24"/>
          <w:szCs w:val="24"/>
          <w:shd w:val="clear" w:color="auto" w:fill="FFFFFF"/>
        </w:rPr>
        <w:t>-2025,</w:t>
      </w:r>
      <w:r w:rsidRPr="00BB312B">
        <w:rPr>
          <w:rFonts w:ascii="Times New Roman" w:hAnsi="Times New Roman" w:cs="Times New Roman"/>
          <w:color w:val="202124"/>
          <w:spacing w:val="3"/>
          <w:sz w:val="24"/>
          <w:szCs w:val="24"/>
          <w:shd w:val="clear" w:color="auto" w:fill="FFFFFF"/>
          <w:lang/>
        </w:rPr>
        <w:t xml:space="preserve"> Завод за проучавање културног развитка спровео је истраживања </w:t>
      </w:r>
      <w:r w:rsidRPr="00BB312B">
        <w:rPr>
          <w:rFonts w:ascii="Times New Roman" w:hAnsi="Times New Roman" w:cs="Times New Roman"/>
          <w:color w:val="202124"/>
          <w:spacing w:val="3"/>
          <w:sz w:val="24"/>
          <w:szCs w:val="24"/>
          <w:shd w:val="clear" w:color="auto" w:fill="FFFFFF"/>
        </w:rPr>
        <w:t xml:space="preserve">мишљења и ставова </w:t>
      </w:r>
      <w:r w:rsidRPr="00BB312B">
        <w:rPr>
          <w:rFonts w:ascii="Times New Roman" w:hAnsi="Times New Roman" w:cs="Times New Roman"/>
          <w:color w:val="202124"/>
          <w:spacing w:val="3"/>
          <w:sz w:val="24"/>
          <w:szCs w:val="24"/>
          <w:shd w:val="clear" w:color="auto" w:fill="FFFFFF"/>
        </w:rPr>
        <w:lastRenderedPageBreak/>
        <w:t>запослених у</w:t>
      </w:r>
      <w:r w:rsidRPr="00BB312B">
        <w:rPr>
          <w:rFonts w:ascii="Times New Roman" w:hAnsi="Times New Roman" w:cs="Times New Roman"/>
          <w:color w:val="202124"/>
          <w:spacing w:val="3"/>
          <w:sz w:val="24"/>
          <w:szCs w:val="24"/>
          <w:shd w:val="clear" w:color="auto" w:fill="FFFFFF"/>
          <w:lang/>
        </w:rPr>
        <w:t xml:space="preserve"> установама културе чији је оснивач Град Сомбор. Метод испитивања је вршен техником анкете, која је спроведена путем електронског формулара. Инструмент (упитник)</w:t>
      </w:r>
      <w:r>
        <w:rPr>
          <w:rFonts w:ascii="Times New Roman" w:hAnsi="Times New Roman" w:cs="Times New Roman"/>
          <w:color w:val="202124"/>
          <w:spacing w:val="3"/>
          <w:sz w:val="24"/>
          <w:szCs w:val="24"/>
          <w:shd w:val="clear" w:color="auto" w:fill="FFFFFF"/>
          <w:lang/>
        </w:rPr>
        <w:t xml:space="preserve"> је</w:t>
      </w:r>
      <w:r w:rsidRPr="00BB312B">
        <w:rPr>
          <w:rFonts w:ascii="Times New Roman" w:hAnsi="Times New Roman" w:cs="Times New Roman"/>
          <w:color w:val="202124"/>
          <w:spacing w:val="3"/>
          <w:sz w:val="24"/>
          <w:szCs w:val="24"/>
          <w:shd w:val="clear" w:color="auto" w:fill="FFFFFF"/>
          <w:lang/>
        </w:rPr>
        <w:t xml:space="preserve"> садржао 31 питање, већином затвореног типа, која су се односила на степен задовољства, ставове, оцене и потребе запослених у програмским делатностима установа културе. Питања су груписана у три целине: услови рада, оцена стања у установи и оцена културне понуде на нивоу града, укључујући и однос према начину конципирања и имплементирања културне политике на локалном нивоу. Истраживање је спроведено током октобра и новембра 2019. године. Узорак је сачињавало 43 запослених у програмским областима установа културе</w:t>
      </w:r>
      <w:r w:rsidRPr="00BB312B">
        <w:rPr>
          <w:rFonts w:ascii="Times New Roman" w:hAnsi="Times New Roman" w:cs="Times New Roman"/>
          <w:color w:val="202124"/>
          <w:spacing w:val="3"/>
          <w:sz w:val="24"/>
          <w:szCs w:val="24"/>
          <w:shd w:val="clear" w:color="auto" w:fill="FFFFFF"/>
        </w:rPr>
        <w:t xml:space="preserve">, </w:t>
      </w:r>
      <w:r w:rsidRPr="00BB312B">
        <w:rPr>
          <w:rFonts w:ascii="Times New Roman" w:hAnsi="Times New Roman" w:cs="Times New Roman"/>
          <w:color w:val="202124"/>
          <w:spacing w:val="3"/>
          <w:sz w:val="24"/>
          <w:szCs w:val="24"/>
          <w:shd w:val="clear" w:color="auto" w:fill="FFFFFF"/>
          <w:lang/>
        </w:rPr>
        <w:t xml:space="preserve">што представља 34% од укупног броја запослених, а више од </w:t>
      </w:r>
      <w:r w:rsidRPr="00FF53D1">
        <w:rPr>
          <w:rFonts w:ascii="Times New Roman" w:hAnsi="Times New Roman" w:cs="Times New Roman"/>
          <w:spacing w:val="3"/>
          <w:sz w:val="24"/>
          <w:szCs w:val="24"/>
          <w:shd w:val="clear" w:color="auto" w:fill="FFFFFF"/>
          <w:lang/>
        </w:rPr>
        <w:t>50%</w:t>
      </w:r>
      <w:r w:rsidRPr="00BB312B">
        <w:rPr>
          <w:rFonts w:ascii="Times New Roman" w:hAnsi="Times New Roman" w:cs="Times New Roman"/>
          <w:color w:val="202124"/>
          <w:spacing w:val="3"/>
          <w:sz w:val="24"/>
          <w:szCs w:val="24"/>
          <w:shd w:val="clear" w:color="auto" w:fill="FFFFFF"/>
          <w:lang/>
        </w:rPr>
        <w:t xml:space="preserve"> запослених у програмским делатностима. Линк са упитником је дистрибуиран запосленима путем електронске поште и попуњаван је онлине.</w:t>
      </w:r>
    </w:p>
    <w:p w:rsidR="0057644C" w:rsidRPr="00BB312B" w:rsidRDefault="0057644C" w:rsidP="0057644C">
      <w:pPr>
        <w:autoSpaceDE w:val="0"/>
        <w:autoSpaceDN w:val="0"/>
        <w:adjustRightInd w:val="0"/>
        <w:spacing w:after="0"/>
        <w:ind w:right="60"/>
        <w:jc w:val="both"/>
        <w:rPr>
          <w:rFonts w:ascii="Times New Roman" w:hAnsi="Times New Roman" w:cs="Times New Roman"/>
          <w:color w:val="202124"/>
          <w:spacing w:val="3"/>
          <w:sz w:val="24"/>
          <w:szCs w:val="24"/>
          <w:shd w:val="clear" w:color="auto" w:fill="FFFFFF"/>
          <w:lang/>
        </w:rPr>
      </w:pPr>
      <w:r w:rsidRPr="00BB312B">
        <w:rPr>
          <w:rFonts w:ascii="Times New Roman" w:hAnsi="Times New Roman" w:cs="Times New Roman"/>
          <w:color w:val="202124"/>
          <w:spacing w:val="3"/>
          <w:sz w:val="24"/>
          <w:szCs w:val="24"/>
          <w:shd w:val="clear" w:color="auto" w:fill="FFFFFF"/>
          <w:lang/>
        </w:rPr>
        <w:tab/>
        <w:t>Упитник је био анониман и сви подаци су приказани збирно.</w:t>
      </w:r>
    </w:p>
    <w:p w:rsidR="0057644C" w:rsidRPr="00BB312B" w:rsidRDefault="0057644C" w:rsidP="0057644C">
      <w:pPr>
        <w:autoSpaceDE w:val="0"/>
        <w:autoSpaceDN w:val="0"/>
        <w:adjustRightInd w:val="0"/>
        <w:spacing w:after="0"/>
        <w:ind w:right="60" w:firstLine="720"/>
        <w:jc w:val="both"/>
        <w:rPr>
          <w:rFonts w:ascii="Times New Roman" w:hAnsi="Times New Roman" w:cs="Times New Roman"/>
          <w:color w:val="202124"/>
          <w:spacing w:val="3"/>
          <w:sz w:val="24"/>
          <w:szCs w:val="24"/>
          <w:shd w:val="clear" w:color="auto" w:fill="FFFFFF"/>
          <w:lang/>
        </w:rPr>
      </w:pPr>
    </w:p>
    <w:p w:rsidR="0057644C" w:rsidRDefault="0057644C" w:rsidP="0057644C">
      <w:pPr>
        <w:shd w:val="clear" w:color="auto" w:fill="FFFFFF" w:themeFill="background1"/>
        <w:tabs>
          <w:tab w:val="right" w:pos="9302"/>
        </w:tabs>
        <w:autoSpaceDE w:val="0"/>
        <w:autoSpaceDN w:val="0"/>
        <w:adjustRightInd w:val="0"/>
        <w:spacing w:after="0"/>
        <w:ind w:right="60"/>
        <w:rPr>
          <w:rFonts w:ascii="Times New Roman" w:hAnsi="Times New Roman" w:cs="Times New Roman"/>
          <w:color w:val="202124"/>
          <w:spacing w:val="3"/>
          <w:sz w:val="24"/>
          <w:szCs w:val="24"/>
          <w:shd w:val="clear" w:color="auto" w:fill="FFFFFF"/>
          <w:lang/>
        </w:rPr>
      </w:pPr>
      <w:r w:rsidRPr="00FE5868">
        <w:rPr>
          <w:rFonts w:ascii="Times New Roman" w:hAnsi="Times New Roman" w:cs="Times New Roman"/>
          <w:color w:val="202124"/>
          <w:spacing w:val="3"/>
          <w:sz w:val="24"/>
          <w:szCs w:val="24"/>
          <w:shd w:val="clear" w:color="auto" w:fill="FFFFFF"/>
          <w:lang/>
        </w:rPr>
        <w:t>Табела 1:</w:t>
      </w:r>
      <w:r w:rsidRPr="00BB312B">
        <w:rPr>
          <w:rFonts w:ascii="Times New Roman" w:hAnsi="Times New Roman" w:cs="Times New Roman"/>
          <w:color w:val="202124"/>
          <w:spacing w:val="3"/>
          <w:sz w:val="24"/>
          <w:szCs w:val="24"/>
          <w:shd w:val="clear" w:color="auto" w:fill="FFFFFF"/>
          <w:lang/>
        </w:rPr>
        <w:t xml:space="preserve"> Реализација узорка према установи културе</w:t>
      </w:r>
    </w:p>
    <w:tbl>
      <w:tblPr>
        <w:tblStyle w:val="GridTable4-Accent11"/>
        <w:tblW w:w="9219" w:type="dxa"/>
        <w:tblInd w:w="-5" w:type="dxa"/>
        <w:tblLook w:val="04A0"/>
      </w:tblPr>
      <w:tblGrid>
        <w:gridCol w:w="4253"/>
        <w:gridCol w:w="4966"/>
      </w:tblGrid>
      <w:tr w:rsidR="0057644C" w:rsidRPr="007B736E" w:rsidTr="000606DF">
        <w:trPr>
          <w:cnfStyle w:val="100000000000"/>
          <w:trHeight w:val="220"/>
        </w:trPr>
        <w:tc>
          <w:tcPr>
            <w:cnfStyle w:val="001000000000"/>
            <w:tcW w:w="4253" w:type="dxa"/>
            <w:noWrap/>
            <w:hideMark/>
          </w:tcPr>
          <w:p w:rsidR="0057644C" w:rsidRPr="007B736E" w:rsidRDefault="0057644C" w:rsidP="000606DF">
            <w:pPr>
              <w:jc w:val="center"/>
              <w:rPr>
                <w:rFonts w:eastAsia="Times New Roman"/>
                <w:lang/>
              </w:rPr>
            </w:pPr>
            <w:r w:rsidRPr="007B736E">
              <w:rPr>
                <w:rFonts w:eastAsia="Times New Roman"/>
                <w:lang/>
              </w:rPr>
              <w:t xml:space="preserve">Установа културе </w:t>
            </w:r>
          </w:p>
        </w:tc>
        <w:tc>
          <w:tcPr>
            <w:tcW w:w="4966" w:type="dxa"/>
            <w:noWrap/>
            <w:hideMark/>
          </w:tcPr>
          <w:p w:rsidR="0057644C" w:rsidRPr="007B736E" w:rsidRDefault="0057644C" w:rsidP="000606DF">
            <w:pPr>
              <w:jc w:val="center"/>
              <w:cnfStyle w:val="100000000000"/>
              <w:rPr>
                <w:rFonts w:eastAsia="Times New Roman"/>
                <w:lang/>
              </w:rPr>
            </w:pPr>
            <w:r w:rsidRPr="007B736E">
              <w:rPr>
                <w:rFonts w:eastAsia="Times New Roman"/>
                <w:lang/>
              </w:rPr>
              <w:t xml:space="preserve">% запослених у установи културе који су одговорили на упитник  који су </w:t>
            </w:r>
          </w:p>
        </w:tc>
      </w:tr>
      <w:tr w:rsidR="0057644C" w:rsidRPr="007B736E" w:rsidTr="000606DF">
        <w:trPr>
          <w:cnfStyle w:val="000000100000"/>
          <w:trHeight w:val="210"/>
        </w:trPr>
        <w:tc>
          <w:tcPr>
            <w:cnfStyle w:val="001000000000"/>
            <w:tcW w:w="4253" w:type="dxa"/>
            <w:noWrap/>
            <w:hideMark/>
          </w:tcPr>
          <w:p w:rsidR="0057644C" w:rsidRPr="007B736E" w:rsidRDefault="0057644C" w:rsidP="000606DF">
            <w:pPr>
              <w:rPr>
                <w:lang/>
              </w:rPr>
            </w:pPr>
            <w:r w:rsidRPr="007B736E">
              <w:rPr>
                <w:lang/>
              </w:rPr>
              <w:t>Градски музеј Сомбор</w:t>
            </w:r>
          </w:p>
        </w:tc>
        <w:tc>
          <w:tcPr>
            <w:tcW w:w="4966" w:type="dxa"/>
            <w:noWrap/>
            <w:hideMark/>
          </w:tcPr>
          <w:p w:rsidR="0057644C" w:rsidRPr="007B736E" w:rsidRDefault="0057644C" w:rsidP="000606DF">
            <w:pPr>
              <w:jc w:val="center"/>
              <w:cnfStyle w:val="000000100000"/>
              <w:rPr>
                <w:b/>
                <w:lang/>
              </w:rPr>
            </w:pPr>
            <w:r w:rsidRPr="007B736E">
              <w:rPr>
                <w:b/>
                <w:lang/>
              </w:rPr>
              <w:t>18.6</w:t>
            </w:r>
          </w:p>
        </w:tc>
      </w:tr>
      <w:tr w:rsidR="0057644C" w:rsidRPr="007B736E" w:rsidTr="000606DF">
        <w:trPr>
          <w:trHeight w:val="210"/>
        </w:trPr>
        <w:tc>
          <w:tcPr>
            <w:cnfStyle w:val="001000000000"/>
            <w:tcW w:w="4253" w:type="dxa"/>
            <w:noWrap/>
            <w:hideMark/>
          </w:tcPr>
          <w:p w:rsidR="0057644C" w:rsidRPr="007B736E" w:rsidRDefault="0057644C" w:rsidP="000606DF">
            <w:pPr>
              <w:rPr>
                <w:lang/>
              </w:rPr>
            </w:pPr>
            <w:r w:rsidRPr="007B736E">
              <w:rPr>
                <w:lang/>
              </w:rPr>
              <w:t>Галерија ,,Милан Коњовић"</w:t>
            </w:r>
          </w:p>
        </w:tc>
        <w:tc>
          <w:tcPr>
            <w:tcW w:w="4966" w:type="dxa"/>
            <w:noWrap/>
            <w:hideMark/>
          </w:tcPr>
          <w:p w:rsidR="0057644C" w:rsidRPr="007B736E" w:rsidRDefault="0057644C" w:rsidP="000606DF">
            <w:pPr>
              <w:jc w:val="center"/>
              <w:cnfStyle w:val="000000000000"/>
              <w:rPr>
                <w:b/>
                <w:lang/>
              </w:rPr>
            </w:pPr>
            <w:r w:rsidRPr="007B736E">
              <w:rPr>
                <w:b/>
                <w:lang/>
              </w:rPr>
              <w:t>9.3</w:t>
            </w:r>
          </w:p>
        </w:tc>
      </w:tr>
      <w:tr w:rsidR="0057644C" w:rsidRPr="007B736E" w:rsidTr="000606DF">
        <w:trPr>
          <w:cnfStyle w:val="000000100000"/>
          <w:trHeight w:val="210"/>
        </w:trPr>
        <w:tc>
          <w:tcPr>
            <w:cnfStyle w:val="001000000000"/>
            <w:tcW w:w="4253" w:type="dxa"/>
            <w:noWrap/>
            <w:hideMark/>
          </w:tcPr>
          <w:p w:rsidR="0057644C" w:rsidRPr="007B736E" w:rsidRDefault="0057644C" w:rsidP="000606DF">
            <w:pPr>
              <w:rPr>
                <w:lang/>
              </w:rPr>
            </w:pPr>
            <w:r w:rsidRPr="007B736E">
              <w:rPr>
                <w:lang/>
              </w:rPr>
              <w:t>Културни центар ,,Лаза Костић"</w:t>
            </w:r>
          </w:p>
        </w:tc>
        <w:tc>
          <w:tcPr>
            <w:tcW w:w="4966" w:type="dxa"/>
            <w:noWrap/>
            <w:hideMark/>
          </w:tcPr>
          <w:p w:rsidR="0057644C" w:rsidRPr="007B736E" w:rsidRDefault="0057644C" w:rsidP="000606DF">
            <w:pPr>
              <w:jc w:val="center"/>
              <w:cnfStyle w:val="000000100000"/>
              <w:rPr>
                <w:b/>
                <w:lang/>
              </w:rPr>
            </w:pPr>
            <w:r w:rsidRPr="007B736E">
              <w:rPr>
                <w:b/>
                <w:lang/>
              </w:rPr>
              <w:t>9.3</w:t>
            </w:r>
          </w:p>
        </w:tc>
      </w:tr>
      <w:tr w:rsidR="0057644C" w:rsidRPr="007B736E" w:rsidTr="000606DF">
        <w:trPr>
          <w:trHeight w:val="210"/>
        </w:trPr>
        <w:tc>
          <w:tcPr>
            <w:cnfStyle w:val="001000000000"/>
            <w:tcW w:w="4253" w:type="dxa"/>
            <w:noWrap/>
            <w:hideMark/>
          </w:tcPr>
          <w:p w:rsidR="0057644C" w:rsidRPr="007B736E" w:rsidRDefault="0057644C" w:rsidP="000606DF">
            <w:pPr>
              <w:rPr>
                <w:lang/>
              </w:rPr>
            </w:pPr>
            <w:r w:rsidRPr="007B736E">
              <w:rPr>
                <w:lang/>
              </w:rPr>
              <w:t>Историјски архив Сомбор</w:t>
            </w:r>
          </w:p>
        </w:tc>
        <w:tc>
          <w:tcPr>
            <w:tcW w:w="4966" w:type="dxa"/>
            <w:noWrap/>
            <w:hideMark/>
          </w:tcPr>
          <w:p w:rsidR="0057644C" w:rsidRPr="007B736E" w:rsidRDefault="0057644C" w:rsidP="000606DF">
            <w:pPr>
              <w:jc w:val="center"/>
              <w:cnfStyle w:val="000000000000"/>
              <w:rPr>
                <w:b/>
                <w:lang/>
              </w:rPr>
            </w:pPr>
            <w:r w:rsidRPr="007B736E">
              <w:rPr>
                <w:b/>
                <w:lang/>
              </w:rPr>
              <w:t>18.6</w:t>
            </w:r>
          </w:p>
        </w:tc>
      </w:tr>
      <w:tr w:rsidR="0057644C" w:rsidRPr="007B736E" w:rsidTr="000606DF">
        <w:trPr>
          <w:cnfStyle w:val="000000100000"/>
          <w:trHeight w:val="210"/>
        </w:trPr>
        <w:tc>
          <w:tcPr>
            <w:cnfStyle w:val="001000000000"/>
            <w:tcW w:w="4253" w:type="dxa"/>
            <w:noWrap/>
            <w:hideMark/>
          </w:tcPr>
          <w:p w:rsidR="0057644C" w:rsidRPr="007B736E" w:rsidRDefault="0057644C" w:rsidP="000606DF">
            <w:pPr>
              <w:rPr>
                <w:lang/>
              </w:rPr>
            </w:pPr>
            <w:r w:rsidRPr="007B736E">
              <w:rPr>
                <w:lang/>
              </w:rPr>
              <w:t>Народно позориште Сомбор</w:t>
            </w:r>
          </w:p>
        </w:tc>
        <w:tc>
          <w:tcPr>
            <w:tcW w:w="4966" w:type="dxa"/>
            <w:noWrap/>
            <w:hideMark/>
          </w:tcPr>
          <w:p w:rsidR="0057644C" w:rsidRPr="007B736E" w:rsidRDefault="0057644C" w:rsidP="000606DF">
            <w:pPr>
              <w:jc w:val="center"/>
              <w:cnfStyle w:val="000000100000"/>
              <w:rPr>
                <w:b/>
                <w:lang/>
              </w:rPr>
            </w:pPr>
            <w:r w:rsidRPr="007B736E">
              <w:rPr>
                <w:b/>
                <w:lang/>
              </w:rPr>
              <w:t>16.3</w:t>
            </w:r>
          </w:p>
        </w:tc>
      </w:tr>
      <w:tr w:rsidR="0057644C" w:rsidRPr="007B736E" w:rsidTr="000606DF">
        <w:trPr>
          <w:trHeight w:val="210"/>
        </w:trPr>
        <w:tc>
          <w:tcPr>
            <w:cnfStyle w:val="001000000000"/>
            <w:tcW w:w="4253" w:type="dxa"/>
            <w:noWrap/>
            <w:hideMark/>
          </w:tcPr>
          <w:p w:rsidR="0057644C" w:rsidRPr="007B736E" w:rsidRDefault="0057644C" w:rsidP="000606DF">
            <w:pPr>
              <w:rPr>
                <w:lang/>
              </w:rPr>
            </w:pPr>
            <w:r w:rsidRPr="007B736E">
              <w:rPr>
                <w:lang/>
              </w:rPr>
              <w:t>Градска библиотека ,,Карло Бијелицки"</w:t>
            </w:r>
          </w:p>
        </w:tc>
        <w:tc>
          <w:tcPr>
            <w:tcW w:w="4966" w:type="dxa"/>
            <w:noWrap/>
            <w:hideMark/>
          </w:tcPr>
          <w:p w:rsidR="0057644C" w:rsidRPr="007B736E" w:rsidRDefault="0057644C" w:rsidP="000606DF">
            <w:pPr>
              <w:jc w:val="center"/>
              <w:cnfStyle w:val="000000000000"/>
              <w:rPr>
                <w:b/>
                <w:lang/>
              </w:rPr>
            </w:pPr>
            <w:r w:rsidRPr="007B736E">
              <w:rPr>
                <w:b/>
                <w:lang/>
              </w:rPr>
              <w:t>27.9</w:t>
            </w:r>
          </w:p>
        </w:tc>
      </w:tr>
      <w:tr w:rsidR="0057644C" w:rsidRPr="007B736E" w:rsidTr="000606DF">
        <w:trPr>
          <w:cnfStyle w:val="000000100000"/>
          <w:trHeight w:val="220"/>
        </w:trPr>
        <w:tc>
          <w:tcPr>
            <w:cnfStyle w:val="001000000000"/>
            <w:tcW w:w="4253" w:type="dxa"/>
            <w:noWrap/>
            <w:hideMark/>
          </w:tcPr>
          <w:p w:rsidR="0057644C" w:rsidRPr="007B736E" w:rsidRDefault="0057644C" w:rsidP="000606DF">
            <w:pPr>
              <w:rPr>
                <w:lang/>
              </w:rPr>
            </w:pPr>
            <w:r w:rsidRPr="007B736E">
              <w:rPr>
                <w:lang/>
              </w:rPr>
              <w:t>Градски музеј Сомбор</w:t>
            </w:r>
          </w:p>
        </w:tc>
        <w:tc>
          <w:tcPr>
            <w:tcW w:w="4966" w:type="dxa"/>
            <w:noWrap/>
            <w:hideMark/>
          </w:tcPr>
          <w:p w:rsidR="0057644C" w:rsidRPr="007B736E" w:rsidRDefault="0057644C" w:rsidP="000606DF">
            <w:pPr>
              <w:jc w:val="center"/>
              <w:cnfStyle w:val="000000100000"/>
              <w:rPr>
                <w:b/>
                <w:lang/>
              </w:rPr>
            </w:pPr>
            <w:r w:rsidRPr="007B736E">
              <w:rPr>
                <w:b/>
                <w:lang/>
              </w:rPr>
              <w:t>18.6</w:t>
            </w:r>
          </w:p>
        </w:tc>
      </w:tr>
    </w:tbl>
    <w:p w:rsidR="0057644C" w:rsidRPr="00BB312B" w:rsidRDefault="0057644C" w:rsidP="0057644C">
      <w:pPr>
        <w:shd w:val="clear" w:color="auto" w:fill="FFFFFF" w:themeFill="background1"/>
        <w:tabs>
          <w:tab w:val="right" w:pos="9302"/>
        </w:tabs>
        <w:autoSpaceDE w:val="0"/>
        <w:autoSpaceDN w:val="0"/>
        <w:adjustRightInd w:val="0"/>
        <w:spacing w:after="0"/>
        <w:ind w:right="60"/>
        <w:rPr>
          <w:rFonts w:ascii="Times New Roman" w:hAnsi="Times New Roman" w:cs="Times New Roman"/>
          <w:b/>
          <w:color w:val="202124"/>
          <w:spacing w:val="3"/>
          <w:sz w:val="24"/>
          <w:szCs w:val="24"/>
          <w:shd w:val="clear" w:color="auto" w:fill="FFFFFF"/>
          <w:lang/>
        </w:rPr>
      </w:pPr>
      <w:r w:rsidRPr="00BB312B">
        <w:rPr>
          <w:rFonts w:ascii="Times New Roman" w:hAnsi="Times New Roman" w:cs="Times New Roman"/>
          <w:b/>
          <w:color w:val="202124"/>
          <w:spacing w:val="3"/>
          <w:sz w:val="24"/>
          <w:szCs w:val="24"/>
          <w:shd w:val="clear" w:color="auto" w:fill="FFFFFF"/>
          <w:lang/>
        </w:rPr>
        <w:tab/>
      </w:r>
    </w:p>
    <w:p w:rsidR="0057644C" w:rsidRDefault="0057644C" w:rsidP="0057644C">
      <w:pPr>
        <w:autoSpaceDE w:val="0"/>
        <w:autoSpaceDN w:val="0"/>
        <w:adjustRightInd w:val="0"/>
        <w:spacing w:after="0"/>
        <w:ind w:right="60" w:firstLine="720"/>
        <w:jc w:val="both"/>
        <w:rPr>
          <w:rFonts w:ascii="Times New Roman" w:hAnsi="Times New Roman" w:cs="Times New Roman"/>
          <w:color w:val="202124"/>
          <w:spacing w:val="3"/>
          <w:sz w:val="24"/>
          <w:szCs w:val="24"/>
          <w:shd w:val="clear" w:color="auto" w:fill="FFFFFF"/>
          <w:lang/>
        </w:rPr>
      </w:pPr>
      <w:r w:rsidRPr="00BB312B">
        <w:rPr>
          <w:rFonts w:ascii="Times New Roman" w:hAnsi="Times New Roman" w:cs="Times New Roman"/>
          <w:color w:val="202124"/>
          <w:spacing w:val="3"/>
          <w:sz w:val="24"/>
          <w:szCs w:val="24"/>
          <w:shd w:val="clear" w:color="auto" w:fill="FFFFFF"/>
          <w:lang/>
        </w:rPr>
        <w:t>Додатна анализа оцена, ставова и потреба запослених рађена је и применом квалитативне методологије, кроз фокус групе са запосленима у култури. Део податак</w:t>
      </w:r>
      <w:r>
        <w:rPr>
          <w:rFonts w:ascii="Times New Roman" w:hAnsi="Times New Roman" w:cs="Times New Roman"/>
          <w:color w:val="202124"/>
          <w:spacing w:val="3"/>
          <w:sz w:val="24"/>
          <w:szCs w:val="24"/>
          <w:shd w:val="clear" w:color="auto" w:fill="FFFFFF"/>
          <w:lang/>
        </w:rPr>
        <w:t>а</w:t>
      </w:r>
      <w:r w:rsidRPr="00BB312B">
        <w:rPr>
          <w:rFonts w:ascii="Times New Roman" w:hAnsi="Times New Roman" w:cs="Times New Roman"/>
          <w:color w:val="202124"/>
          <w:spacing w:val="3"/>
          <w:sz w:val="24"/>
          <w:szCs w:val="24"/>
          <w:shd w:val="clear" w:color="auto" w:fill="FFFFFF"/>
          <w:lang/>
        </w:rPr>
        <w:t xml:space="preserve"> прикупљених путем фокус група биће приказани у овом извештају.</w:t>
      </w:r>
    </w:p>
    <w:p w:rsidR="0057644C" w:rsidRPr="00BB312B" w:rsidRDefault="0057644C" w:rsidP="0057644C">
      <w:pPr>
        <w:autoSpaceDE w:val="0"/>
        <w:autoSpaceDN w:val="0"/>
        <w:adjustRightInd w:val="0"/>
        <w:spacing w:after="0"/>
        <w:ind w:right="60" w:firstLine="720"/>
        <w:jc w:val="both"/>
        <w:rPr>
          <w:rFonts w:ascii="Times New Roman" w:hAnsi="Times New Roman" w:cs="Times New Roman"/>
          <w:color w:val="202124"/>
          <w:spacing w:val="3"/>
          <w:sz w:val="24"/>
          <w:szCs w:val="24"/>
          <w:shd w:val="clear" w:color="auto" w:fill="FFFFFF"/>
          <w:lang/>
        </w:rPr>
      </w:pPr>
    </w:p>
    <w:p w:rsidR="0057644C" w:rsidRPr="00EA2809" w:rsidRDefault="0057644C" w:rsidP="00EA2809">
      <w:pPr>
        <w:pStyle w:val="Heading1"/>
        <w:numPr>
          <w:ilvl w:val="0"/>
          <w:numId w:val="41"/>
        </w:numPr>
        <w:spacing w:before="0"/>
        <w:rPr>
          <w:b/>
        </w:rPr>
      </w:pPr>
      <w:bookmarkStart w:id="40" w:name="_Toc27958765"/>
      <w:bookmarkStart w:id="41" w:name="_Toc36072316"/>
      <w:r w:rsidRPr="00EA2809">
        <w:rPr>
          <w:b/>
        </w:rPr>
        <w:t>Услови рада</w:t>
      </w:r>
      <w:bookmarkEnd w:id="40"/>
      <w:bookmarkEnd w:id="41"/>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EA2809" w:rsidRDefault="0057644C" w:rsidP="00EA2809">
      <w:pPr>
        <w:pStyle w:val="Heading2"/>
        <w:numPr>
          <w:ilvl w:val="1"/>
          <w:numId w:val="41"/>
        </w:numPr>
        <w:rPr>
          <w:b/>
          <w:lang/>
        </w:rPr>
      </w:pPr>
      <w:bookmarkStart w:id="42" w:name="_Toc27958766"/>
      <w:bookmarkStart w:id="43" w:name="_Toc36072317"/>
      <w:r w:rsidRPr="00EA2809">
        <w:rPr>
          <w:b/>
          <w:lang/>
        </w:rPr>
        <w:t xml:space="preserve">Степен </w:t>
      </w:r>
      <w:r w:rsidRPr="00EA2809">
        <w:rPr>
          <w:b/>
        </w:rPr>
        <w:t>задовољства</w:t>
      </w:r>
      <w:r w:rsidRPr="00EA2809">
        <w:rPr>
          <w:b/>
          <w:lang/>
        </w:rPr>
        <w:t xml:space="preserve"> укупним условима рада</w:t>
      </w:r>
      <w:bookmarkEnd w:id="42"/>
      <w:bookmarkEnd w:id="43"/>
    </w:p>
    <w:p w:rsidR="0057644C" w:rsidRPr="00BB312B" w:rsidRDefault="0057644C" w:rsidP="0057644C">
      <w:pPr>
        <w:autoSpaceDE w:val="0"/>
        <w:autoSpaceDN w:val="0"/>
        <w:adjustRightInd w:val="0"/>
        <w:spacing w:after="0"/>
        <w:ind w:firstLine="36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ind w:firstLine="360"/>
        <w:jc w:val="both"/>
        <w:rPr>
          <w:rFonts w:ascii="Times New Roman" w:hAnsi="Times New Roman" w:cs="Times New Roman"/>
          <w:sz w:val="24"/>
          <w:szCs w:val="24"/>
          <w:lang/>
        </w:rPr>
      </w:pPr>
      <w:r w:rsidRPr="00BB312B">
        <w:rPr>
          <w:rFonts w:ascii="Times New Roman" w:hAnsi="Times New Roman" w:cs="Times New Roman"/>
          <w:sz w:val="24"/>
          <w:szCs w:val="24"/>
          <w:lang/>
        </w:rPr>
        <w:t>У првом делу упитника</w:t>
      </w:r>
      <w:r>
        <w:rPr>
          <w:rFonts w:ascii="Times New Roman" w:hAnsi="Times New Roman" w:cs="Times New Roman"/>
          <w:sz w:val="24"/>
          <w:szCs w:val="24"/>
          <w:lang/>
        </w:rPr>
        <w:t xml:space="preserve"> испитивано је </w:t>
      </w:r>
      <w:r w:rsidRPr="00BB312B">
        <w:rPr>
          <w:rFonts w:ascii="Times New Roman" w:hAnsi="Times New Roman" w:cs="Times New Roman"/>
          <w:sz w:val="24"/>
          <w:szCs w:val="24"/>
          <w:lang/>
        </w:rPr>
        <w:t>како запослени доживљавају своје радно окружење, почевши од проце</w:t>
      </w:r>
      <w:r>
        <w:rPr>
          <w:rFonts w:ascii="Times New Roman" w:hAnsi="Times New Roman" w:cs="Times New Roman"/>
          <w:sz w:val="24"/>
          <w:szCs w:val="24"/>
          <w:lang/>
        </w:rPr>
        <w:t xml:space="preserve">не степена задовољства укупним </w:t>
      </w:r>
      <w:r w:rsidRPr="00BB312B">
        <w:rPr>
          <w:rFonts w:ascii="Times New Roman" w:hAnsi="Times New Roman" w:cs="Times New Roman"/>
          <w:sz w:val="24"/>
          <w:szCs w:val="24"/>
          <w:lang/>
        </w:rPr>
        <w:t xml:space="preserve">условима рада. Готово трећина испитаника (28%) није задовољно условим рада у установама културе, док је велика већина (72%) задовољно условима које запослени имају у оквиру свог радног окружења </w:t>
      </w:r>
      <w:r>
        <w:rPr>
          <w:rFonts w:ascii="Times New Roman" w:hAnsi="Times New Roman" w:cs="Times New Roman"/>
          <w:sz w:val="24"/>
          <w:szCs w:val="24"/>
          <w:lang/>
        </w:rPr>
        <w:t xml:space="preserve">(Графикон </w:t>
      </w:r>
      <w:r w:rsidRPr="00BB312B">
        <w:rPr>
          <w:rFonts w:ascii="Times New Roman" w:hAnsi="Times New Roman" w:cs="Times New Roman"/>
          <w:sz w:val="24"/>
          <w:szCs w:val="24"/>
          <w:lang/>
        </w:rPr>
        <w:t xml:space="preserve">1). Од тог броја 14% је веома задовољно условима који се у установама пружају запосленима, док је 9% веома незадовољно истим. </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p>
    <w:p w:rsidR="0057644C" w:rsidRDefault="0057644C"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r w:rsidRPr="00E6460E">
        <w:rPr>
          <w:rFonts w:ascii="Times New Roman" w:hAnsi="Times New Roman" w:cs="Times New Roman"/>
          <w:sz w:val="24"/>
          <w:szCs w:val="24"/>
          <w:lang/>
        </w:rPr>
        <w:t>Графикон 1:</w:t>
      </w:r>
      <w:r w:rsidRPr="00BB312B">
        <w:rPr>
          <w:rFonts w:ascii="Times New Roman" w:hAnsi="Times New Roman" w:cs="Times New Roman"/>
          <w:b/>
          <w:sz w:val="24"/>
          <w:szCs w:val="24"/>
          <w:lang/>
        </w:rPr>
        <w:t xml:space="preserve"> </w:t>
      </w:r>
      <w:r w:rsidRPr="00BB312B">
        <w:rPr>
          <w:rFonts w:ascii="Times New Roman" w:hAnsi="Times New Roman" w:cs="Times New Roman"/>
          <w:sz w:val="24"/>
          <w:szCs w:val="24"/>
          <w:lang/>
        </w:rPr>
        <w:t xml:space="preserve">Оцена задовољства условима рада </w:t>
      </w:r>
    </w:p>
    <w:p w:rsidR="0057644C" w:rsidRPr="00BB312B" w:rsidRDefault="0057644C"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noProof/>
          <w:sz w:val="24"/>
          <w:szCs w:val="24"/>
        </w:rPr>
        <w:lastRenderedPageBreak/>
        <w:drawing>
          <wp:inline distT="0" distB="0" distL="0" distR="0">
            <wp:extent cx="5943600" cy="23050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Гледајући распо</w:t>
      </w:r>
      <w:r w:rsidR="00296F54">
        <w:rPr>
          <w:rFonts w:ascii="Times New Roman" w:hAnsi="Times New Roman" w:cs="Times New Roman"/>
          <w:sz w:val="24"/>
          <w:szCs w:val="24"/>
          <w:lang/>
        </w:rPr>
        <w:t>делу одговора унутар појединачних</w:t>
      </w:r>
      <w:r w:rsidRPr="00BB312B">
        <w:rPr>
          <w:rFonts w:ascii="Times New Roman" w:hAnsi="Times New Roman" w:cs="Times New Roman"/>
          <w:sz w:val="24"/>
          <w:szCs w:val="24"/>
          <w:lang/>
        </w:rPr>
        <w:t xml:space="preserve"> институциј</w:t>
      </w:r>
      <w:r w:rsidR="00296F54">
        <w:rPr>
          <w:rFonts w:ascii="Times New Roman" w:hAnsi="Times New Roman" w:cs="Times New Roman"/>
          <w:sz w:val="24"/>
          <w:szCs w:val="24"/>
          <w:lang/>
        </w:rPr>
        <w:t>а</w:t>
      </w:r>
      <w:r w:rsidRPr="00BB312B">
        <w:rPr>
          <w:rFonts w:ascii="Times New Roman" w:hAnsi="Times New Roman" w:cs="Times New Roman"/>
          <w:sz w:val="24"/>
          <w:szCs w:val="24"/>
        </w:rPr>
        <w:t xml:space="preserve"> </w:t>
      </w:r>
      <w:r>
        <w:rPr>
          <w:rFonts w:ascii="Times New Roman" w:hAnsi="Times New Roman" w:cs="Times New Roman"/>
          <w:sz w:val="24"/>
          <w:szCs w:val="24"/>
          <w:lang/>
        </w:rPr>
        <w:t>(Табела 2)</w:t>
      </w:r>
      <w:r w:rsidRPr="00BB312B">
        <w:rPr>
          <w:rFonts w:ascii="Times New Roman" w:hAnsi="Times New Roman" w:cs="Times New Roman"/>
          <w:sz w:val="24"/>
          <w:szCs w:val="24"/>
          <w:lang/>
        </w:rPr>
        <w:t xml:space="preserve">, </w:t>
      </w:r>
      <w:r w:rsidRPr="00E6460E">
        <w:rPr>
          <w:rFonts w:ascii="Times New Roman" w:hAnsi="Times New Roman" w:cs="Times New Roman"/>
          <w:sz w:val="24"/>
          <w:szCs w:val="24"/>
          <w:lang/>
        </w:rPr>
        <w:t>примећује се да је највеће незадовољство запослених изражено у Историјском архиву</w:t>
      </w:r>
      <w:r>
        <w:rPr>
          <w:rFonts w:ascii="Times New Roman" w:hAnsi="Times New Roman" w:cs="Times New Roman"/>
          <w:sz w:val="24"/>
          <w:szCs w:val="24"/>
          <w:lang/>
        </w:rPr>
        <w:t xml:space="preserve"> Сомбор</w:t>
      </w:r>
      <w:r w:rsidRPr="00E6460E">
        <w:rPr>
          <w:rFonts w:ascii="Times New Roman" w:hAnsi="Times New Roman" w:cs="Times New Roman"/>
          <w:sz w:val="24"/>
          <w:szCs w:val="24"/>
          <w:lang/>
        </w:rPr>
        <w:t>,</w:t>
      </w:r>
      <w:r w:rsidRPr="00BB312B">
        <w:rPr>
          <w:rFonts w:ascii="Times New Roman" w:hAnsi="Times New Roman" w:cs="Times New Roman"/>
          <w:sz w:val="24"/>
          <w:szCs w:val="24"/>
          <w:lang/>
        </w:rPr>
        <w:t xml:space="preserve"> где се ниједан испитаник није изјаснио позитивно поводом услова рада, док се 37,5% изјаснило да је „веома незадовољно“ стањем. </w:t>
      </w:r>
      <w:r w:rsidR="00EA2809" w:rsidRPr="00CF5856">
        <w:rPr>
          <w:rFonts w:ascii="Times New Roman" w:hAnsi="Times New Roman" w:cs="Times New Roman"/>
          <w:sz w:val="24"/>
          <w:szCs w:val="24"/>
          <w:lang/>
        </w:rPr>
        <w:t xml:space="preserve">Подаци у вези са архивом су очекивани, с обзиром на то да ова установа ради у неусловном објекту, и да Град настоји да обезбеди нови простор. </w:t>
      </w:r>
      <w:r w:rsidRPr="00CF5856">
        <w:rPr>
          <w:rFonts w:ascii="Times New Roman" w:hAnsi="Times New Roman" w:cs="Times New Roman"/>
          <w:sz w:val="24"/>
          <w:szCs w:val="24"/>
          <w:lang/>
        </w:rPr>
        <w:t xml:space="preserve">С друге стране, сви добијени одговори у Галерији „Милан Коњовић“, Културном центру „Лаза Костић“, Народном позоришту Сомбор </w:t>
      </w:r>
      <w:r w:rsidRPr="00BB312B">
        <w:rPr>
          <w:rFonts w:ascii="Times New Roman" w:hAnsi="Times New Roman" w:cs="Times New Roman"/>
          <w:sz w:val="24"/>
          <w:szCs w:val="24"/>
          <w:lang/>
        </w:rPr>
        <w:t xml:space="preserve">и Градској библиотеци </w:t>
      </w:r>
      <w:r>
        <w:rPr>
          <w:rFonts w:ascii="Times New Roman" w:hAnsi="Times New Roman" w:cs="Times New Roman"/>
          <w:sz w:val="24"/>
          <w:szCs w:val="24"/>
          <w:lang/>
        </w:rPr>
        <w:t>„</w:t>
      </w:r>
      <w:r w:rsidRPr="00BB312B">
        <w:rPr>
          <w:rFonts w:ascii="Times New Roman" w:hAnsi="Times New Roman" w:cs="Times New Roman"/>
          <w:sz w:val="24"/>
          <w:szCs w:val="24"/>
          <w:lang/>
        </w:rPr>
        <w:t>Карло Бијелицки</w:t>
      </w:r>
      <w:r>
        <w:rPr>
          <w:rFonts w:ascii="Times New Roman" w:hAnsi="Times New Roman" w:cs="Times New Roman"/>
          <w:sz w:val="24"/>
          <w:szCs w:val="24"/>
          <w:lang/>
        </w:rPr>
        <w:t>“</w:t>
      </w:r>
      <w:r w:rsidR="00EA2809">
        <w:rPr>
          <w:rFonts w:ascii="Times New Roman" w:hAnsi="Times New Roman" w:cs="Times New Roman"/>
          <w:sz w:val="24"/>
          <w:szCs w:val="24"/>
          <w:lang/>
        </w:rPr>
        <w:t xml:space="preserve"> су концентрисани у</w:t>
      </w:r>
      <w:r w:rsidRPr="00BB312B">
        <w:rPr>
          <w:rFonts w:ascii="Times New Roman" w:hAnsi="Times New Roman" w:cs="Times New Roman"/>
          <w:sz w:val="24"/>
          <w:szCs w:val="24"/>
          <w:lang/>
        </w:rPr>
        <w:t xml:space="preserve"> позитивном делу скале задовољства, </w:t>
      </w:r>
      <w:r>
        <w:rPr>
          <w:rFonts w:ascii="Times New Roman" w:hAnsi="Times New Roman" w:cs="Times New Roman"/>
          <w:sz w:val="24"/>
          <w:szCs w:val="24"/>
          <w:lang/>
        </w:rPr>
        <w:t>односно</w:t>
      </w:r>
      <w:r w:rsidRPr="00BB312B">
        <w:rPr>
          <w:rFonts w:ascii="Times New Roman" w:hAnsi="Times New Roman" w:cs="Times New Roman"/>
          <w:sz w:val="24"/>
          <w:szCs w:val="24"/>
          <w:lang/>
        </w:rPr>
        <w:t xml:space="preserve"> сви испитани су се изјаснили да су у мањој или већој мери задовољни условима рада у тим установама. У Градском музеју Сомбор су мишљења подељена, тачније половина испитаника је задовољна, а друга половина незадовољна условима рада у музеју (</w:t>
      </w:r>
      <w:r>
        <w:rPr>
          <w:rFonts w:ascii="Times New Roman" w:hAnsi="Times New Roman" w:cs="Times New Roman"/>
          <w:sz w:val="24"/>
          <w:szCs w:val="24"/>
          <w:lang/>
        </w:rPr>
        <w:t>при чему нема изјаве</w:t>
      </w:r>
      <w:r w:rsidRPr="00BB312B">
        <w:rPr>
          <w:rFonts w:ascii="Times New Roman" w:hAnsi="Times New Roman" w:cs="Times New Roman"/>
          <w:sz w:val="24"/>
          <w:szCs w:val="24"/>
          <w:lang/>
        </w:rPr>
        <w:t xml:space="preserve"> да је неко од испитаних запослених „веома з</w:t>
      </w:r>
      <w:r>
        <w:rPr>
          <w:rFonts w:ascii="Times New Roman" w:hAnsi="Times New Roman" w:cs="Times New Roman"/>
          <w:sz w:val="24"/>
          <w:szCs w:val="24"/>
          <w:lang/>
        </w:rPr>
        <w:t>адовољан/а</w:t>
      </w:r>
      <w:r w:rsidRPr="00BB312B">
        <w:rPr>
          <w:rFonts w:ascii="Times New Roman" w:hAnsi="Times New Roman" w:cs="Times New Roman"/>
          <w:sz w:val="24"/>
          <w:szCs w:val="24"/>
          <w:lang/>
        </w:rPr>
        <w:t>“ условима, док је 12,5% „веома незадовољно“).</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p>
    <w:p w:rsidR="0057644C" w:rsidRPr="00BB312B" w:rsidRDefault="0057644C" w:rsidP="0057644C">
      <w:pPr>
        <w:shd w:val="clear" w:color="auto" w:fill="FFFFFF" w:themeFill="background1"/>
        <w:autoSpaceDE w:val="0"/>
        <w:autoSpaceDN w:val="0"/>
        <w:adjustRightInd w:val="0"/>
        <w:spacing w:after="0"/>
        <w:jc w:val="both"/>
        <w:rPr>
          <w:rFonts w:ascii="Times New Roman" w:hAnsi="Times New Roman" w:cs="Times New Roman"/>
          <w:b/>
          <w:sz w:val="24"/>
          <w:szCs w:val="24"/>
          <w:lang/>
        </w:rPr>
      </w:pPr>
      <w:r>
        <w:rPr>
          <w:rFonts w:ascii="Times New Roman" w:hAnsi="Times New Roman" w:cs="Times New Roman"/>
          <w:sz w:val="24"/>
          <w:szCs w:val="24"/>
          <w:lang/>
        </w:rPr>
        <w:t xml:space="preserve">Табела </w:t>
      </w:r>
      <w:r w:rsidRPr="00E6460E">
        <w:rPr>
          <w:rFonts w:ascii="Times New Roman" w:hAnsi="Times New Roman" w:cs="Times New Roman"/>
          <w:sz w:val="24"/>
          <w:szCs w:val="24"/>
          <w:lang/>
        </w:rPr>
        <w:t>2:</w:t>
      </w:r>
      <w:r w:rsidRPr="00BB312B">
        <w:rPr>
          <w:rFonts w:ascii="Times New Roman" w:hAnsi="Times New Roman" w:cs="Times New Roman"/>
          <w:b/>
          <w:sz w:val="24"/>
          <w:szCs w:val="24"/>
          <w:lang/>
        </w:rPr>
        <w:t xml:space="preserve"> </w:t>
      </w:r>
      <w:r w:rsidRPr="00BB312B">
        <w:rPr>
          <w:rFonts w:ascii="Times New Roman" w:hAnsi="Times New Roman" w:cs="Times New Roman"/>
          <w:sz w:val="24"/>
          <w:szCs w:val="24"/>
          <w:lang/>
        </w:rPr>
        <w:t>Задовољство условима рада/установа културе</w:t>
      </w:r>
    </w:p>
    <w:tbl>
      <w:tblPr>
        <w:tblStyle w:val="GridTable4Accent1"/>
        <w:tblW w:w="9263" w:type="dxa"/>
        <w:tblLayout w:type="fixed"/>
        <w:tblLook w:val="04A0"/>
      </w:tblPr>
      <w:tblGrid>
        <w:gridCol w:w="4106"/>
        <w:gridCol w:w="1289"/>
        <w:gridCol w:w="1289"/>
        <w:gridCol w:w="1289"/>
        <w:gridCol w:w="1290"/>
      </w:tblGrid>
      <w:tr w:rsidR="0057644C" w:rsidRPr="00BB312B" w:rsidTr="000606DF">
        <w:trPr>
          <w:cnfStyle w:val="100000000000"/>
          <w:trHeight w:val="724"/>
        </w:trPr>
        <w:tc>
          <w:tcPr>
            <w:cnfStyle w:val="001000000000"/>
            <w:tcW w:w="4106" w:type="dxa"/>
          </w:tcPr>
          <w:p w:rsidR="0057644C" w:rsidRDefault="0057644C" w:rsidP="000606DF">
            <w:pPr>
              <w:autoSpaceDE w:val="0"/>
              <w:autoSpaceDN w:val="0"/>
              <w:adjustRightInd w:val="0"/>
              <w:spacing w:line="276" w:lineRule="auto"/>
              <w:jc w:val="both"/>
              <w:rPr>
                <w:rFonts w:ascii="Times New Roman" w:hAnsi="Times New Roman" w:cs="Times New Roman"/>
                <w:sz w:val="20"/>
                <w:szCs w:val="20"/>
                <w:lang/>
              </w:rPr>
            </w:pPr>
          </w:p>
          <w:p w:rsidR="0057644C" w:rsidRPr="00E6460E" w:rsidRDefault="0057644C" w:rsidP="000606DF">
            <w:pPr>
              <w:autoSpaceDE w:val="0"/>
              <w:autoSpaceDN w:val="0"/>
              <w:adjustRightInd w:val="0"/>
              <w:spacing w:line="276" w:lineRule="auto"/>
              <w:jc w:val="both"/>
              <w:rPr>
                <w:rFonts w:ascii="Times New Roman" w:hAnsi="Times New Roman" w:cs="Times New Roman"/>
                <w:sz w:val="20"/>
                <w:szCs w:val="20"/>
                <w:lang/>
              </w:rPr>
            </w:pPr>
            <w:r>
              <w:rPr>
                <w:rFonts w:ascii="Times New Roman" w:hAnsi="Times New Roman" w:cs="Times New Roman"/>
                <w:sz w:val="20"/>
                <w:szCs w:val="20"/>
                <w:lang/>
              </w:rPr>
              <w:t>Установа културе</w:t>
            </w:r>
          </w:p>
        </w:tc>
        <w:tc>
          <w:tcPr>
            <w:tcW w:w="1289" w:type="dxa"/>
            <w:vAlign w:val="center"/>
          </w:tcPr>
          <w:p w:rsidR="0057644C" w:rsidRPr="007B736E" w:rsidRDefault="0057644C" w:rsidP="000606DF">
            <w:pPr>
              <w:spacing w:line="276" w:lineRule="auto"/>
              <w:jc w:val="center"/>
              <w:cnfStyle w:val="100000000000"/>
              <w:rPr>
                <w:rFonts w:ascii="Times New Roman" w:hAnsi="Times New Roman" w:cs="Times New Roman"/>
                <w:b w:val="0"/>
                <w:sz w:val="18"/>
                <w:szCs w:val="18"/>
                <w:lang/>
              </w:rPr>
            </w:pPr>
            <w:r w:rsidRPr="007B736E">
              <w:rPr>
                <w:rFonts w:ascii="Times New Roman" w:hAnsi="Times New Roman" w:cs="Times New Roman"/>
                <w:b w:val="0"/>
                <w:sz w:val="18"/>
                <w:szCs w:val="18"/>
                <w:lang/>
              </w:rPr>
              <w:t>веома задовољан/а</w:t>
            </w:r>
          </w:p>
        </w:tc>
        <w:tc>
          <w:tcPr>
            <w:tcW w:w="1289" w:type="dxa"/>
            <w:vAlign w:val="center"/>
          </w:tcPr>
          <w:p w:rsidR="0057644C" w:rsidRPr="007B736E" w:rsidRDefault="0057644C" w:rsidP="000606DF">
            <w:pPr>
              <w:spacing w:line="276" w:lineRule="auto"/>
              <w:jc w:val="center"/>
              <w:cnfStyle w:val="100000000000"/>
              <w:rPr>
                <w:rFonts w:ascii="Times New Roman" w:hAnsi="Times New Roman" w:cs="Times New Roman"/>
                <w:b w:val="0"/>
                <w:sz w:val="18"/>
                <w:szCs w:val="18"/>
                <w:lang/>
              </w:rPr>
            </w:pPr>
            <w:r w:rsidRPr="007B736E">
              <w:rPr>
                <w:rFonts w:ascii="Times New Roman" w:hAnsi="Times New Roman" w:cs="Times New Roman"/>
                <w:b w:val="0"/>
                <w:sz w:val="18"/>
                <w:szCs w:val="18"/>
                <w:lang/>
              </w:rPr>
              <w:t>задовољан/а</w:t>
            </w:r>
          </w:p>
        </w:tc>
        <w:tc>
          <w:tcPr>
            <w:tcW w:w="1289" w:type="dxa"/>
            <w:vAlign w:val="center"/>
          </w:tcPr>
          <w:p w:rsidR="0057644C" w:rsidRPr="007B736E" w:rsidRDefault="0057644C" w:rsidP="000606DF">
            <w:pPr>
              <w:spacing w:line="276" w:lineRule="auto"/>
              <w:jc w:val="center"/>
              <w:cnfStyle w:val="100000000000"/>
              <w:rPr>
                <w:rFonts w:ascii="Times New Roman" w:hAnsi="Times New Roman" w:cs="Times New Roman"/>
                <w:b w:val="0"/>
                <w:sz w:val="18"/>
                <w:szCs w:val="18"/>
                <w:lang/>
              </w:rPr>
            </w:pPr>
            <w:r w:rsidRPr="007B736E">
              <w:rPr>
                <w:rFonts w:ascii="Times New Roman" w:hAnsi="Times New Roman" w:cs="Times New Roman"/>
                <w:b w:val="0"/>
                <w:sz w:val="18"/>
                <w:szCs w:val="18"/>
                <w:lang/>
              </w:rPr>
              <w:t>незадовољан</w:t>
            </w:r>
          </w:p>
        </w:tc>
        <w:tc>
          <w:tcPr>
            <w:tcW w:w="1290" w:type="dxa"/>
            <w:vAlign w:val="center"/>
          </w:tcPr>
          <w:p w:rsidR="0057644C" w:rsidRPr="007B736E" w:rsidRDefault="0057644C" w:rsidP="000606DF">
            <w:pPr>
              <w:spacing w:line="276" w:lineRule="auto"/>
              <w:jc w:val="center"/>
              <w:cnfStyle w:val="100000000000"/>
              <w:rPr>
                <w:rFonts w:ascii="Times New Roman" w:hAnsi="Times New Roman" w:cs="Times New Roman"/>
                <w:b w:val="0"/>
                <w:sz w:val="18"/>
                <w:szCs w:val="18"/>
                <w:lang/>
              </w:rPr>
            </w:pPr>
            <w:r w:rsidRPr="007B736E">
              <w:rPr>
                <w:rFonts w:ascii="Times New Roman" w:hAnsi="Times New Roman" w:cs="Times New Roman"/>
                <w:b w:val="0"/>
                <w:sz w:val="18"/>
                <w:szCs w:val="18"/>
                <w:lang/>
              </w:rPr>
              <w:t>веома незадовољан/а</w:t>
            </w:r>
          </w:p>
        </w:tc>
      </w:tr>
      <w:tr w:rsidR="0057644C" w:rsidRPr="00BB312B" w:rsidTr="000606DF">
        <w:trPr>
          <w:cnfStyle w:val="000000100000"/>
          <w:trHeight w:val="232"/>
        </w:trPr>
        <w:tc>
          <w:tcPr>
            <w:cnfStyle w:val="001000000000"/>
            <w:tcW w:w="4106" w:type="dxa"/>
          </w:tcPr>
          <w:p w:rsidR="0057644C" w:rsidRPr="00E6460E" w:rsidRDefault="0057644C" w:rsidP="000606DF">
            <w:pPr>
              <w:autoSpaceDE w:val="0"/>
              <w:autoSpaceDN w:val="0"/>
              <w:adjustRightInd w:val="0"/>
              <w:spacing w:line="276" w:lineRule="auto"/>
              <w:jc w:val="both"/>
              <w:rPr>
                <w:rFonts w:ascii="Times New Roman" w:hAnsi="Times New Roman" w:cs="Times New Roman"/>
                <w:sz w:val="20"/>
                <w:szCs w:val="20"/>
                <w:lang/>
              </w:rPr>
            </w:pPr>
            <w:r w:rsidRPr="00E6460E">
              <w:rPr>
                <w:rFonts w:ascii="Times New Roman" w:hAnsi="Times New Roman" w:cs="Times New Roman"/>
                <w:sz w:val="20"/>
                <w:szCs w:val="20"/>
                <w:lang/>
              </w:rPr>
              <w:t>Градски музеј Сомбор</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0.0%</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50.0%</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37.5%</w:t>
            </w:r>
          </w:p>
        </w:tc>
        <w:tc>
          <w:tcPr>
            <w:tcW w:w="1290"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12.5%</w:t>
            </w:r>
          </w:p>
        </w:tc>
      </w:tr>
      <w:tr w:rsidR="0057644C" w:rsidRPr="00BB312B" w:rsidTr="000606DF">
        <w:trPr>
          <w:trHeight w:val="232"/>
        </w:trPr>
        <w:tc>
          <w:tcPr>
            <w:cnfStyle w:val="001000000000"/>
            <w:tcW w:w="4106" w:type="dxa"/>
          </w:tcPr>
          <w:p w:rsidR="0057644C" w:rsidRPr="00E6460E" w:rsidRDefault="0057644C" w:rsidP="000606DF">
            <w:pPr>
              <w:autoSpaceDE w:val="0"/>
              <w:autoSpaceDN w:val="0"/>
              <w:adjustRightInd w:val="0"/>
              <w:spacing w:line="276" w:lineRule="auto"/>
              <w:rPr>
                <w:rFonts w:ascii="Times New Roman" w:hAnsi="Times New Roman" w:cs="Times New Roman"/>
                <w:sz w:val="20"/>
                <w:szCs w:val="20"/>
                <w:lang/>
              </w:rPr>
            </w:pPr>
            <w:r w:rsidRPr="00E6460E">
              <w:rPr>
                <w:rFonts w:ascii="Times New Roman" w:hAnsi="Times New Roman" w:cs="Times New Roman"/>
                <w:sz w:val="20"/>
                <w:szCs w:val="20"/>
                <w:lang/>
              </w:rPr>
              <w:t>Галерија ,,Милан Коњовић"</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75.0%</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25.0%</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0.0%</w:t>
            </w:r>
          </w:p>
        </w:tc>
        <w:tc>
          <w:tcPr>
            <w:tcW w:w="1290"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0.0%</w:t>
            </w:r>
          </w:p>
        </w:tc>
      </w:tr>
      <w:tr w:rsidR="0057644C" w:rsidRPr="00BB312B" w:rsidTr="000606DF">
        <w:trPr>
          <w:cnfStyle w:val="000000100000"/>
          <w:trHeight w:val="232"/>
        </w:trPr>
        <w:tc>
          <w:tcPr>
            <w:cnfStyle w:val="001000000000"/>
            <w:tcW w:w="4106" w:type="dxa"/>
          </w:tcPr>
          <w:p w:rsidR="0057644C" w:rsidRPr="00E6460E" w:rsidRDefault="0057644C" w:rsidP="000606DF">
            <w:pPr>
              <w:autoSpaceDE w:val="0"/>
              <w:autoSpaceDN w:val="0"/>
              <w:adjustRightInd w:val="0"/>
              <w:spacing w:line="276" w:lineRule="auto"/>
              <w:rPr>
                <w:rFonts w:ascii="Times New Roman" w:hAnsi="Times New Roman" w:cs="Times New Roman"/>
                <w:sz w:val="20"/>
                <w:szCs w:val="20"/>
                <w:lang/>
              </w:rPr>
            </w:pPr>
            <w:r w:rsidRPr="00E6460E">
              <w:rPr>
                <w:rFonts w:ascii="Times New Roman" w:hAnsi="Times New Roman" w:cs="Times New Roman"/>
                <w:sz w:val="20"/>
                <w:szCs w:val="20"/>
                <w:lang/>
              </w:rPr>
              <w:t>Културни центар ,,Лаза Костић"</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25.0%</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75.0%</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0.0%</w:t>
            </w:r>
          </w:p>
        </w:tc>
        <w:tc>
          <w:tcPr>
            <w:tcW w:w="1290"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0.0%</w:t>
            </w:r>
          </w:p>
        </w:tc>
      </w:tr>
      <w:tr w:rsidR="0057644C" w:rsidRPr="00BB312B" w:rsidTr="000606DF">
        <w:trPr>
          <w:trHeight w:val="246"/>
        </w:trPr>
        <w:tc>
          <w:tcPr>
            <w:cnfStyle w:val="001000000000"/>
            <w:tcW w:w="4106" w:type="dxa"/>
          </w:tcPr>
          <w:p w:rsidR="0057644C" w:rsidRPr="00E6460E" w:rsidRDefault="0057644C" w:rsidP="000606DF">
            <w:pPr>
              <w:autoSpaceDE w:val="0"/>
              <w:autoSpaceDN w:val="0"/>
              <w:adjustRightInd w:val="0"/>
              <w:spacing w:line="276" w:lineRule="auto"/>
              <w:rPr>
                <w:rFonts w:ascii="Times New Roman" w:hAnsi="Times New Roman" w:cs="Times New Roman"/>
                <w:sz w:val="20"/>
                <w:szCs w:val="20"/>
                <w:lang/>
              </w:rPr>
            </w:pPr>
            <w:r w:rsidRPr="00E6460E">
              <w:rPr>
                <w:rFonts w:ascii="Times New Roman" w:hAnsi="Times New Roman" w:cs="Times New Roman"/>
                <w:sz w:val="20"/>
                <w:szCs w:val="20"/>
                <w:lang/>
              </w:rPr>
              <w:t>Историјски архив Сомбор</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0.0%</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0.0%</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62.5%</w:t>
            </w:r>
          </w:p>
        </w:tc>
        <w:tc>
          <w:tcPr>
            <w:tcW w:w="1290"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37.5%</w:t>
            </w:r>
          </w:p>
        </w:tc>
      </w:tr>
      <w:tr w:rsidR="0057644C" w:rsidRPr="00BB312B" w:rsidTr="000606DF">
        <w:trPr>
          <w:cnfStyle w:val="000000100000"/>
          <w:trHeight w:val="232"/>
        </w:trPr>
        <w:tc>
          <w:tcPr>
            <w:cnfStyle w:val="001000000000"/>
            <w:tcW w:w="4106" w:type="dxa"/>
          </w:tcPr>
          <w:p w:rsidR="0057644C" w:rsidRPr="00E6460E" w:rsidRDefault="0057644C" w:rsidP="000606DF">
            <w:pPr>
              <w:autoSpaceDE w:val="0"/>
              <w:autoSpaceDN w:val="0"/>
              <w:adjustRightInd w:val="0"/>
              <w:spacing w:line="276" w:lineRule="auto"/>
              <w:rPr>
                <w:rFonts w:ascii="Times New Roman" w:hAnsi="Times New Roman" w:cs="Times New Roman"/>
                <w:sz w:val="20"/>
                <w:szCs w:val="20"/>
                <w:lang/>
              </w:rPr>
            </w:pPr>
            <w:r w:rsidRPr="00E6460E">
              <w:rPr>
                <w:rFonts w:ascii="Times New Roman" w:hAnsi="Times New Roman" w:cs="Times New Roman"/>
                <w:sz w:val="20"/>
                <w:szCs w:val="20"/>
                <w:lang/>
              </w:rPr>
              <w:t>Народно позориште Сомбор</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14.3%</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85.7%</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0.0%</w:t>
            </w:r>
          </w:p>
        </w:tc>
        <w:tc>
          <w:tcPr>
            <w:tcW w:w="1290"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0.0%</w:t>
            </w:r>
          </w:p>
        </w:tc>
      </w:tr>
      <w:tr w:rsidR="0057644C" w:rsidRPr="00BB312B" w:rsidTr="000606DF">
        <w:trPr>
          <w:trHeight w:val="232"/>
        </w:trPr>
        <w:tc>
          <w:tcPr>
            <w:cnfStyle w:val="001000000000"/>
            <w:tcW w:w="4106" w:type="dxa"/>
          </w:tcPr>
          <w:p w:rsidR="0057644C" w:rsidRPr="00E6460E" w:rsidRDefault="0057644C" w:rsidP="000606DF">
            <w:pPr>
              <w:autoSpaceDE w:val="0"/>
              <w:autoSpaceDN w:val="0"/>
              <w:adjustRightInd w:val="0"/>
              <w:spacing w:line="276" w:lineRule="auto"/>
              <w:rPr>
                <w:rFonts w:ascii="Times New Roman" w:hAnsi="Times New Roman" w:cs="Times New Roman"/>
                <w:sz w:val="20"/>
                <w:szCs w:val="20"/>
                <w:lang/>
              </w:rPr>
            </w:pPr>
            <w:r w:rsidRPr="00E6460E">
              <w:rPr>
                <w:rFonts w:ascii="Times New Roman" w:hAnsi="Times New Roman" w:cs="Times New Roman"/>
                <w:sz w:val="20"/>
                <w:szCs w:val="20"/>
                <w:lang/>
              </w:rPr>
              <w:t>Градска библиотека ,,Карло Бијелицки"</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8.3%</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91.7%</w:t>
            </w:r>
          </w:p>
        </w:tc>
        <w:tc>
          <w:tcPr>
            <w:tcW w:w="1289"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0.0%</w:t>
            </w:r>
          </w:p>
        </w:tc>
        <w:tc>
          <w:tcPr>
            <w:tcW w:w="1290" w:type="dxa"/>
            <w:vAlign w:val="center"/>
          </w:tcPr>
          <w:p w:rsidR="0057644C" w:rsidRPr="00E6460E" w:rsidRDefault="0057644C" w:rsidP="000606DF">
            <w:pPr>
              <w:spacing w:line="276" w:lineRule="auto"/>
              <w:jc w:val="center"/>
              <w:cnfStyle w:val="000000000000"/>
              <w:rPr>
                <w:rFonts w:ascii="Times New Roman" w:hAnsi="Times New Roman" w:cs="Times New Roman"/>
                <w:sz w:val="20"/>
                <w:szCs w:val="20"/>
              </w:rPr>
            </w:pPr>
            <w:r w:rsidRPr="00E6460E">
              <w:rPr>
                <w:rFonts w:ascii="Times New Roman" w:hAnsi="Times New Roman" w:cs="Times New Roman"/>
                <w:sz w:val="20"/>
                <w:szCs w:val="20"/>
              </w:rPr>
              <w:t>0.0%</w:t>
            </w:r>
          </w:p>
        </w:tc>
      </w:tr>
      <w:tr w:rsidR="0057644C" w:rsidRPr="00BB312B" w:rsidTr="000606DF">
        <w:trPr>
          <w:cnfStyle w:val="000000100000"/>
          <w:trHeight w:val="98"/>
        </w:trPr>
        <w:tc>
          <w:tcPr>
            <w:cnfStyle w:val="001000000000"/>
            <w:tcW w:w="4106" w:type="dxa"/>
          </w:tcPr>
          <w:p w:rsidR="0057644C" w:rsidRPr="00E6460E" w:rsidRDefault="0057644C" w:rsidP="000606DF">
            <w:pPr>
              <w:autoSpaceDE w:val="0"/>
              <w:autoSpaceDN w:val="0"/>
              <w:adjustRightInd w:val="0"/>
              <w:spacing w:line="276" w:lineRule="auto"/>
              <w:jc w:val="both"/>
              <w:rPr>
                <w:rFonts w:ascii="Times New Roman" w:hAnsi="Times New Roman" w:cs="Times New Roman"/>
                <w:sz w:val="20"/>
                <w:szCs w:val="20"/>
                <w:lang/>
              </w:rPr>
            </w:pPr>
            <w:r w:rsidRPr="00E6460E">
              <w:rPr>
                <w:rFonts w:ascii="Times New Roman" w:hAnsi="Times New Roman" w:cs="Times New Roman"/>
                <w:sz w:val="20"/>
                <w:szCs w:val="20"/>
                <w:lang/>
              </w:rPr>
              <w:t>Укупно</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14.0%</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58.1%</w:t>
            </w:r>
          </w:p>
        </w:tc>
        <w:tc>
          <w:tcPr>
            <w:tcW w:w="1289"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18.6%</w:t>
            </w:r>
          </w:p>
        </w:tc>
        <w:tc>
          <w:tcPr>
            <w:tcW w:w="1290" w:type="dxa"/>
            <w:vAlign w:val="center"/>
          </w:tcPr>
          <w:p w:rsidR="0057644C" w:rsidRPr="00E6460E" w:rsidRDefault="0057644C" w:rsidP="000606DF">
            <w:pPr>
              <w:spacing w:line="276" w:lineRule="auto"/>
              <w:jc w:val="center"/>
              <w:cnfStyle w:val="000000100000"/>
              <w:rPr>
                <w:rFonts w:ascii="Times New Roman" w:hAnsi="Times New Roman" w:cs="Times New Roman"/>
                <w:sz w:val="20"/>
                <w:szCs w:val="20"/>
              </w:rPr>
            </w:pPr>
            <w:r w:rsidRPr="00E6460E">
              <w:rPr>
                <w:rFonts w:ascii="Times New Roman" w:hAnsi="Times New Roman" w:cs="Times New Roman"/>
                <w:sz w:val="20"/>
                <w:szCs w:val="20"/>
              </w:rPr>
              <w:t>9.3%</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EA2809" w:rsidRDefault="0057644C" w:rsidP="00EA2809">
      <w:pPr>
        <w:pStyle w:val="Heading2"/>
        <w:numPr>
          <w:ilvl w:val="1"/>
          <w:numId w:val="41"/>
        </w:numPr>
        <w:rPr>
          <w:b/>
        </w:rPr>
      </w:pPr>
      <w:bookmarkStart w:id="44" w:name="_Toc27958767"/>
      <w:bookmarkStart w:id="45" w:name="_Toc36072318"/>
      <w:r w:rsidRPr="00EA2809">
        <w:rPr>
          <w:b/>
        </w:rPr>
        <w:t>Приоритетне области за унапређење услова рада</w:t>
      </w:r>
      <w:bookmarkEnd w:id="44"/>
      <w:bookmarkEnd w:id="45"/>
    </w:p>
    <w:p w:rsidR="0057644C" w:rsidRPr="00BB312B" w:rsidRDefault="0057644C" w:rsidP="0057644C">
      <w:pPr>
        <w:pStyle w:val="ListParagraph"/>
        <w:autoSpaceDE w:val="0"/>
        <w:autoSpaceDN w:val="0"/>
        <w:adjustRightInd w:val="0"/>
        <w:spacing w:after="0"/>
        <w:ind w:left="1440"/>
        <w:jc w:val="both"/>
        <w:rPr>
          <w:rFonts w:ascii="Times New Roman" w:hAnsi="Times New Roman" w:cs="Times New Roman"/>
          <w:sz w:val="24"/>
          <w:szCs w:val="24"/>
          <w:lang/>
        </w:rPr>
      </w:pPr>
    </w:p>
    <w:p w:rsidR="0057644C" w:rsidRPr="00EE1A1E" w:rsidRDefault="00EA2809"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У погледу</w:t>
      </w:r>
      <w:r w:rsidR="0057644C" w:rsidRPr="00BB312B">
        <w:rPr>
          <w:rFonts w:ascii="Times New Roman" w:hAnsi="Times New Roman" w:cs="Times New Roman"/>
          <w:sz w:val="24"/>
          <w:szCs w:val="24"/>
          <w:lang/>
        </w:rPr>
        <w:t xml:space="preserve"> увођења неопходних промена по питању услова рада, </w:t>
      </w:r>
      <w:r w:rsidR="0057644C" w:rsidRPr="00EE1A1E">
        <w:rPr>
          <w:rFonts w:ascii="Times New Roman" w:hAnsi="Times New Roman" w:cs="Times New Roman"/>
          <w:sz w:val="24"/>
          <w:szCs w:val="24"/>
          <w:lang/>
        </w:rPr>
        <w:t xml:space="preserve">највећи број запослених је као приоритет за унапређење одабрао инфраструктурне /просторне услове у </w:t>
      </w:r>
      <w:r>
        <w:rPr>
          <w:rFonts w:ascii="Times New Roman" w:hAnsi="Times New Roman" w:cs="Times New Roman"/>
          <w:sz w:val="24"/>
          <w:szCs w:val="24"/>
          <w:lang/>
        </w:rPr>
        <w:t xml:space="preserve">којима </w:t>
      </w:r>
      <w:r w:rsidR="0057644C" w:rsidRPr="00EE1A1E">
        <w:rPr>
          <w:rFonts w:ascii="Times New Roman" w:hAnsi="Times New Roman" w:cs="Times New Roman"/>
          <w:sz w:val="24"/>
          <w:szCs w:val="24"/>
          <w:lang/>
        </w:rPr>
        <w:t>ради (28% одговора).</w:t>
      </w:r>
      <w:r w:rsidR="0057644C" w:rsidRPr="00BB312B">
        <w:rPr>
          <w:rFonts w:ascii="Times New Roman" w:hAnsi="Times New Roman" w:cs="Times New Roman"/>
          <w:sz w:val="24"/>
          <w:szCs w:val="24"/>
          <w:lang/>
        </w:rPr>
        <w:t xml:space="preserve"> </w:t>
      </w:r>
      <w:r w:rsidR="0057644C">
        <w:rPr>
          <w:rFonts w:ascii="Times New Roman" w:hAnsi="Times New Roman" w:cs="Times New Roman"/>
          <w:sz w:val="24"/>
          <w:szCs w:val="24"/>
          <w:lang/>
        </w:rPr>
        <w:t>На другом месту, потребно је</w:t>
      </w:r>
      <w:r w:rsidR="0057644C" w:rsidRPr="00BB312B">
        <w:rPr>
          <w:rFonts w:ascii="Times New Roman" w:hAnsi="Times New Roman" w:cs="Times New Roman"/>
          <w:sz w:val="24"/>
          <w:szCs w:val="24"/>
          <w:lang/>
        </w:rPr>
        <w:t xml:space="preserve"> </w:t>
      </w:r>
      <w:r w:rsidR="0057644C" w:rsidRPr="00EE1A1E">
        <w:rPr>
          <w:rFonts w:ascii="Times New Roman" w:hAnsi="Times New Roman" w:cs="Times New Roman"/>
          <w:i/>
          <w:sz w:val="24"/>
          <w:szCs w:val="24"/>
          <w:lang/>
        </w:rPr>
        <w:t xml:space="preserve">увести промене у домену </w:t>
      </w:r>
      <w:r w:rsidR="0057644C" w:rsidRPr="00EE1A1E">
        <w:rPr>
          <w:rFonts w:ascii="Times New Roman" w:hAnsi="Times New Roman" w:cs="Times New Roman"/>
          <w:i/>
          <w:sz w:val="24"/>
          <w:szCs w:val="24"/>
          <w:lang/>
        </w:rPr>
        <w:lastRenderedPageBreak/>
        <w:t>организације рада</w:t>
      </w:r>
      <w:r w:rsidR="0057644C" w:rsidRPr="00EE1A1E">
        <w:rPr>
          <w:rFonts w:ascii="Times New Roman" w:hAnsi="Times New Roman" w:cs="Times New Roman"/>
          <w:sz w:val="24"/>
          <w:szCs w:val="24"/>
          <w:lang/>
        </w:rPr>
        <w:t xml:space="preserve"> (бољи тимски рад, подела послова, управљање, сарадња...). На трећем месту на листи приоритета за унапређење услова рада је технолошка опремљеност за рад</w:t>
      </w:r>
      <w:r w:rsidR="0057644C" w:rsidRPr="00BB312B">
        <w:rPr>
          <w:rFonts w:ascii="Times New Roman" w:hAnsi="Times New Roman" w:cs="Times New Roman"/>
          <w:sz w:val="24"/>
          <w:szCs w:val="24"/>
          <w:lang/>
        </w:rPr>
        <w:t xml:space="preserve"> (рачунари, </w:t>
      </w:r>
      <w:r w:rsidR="0057644C">
        <w:rPr>
          <w:rFonts w:ascii="Times New Roman" w:hAnsi="Times New Roman" w:cs="Times New Roman"/>
          <w:sz w:val="24"/>
          <w:szCs w:val="24"/>
          <w:lang/>
        </w:rPr>
        <w:t xml:space="preserve">дигитална опрема и сл.). </w:t>
      </w:r>
      <w:r w:rsidR="0057644C" w:rsidRPr="00BB312B">
        <w:rPr>
          <w:rFonts w:ascii="Times New Roman" w:hAnsi="Times New Roman" w:cs="Times New Roman"/>
          <w:sz w:val="24"/>
          <w:szCs w:val="24"/>
          <w:lang/>
        </w:rPr>
        <w:t>Следи вредновање рада, укључујући нов</w:t>
      </w:r>
      <w:r>
        <w:rPr>
          <w:rFonts w:ascii="Times New Roman" w:hAnsi="Times New Roman" w:cs="Times New Roman"/>
          <w:sz w:val="24"/>
          <w:szCs w:val="24"/>
          <w:lang/>
        </w:rPr>
        <w:t>чане и друге стимулације. Н</w:t>
      </w:r>
      <w:r w:rsidR="0057644C" w:rsidRPr="00BB312B">
        <w:rPr>
          <w:rFonts w:ascii="Times New Roman" w:hAnsi="Times New Roman" w:cs="Times New Roman"/>
          <w:sz w:val="24"/>
          <w:szCs w:val="24"/>
          <w:lang/>
        </w:rPr>
        <w:t>ајмањи број одговора за одређивање приоритетне области за унапређење услова рада додељено могућностима напредовања и усавршавања знања и вештина</w:t>
      </w:r>
      <w:r w:rsidRPr="00CF5856">
        <w:rPr>
          <w:rFonts w:ascii="Times New Roman" w:hAnsi="Times New Roman" w:cs="Times New Roman"/>
          <w:sz w:val="24"/>
          <w:szCs w:val="24"/>
          <w:lang/>
        </w:rPr>
        <w:t>, што је изненађујуће јер се у оквиру фокус група могло чути да запослени готово немају могућност усавршавања, а потребе за одређеним вештинама (на пример дигитализација и конзервација) су велике</w:t>
      </w:r>
      <w:r w:rsidR="0057644C" w:rsidRPr="00CF5856">
        <w:rPr>
          <w:rFonts w:ascii="Times New Roman" w:hAnsi="Times New Roman" w:cs="Times New Roman"/>
          <w:sz w:val="24"/>
          <w:szCs w:val="24"/>
          <w:lang/>
        </w:rPr>
        <w:t xml:space="preserve">. На листу приоритета, у оквиру одговора да наведу неку другу </w:t>
      </w:r>
      <w:r w:rsidR="0057644C" w:rsidRPr="00BB312B">
        <w:rPr>
          <w:rFonts w:ascii="Times New Roman" w:hAnsi="Times New Roman" w:cs="Times New Roman"/>
          <w:sz w:val="24"/>
          <w:szCs w:val="24"/>
          <w:lang/>
        </w:rPr>
        <w:t xml:space="preserve">област, испитаници су додали и потребу за </w:t>
      </w:r>
      <w:r w:rsidR="0057644C" w:rsidRPr="00EE1A1E">
        <w:rPr>
          <w:rFonts w:ascii="Times New Roman" w:hAnsi="Times New Roman" w:cs="Times New Roman"/>
          <w:sz w:val="24"/>
          <w:szCs w:val="24"/>
          <w:lang/>
        </w:rPr>
        <w:t xml:space="preserve">запошљавањем нових људи. </w:t>
      </w:r>
    </w:p>
    <w:p w:rsidR="0057644C" w:rsidRPr="00BB312B" w:rsidRDefault="0057644C" w:rsidP="0057644C">
      <w:pPr>
        <w:shd w:val="clear" w:color="auto" w:fill="FFFFFF" w:themeFill="background1"/>
        <w:autoSpaceDE w:val="0"/>
        <w:autoSpaceDN w:val="0"/>
        <w:adjustRightInd w:val="0"/>
        <w:spacing w:after="0"/>
        <w:jc w:val="both"/>
        <w:rPr>
          <w:rFonts w:ascii="Times New Roman" w:hAnsi="Times New Roman" w:cs="Times New Roman"/>
          <w:b/>
          <w:sz w:val="24"/>
          <w:szCs w:val="24"/>
          <w:lang/>
        </w:rPr>
      </w:pPr>
    </w:p>
    <w:p w:rsidR="0057644C" w:rsidRDefault="0057644C"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Графикон </w:t>
      </w:r>
      <w:r w:rsidRPr="00EE1A1E">
        <w:rPr>
          <w:rFonts w:ascii="Times New Roman" w:hAnsi="Times New Roman" w:cs="Times New Roman"/>
          <w:sz w:val="24"/>
          <w:szCs w:val="24"/>
          <w:lang/>
        </w:rPr>
        <w:t>2:</w:t>
      </w:r>
      <w:r w:rsidRPr="00BB312B">
        <w:rPr>
          <w:rFonts w:ascii="Times New Roman" w:hAnsi="Times New Roman" w:cs="Times New Roman"/>
          <w:sz w:val="24"/>
          <w:szCs w:val="24"/>
          <w:lang/>
        </w:rPr>
        <w:t xml:space="preserve"> Приоритетна област за унапређење услова рада у установама културе</w:t>
      </w:r>
    </w:p>
    <w:p w:rsidR="0057644C" w:rsidRPr="00BB312B" w:rsidRDefault="0057644C"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981700" cy="2009775"/>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BD1640"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Гледајући одговоре на нивоу појединачних установа, </w:t>
      </w:r>
      <w:r>
        <w:rPr>
          <w:rFonts w:ascii="Times New Roman" w:hAnsi="Times New Roman" w:cs="Times New Roman"/>
          <w:sz w:val="24"/>
          <w:szCs w:val="24"/>
          <w:lang/>
        </w:rPr>
        <w:t xml:space="preserve">примећују се извесне разлике, те тако запослени у </w:t>
      </w:r>
      <w:r w:rsidRPr="00BD1640">
        <w:rPr>
          <w:rFonts w:ascii="Times New Roman" w:hAnsi="Times New Roman" w:cs="Times New Roman"/>
          <w:sz w:val="24"/>
          <w:szCs w:val="24"/>
          <w:lang/>
        </w:rPr>
        <w:t>Градском музеју Сомбор сматрају да је приоритет унапређење  организације рада, у Галерији „Милан Коњовић“ – технолошка опремљеност за рад, у културном центру „Лаза Костић“ – вредновање рада, у Историјском архиву Сомбор –  унапређење просторних/ инфраструктурних усло</w:t>
      </w:r>
      <w:r w:rsidR="00EA2809">
        <w:rPr>
          <w:rFonts w:ascii="Times New Roman" w:hAnsi="Times New Roman" w:cs="Times New Roman"/>
          <w:sz w:val="24"/>
          <w:szCs w:val="24"/>
          <w:lang/>
        </w:rPr>
        <w:t>ва, у Народном позоришту Сомбор</w:t>
      </w:r>
      <w:r w:rsidRPr="00BD1640">
        <w:rPr>
          <w:rFonts w:ascii="Times New Roman" w:hAnsi="Times New Roman" w:cs="Times New Roman"/>
          <w:sz w:val="24"/>
          <w:szCs w:val="24"/>
          <w:lang/>
        </w:rPr>
        <w:t xml:space="preserve"> </w:t>
      </w:r>
      <w:r w:rsidR="00EA2809">
        <w:rPr>
          <w:rFonts w:ascii="Times New Roman" w:hAnsi="Times New Roman" w:cs="Times New Roman"/>
          <w:sz w:val="24"/>
          <w:szCs w:val="24"/>
          <w:lang/>
        </w:rPr>
        <w:t>–</w:t>
      </w:r>
      <w:r w:rsidRPr="00BD1640">
        <w:rPr>
          <w:rFonts w:ascii="Times New Roman" w:hAnsi="Times New Roman" w:cs="Times New Roman"/>
          <w:sz w:val="24"/>
          <w:szCs w:val="24"/>
          <w:lang/>
        </w:rPr>
        <w:t xml:space="preserve"> могућност напредовања, а у Градско</w:t>
      </w:r>
      <w:r w:rsidR="00EA2809">
        <w:rPr>
          <w:rFonts w:ascii="Times New Roman" w:hAnsi="Times New Roman" w:cs="Times New Roman"/>
          <w:sz w:val="24"/>
          <w:szCs w:val="24"/>
          <w:lang/>
        </w:rPr>
        <w:t>ј библиотеци „Карло Бијелицки“ –</w:t>
      </w:r>
      <w:r w:rsidRPr="00BD1640">
        <w:rPr>
          <w:rFonts w:ascii="Times New Roman" w:hAnsi="Times New Roman" w:cs="Times New Roman"/>
          <w:sz w:val="24"/>
          <w:szCs w:val="24"/>
          <w:lang/>
        </w:rPr>
        <w:t xml:space="preserve"> унапређење организације рада и технолошка опремљеност установе.  </w:t>
      </w:r>
    </w:p>
    <w:p w:rsidR="0057644C" w:rsidRPr="00BB312B" w:rsidRDefault="0057644C" w:rsidP="0057644C">
      <w:pPr>
        <w:pStyle w:val="ListParagraph"/>
        <w:autoSpaceDE w:val="0"/>
        <w:autoSpaceDN w:val="0"/>
        <w:adjustRightInd w:val="0"/>
        <w:spacing w:after="0"/>
        <w:ind w:left="780"/>
        <w:jc w:val="both"/>
        <w:rPr>
          <w:rFonts w:ascii="Times New Roman" w:hAnsi="Times New Roman" w:cs="Times New Roman"/>
          <w:sz w:val="24"/>
          <w:szCs w:val="24"/>
          <w:lang/>
        </w:rPr>
      </w:pPr>
    </w:p>
    <w:p w:rsidR="0057644C" w:rsidRPr="00EA2809" w:rsidRDefault="0057644C" w:rsidP="00EA2809">
      <w:pPr>
        <w:pStyle w:val="Heading3"/>
        <w:rPr>
          <w:i/>
        </w:rPr>
      </w:pPr>
      <w:bookmarkStart w:id="46" w:name="_Toc27958768"/>
      <w:bookmarkStart w:id="47" w:name="_Toc36072319"/>
      <w:r w:rsidRPr="00EA2809">
        <w:rPr>
          <w:i/>
        </w:rPr>
        <w:t>1.2.1. Унапређење иинфраструктурних услова рада/ потребе запослених</w:t>
      </w:r>
      <w:bookmarkEnd w:id="46"/>
      <w:bookmarkEnd w:id="47"/>
    </w:p>
    <w:p w:rsidR="0057644C" w:rsidRPr="00BB312B" w:rsidRDefault="0057644C" w:rsidP="0057644C">
      <w:pPr>
        <w:autoSpaceDE w:val="0"/>
        <w:autoSpaceDN w:val="0"/>
        <w:adjustRightInd w:val="0"/>
        <w:spacing w:after="0"/>
        <w:ind w:left="42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Пошто</w:t>
      </w:r>
      <w:r w:rsidRPr="00BB312B">
        <w:rPr>
          <w:rFonts w:ascii="Times New Roman" w:hAnsi="Times New Roman" w:cs="Times New Roman"/>
          <w:sz w:val="24"/>
          <w:szCs w:val="24"/>
          <w:lang/>
        </w:rPr>
        <w:t xml:space="preserve"> су запослени истакли да је први приоритет за унапређење услова рада област уна</w:t>
      </w:r>
      <w:r>
        <w:rPr>
          <w:rFonts w:ascii="Times New Roman" w:hAnsi="Times New Roman" w:cs="Times New Roman"/>
          <w:sz w:val="24"/>
          <w:szCs w:val="24"/>
          <w:lang/>
        </w:rPr>
        <w:t>пређења</w:t>
      </w:r>
      <w:r w:rsidRPr="00BB312B">
        <w:rPr>
          <w:rFonts w:ascii="Times New Roman" w:hAnsi="Times New Roman" w:cs="Times New Roman"/>
          <w:sz w:val="24"/>
          <w:szCs w:val="24"/>
          <w:lang/>
        </w:rPr>
        <w:t xml:space="preserve"> инфраструктуре и простора установа, у оквиру фокус група разговор је вођен на тему конкретних потребних радова и пројеката за сваку установу културе</w:t>
      </w:r>
      <w:r w:rsidRPr="00BB312B">
        <w:rPr>
          <w:rFonts w:ascii="Times New Roman" w:hAnsi="Times New Roman" w:cs="Times New Roman"/>
          <w:sz w:val="24"/>
          <w:szCs w:val="24"/>
          <w:lang/>
        </w:rPr>
        <w:t xml:space="preserve">, </w:t>
      </w:r>
      <w:r w:rsidRPr="00BB312B">
        <w:rPr>
          <w:rFonts w:ascii="Times New Roman" w:hAnsi="Times New Roman" w:cs="Times New Roman"/>
          <w:sz w:val="24"/>
          <w:szCs w:val="24"/>
          <w:lang/>
        </w:rPr>
        <w:t xml:space="preserve">према потребама и проценама запослених који у њима раде. </w:t>
      </w:r>
    </w:p>
    <w:p w:rsidR="0057644C" w:rsidRDefault="0057644C" w:rsidP="0057644C">
      <w:pPr>
        <w:autoSpaceDE w:val="0"/>
        <w:autoSpaceDN w:val="0"/>
        <w:adjustRightInd w:val="0"/>
        <w:spacing w:after="0"/>
        <w:jc w:val="both"/>
        <w:rPr>
          <w:rFonts w:ascii="Times New Roman" w:hAnsi="Times New Roman" w:cs="Times New Roman"/>
          <w:sz w:val="24"/>
          <w:szCs w:val="24"/>
          <w:lang/>
        </w:rPr>
      </w:pPr>
      <w:r w:rsidRPr="00BB312B">
        <w:rPr>
          <w:rFonts w:ascii="Times New Roman" w:hAnsi="Times New Roman" w:cs="Times New Roman"/>
          <w:sz w:val="24"/>
          <w:szCs w:val="24"/>
          <w:lang/>
        </w:rPr>
        <w:tab/>
        <w:t>Запослени су истакли следеће приоритетне потребе:</w:t>
      </w:r>
    </w:p>
    <w:p w:rsidR="0057644C" w:rsidRPr="00EE1A1E" w:rsidRDefault="0057644C" w:rsidP="00B03CD2">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Градски музеј Сомбор –  реконструкција депоа</w:t>
      </w:r>
    </w:p>
    <w:p w:rsidR="0057644C" w:rsidRPr="00EE1A1E" w:rsidRDefault="0057644C" w:rsidP="00B03CD2">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 xml:space="preserve">Галерија „Милан Коњовић“ – реконструкција депоа и система грејања </w:t>
      </w:r>
    </w:p>
    <w:p w:rsidR="0057644C" w:rsidRPr="00EE1A1E" w:rsidRDefault="0057644C" w:rsidP="00B03CD2">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Културни центар „Лаза Костић“ – реконструкција система грејања</w:t>
      </w:r>
    </w:p>
    <w:p w:rsidR="0057644C" w:rsidRPr="00EE1A1E" w:rsidRDefault="0057644C" w:rsidP="00B03CD2">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Историјски архив Сомбор – нова зграда или комплетна реконструкција постојеће</w:t>
      </w:r>
    </w:p>
    <w:p w:rsidR="0057644C" w:rsidRPr="00EE1A1E" w:rsidRDefault="0057644C" w:rsidP="00B03CD2">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lastRenderedPageBreak/>
        <w:t>Народно позориште Сомбор  - реконструкција система грејања, вентилације и климатизација сале</w:t>
      </w:r>
    </w:p>
    <w:p w:rsidR="0057644C" w:rsidRDefault="0057644C" w:rsidP="00B03CD2">
      <w:pPr>
        <w:pStyle w:val="ListParagraph"/>
        <w:numPr>
          <w:ilvl w:val="0"/>
          <w:numId w:val="34"/>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Градска библиотека „Карло Бијелицки“  - простор за младе, простор за књиговезницу</w:t>
      </w:r>
    </w:p>
    <w:p w:rsidR="0057644C" w:rsidRPr="00BD1640" w:rsidRDefault="0057644C" w:rsidP="0057644C">
      <w:pPr>
        <w:autoSpaceDE w:val="0"/>
        <w:autoSpaceDN w:val="0"/>
        <w:adjustRightInd w:val="0"/>
        <w:spacing w:after="0"/>
        <w:ind w:firstLine="360"/>
        <w:jc w:val="both"/>
        <w:rPr>
          <w:rFonts w:ascii="Times New Roman" w:hAnsi="Times New Roman" w:cs="Times New Roman"/>
          <w:sz w:val="24"/>
          <w:szCs w:val="24"/>
          <w:lang/>
        </w:rPr>
      </w:pPr>
      <w:r>
        <w:rPr>
          <w:rFonts w:ascii="Times New Roman" w:hAnsi="Times New Roman" w:cs="Times New Roman"/>
          <w:sz w:val="24"/>
          <w:szCs w:val="24"/>
          <w:lang/>
        </w:rPr>
        <w:t xml:space="preserve">Сви наведени инфраструктурни проблеми указују да је потребно издвојити велика финансијска средства за инфраструктуру, због чега је потребно израдити план инфраструктурних инвестиција. </w:t>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EA2809" w:rsidRDefault="0057644C" w:rsidP="00EA2809">
      <w:pPr>
        <w:pStyle w:val="Heading3"/>
        <w:rPr>
          <w:i/>
        </w:rPr>
      </w:pPr>
      <w:r w:rsidRPr="00BB312B">
        <w:rPr>
          <w:lang/>
        </w:rPr>
        <w:t xml:space="preserve"> </w:t>
      </w:r>
      <w:r w:rsidRPr="00EA2809">
        <w:rPr>
          <w:i/>
        </w:rPr>
        <w:t xml:space="preserve"> </w:t>
      </w:r>
      <w:bookmarkStart w:id="48" w:name="_Toc27958769"/>
      <w:bookmarkStart w:id="49" w:name="_Toc36072320"/>
      <w:r w:rsidRPr="00EA2809">
        <w:rPr>
          <w:i/>
        </w:rPr>
        <w:t>1.2.2. Запошљавање нових кадрова у установама културе/ потребе запослених</w:t>
      </w:r>
      <w:bookmarkEnd w:id="48"/>
      <w:bookmarkEnd w:id="49"/>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ind w:firstLine="360"/>
        <w:jc w:val="both"/>
        <w:rPr>
          <w:rFonts w:ascii="Times New Roman" w:hAnsi="Times New Roman" w:cs="Times New Roman"/>
          <w:sz w:val="24"/>
          <w:szCs w:val="24"/>
          <w:lang/>
        </w:rPr>
      </w:pPr>
      <w:r w:rsidRPr="00BB312B">
        <w:rPr>
          <w:rFonts w:ascii="Times New Roman" w:hAnsi="Times New Roman" w:cs="Times New Roman"/>
          <w:sz w:val="24"/>
          <w:szCs w:val="24"/>
          <w:lang/>
        </w:rPr>
        <w:t>Истакнута потреба за додатним запошљавањем у установама културе је посебно разматрана у разговорима са запосленима у оквиру фокус група. Учесници разговора из реда запослених су се усагласили да је у установама потребно запослити следеће нове кадрове:</w:t>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EE1A1E" w:rsidRDefault="0057644C" w:rsidP="00B03CD2">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Градски музеј Сомбор – особа за дигитализацију-документалиста, правник, водичка служба, техничка служба, кустоси</w:t>
      </w:r>
    </w:p>
    <w:p w:rsidR="0057644C" w:rsidRPr="00EE1A1E" w:rsidRDefault="0057644C" w:rsidP="00B03CD2">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Галерија „Милан Коњовић“ – документалиста, историчар уметности, водич са знањем страног језика, и педагог</w:t>
      </w:r>
    </w:p>
    <w:p w:rsidR="0057644C" w:rsidRPr="00D548DE" w:rsidRDefault="0057644C" w:rsidP="00B03CD2">
      <w:pPr>
        <w:pStyle w:val="ListParagraph"/>
        <w:numPr>
          <w:ilvl w:val="0"/>
          <w:numId w:val="35"/>
        </w:numPr>
        <w:spacing w:after="200" w:line="276" w:lineRule="auto"/>
        <w:rPr>
          <w:rFonts w:ascii="Times New Roman" w:hAnsi="Times New Roman" w:cs="Times New Roman"/>
          <w:sz w:val="24"/>
          <w:szCs w:val="24"/>
          <w:lang/>
        </w:rPr>
      </w:pPr>
      <w:r w:rsidRPr="00D548DE">
        <w:rPr>
          <w:rFonts w:ascii="Times New Roman" w:hAnsi="Times New Roman" w:cs="Times New Roman"/>
          <w:sz w:val="24"/>
          <w:szCs w:val="24"/>
          <w:lang/>
        </w:rPr>
        <w:t>Културни центар „Лаза Костић“ – уредници програма, техничко особље, правник, службеник за јавне набавке</w:t>
      </w:r>
    </w:p>
    <w:p w:rsidR="0057644C" w:rsidRPr="00EE1A1E" w:rsidRDefault="0057644C" w:rsidP="00B03CD2">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Историјски архив Сомбор – архивиста са знањем немачког, мађарског и латинског језика, правник, особе за дигитализацију, конзерватор</w:t>
      </w:r>
    </w:p>
    <w:p w:rsidR="0057644C" w:rsidRPr="00EE1A1E" w:rsidRDefault="0057644C" w:rsidP="00B03CD2">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lang/>
        </w:rPr>
      </w:pPr>
      <w:r w:rsidRPr="00EE1A1E">
        <w:rPr>
          <w:rFonts w:ascii="Times New Roman" w:hAnsi="Times New Roman" w:cs="Times New Roman"/>
          <w:sz w:val="24"/>
          <w:szCs w:val="24"/>
          <w:lang/>
        </w:rPr>
        <w:t>Народно позориште Сомбор  - организатор програма, техничко особље, правно-административни сарадник, пројектни менаџер</w:t>
      </w:r>
    </w:p>
    <w:p w:rsidR="0057644C" w:rsidRPr="00EE1A1E" w:rsidRDefault="0057644C" w:rsidP="00B03CD2">
      <w:pPr>
        <w:pStyle w:val="ListParagraph"/>
        <w:numPr>
          <w:ilvl w:val="0"/>
          <w:numId w:val="35"/>
        </w:numPr>
        <w:autoSpaceDE w:val="0"/>
        <w:autoSpaceDN w:val="0"/>
        <w:adjustRightInd w:val="0"/>
        <w:spacing w:after="0" w:line="276" w:lineRule="auto"/>
        <w:jc w:val="both"/>
        <w:rPr>
          <w:rFonts w:ascii="Times New Roman" w:hAnsi="Times New Roman" w:cs="Times New Roman"/>
          <w:sz w:val="24"/>
          <w:szCs w:val="24"/>
        </w:rPr>
      </w:pPr>
      <w:r w:rsidRPr="00EE1A1E">
        <w:rPr>
          <w:rFonts w:ascii="Times New Roman" w:hAnsi="Times New Roman" w:cs="Times New Roman"/>
          <w:sz w:val="24"/>
          <w:szCs w:val="24"/>
          <w:lang/>
        </w:rPr>
        <w:t>Градска библиотека „Карло Бијелицки“  -  конзерватор, библиотекари</w:t>
      </w:r>
    </w:p>
    <w:p w:rsidR="0057644C" w:rsidRPr="00EE1A1E" w:rsidRDefault="0057644C" w:rsidP="0057644C">
      <w:pPr>
        <w:pStyle w:val="ListParagraph"/>
        <w:autoSpaceDE w:val="0"/>
        <w:autoSpaceDN w:val="0"/>
        <w:adjustRightInd w:val="0"/>
        <w:spacing w:after="0"/>
        <w:jc w:val="both"/>
        <w:rPr>
          <w:rFonts w:ascii="Times New Roman" w:hAnsi="Times New Roman" w:cs="Times New Roman"/>
          <w:sz w:val="24"/>
          <w:szCs w:val="24"/>
        </w:rPr>
      </w:pPr>
    </w:p>
    <w:p w:rsidR="0057644C" w:rsidRPr="00BD1640" w:rsidRDefault="0057644C" w:rsidP="0057644C">
      <w:pPr>
        <w:ind w:firstLine="360"/>
        <w:jc w:val="both"/>
        <w:rPr>
          <w:rFonts w:ascii="Times New Roman" w:hAnsi="Times New Roman" w:cs="Times New Roman"/>
          <w:sz w:val="24"/>
          <w:szCs w:val="24"/>
          <w:lang/>
        </w:rPr>
      </w:pPr>
      <w:r w:rsidRPr="00EE1A1E">
        <w:rPr>
          <w:rFonts w:ascii="Times New Roman" w:hAnsi="Times New Roman" w:cs="Times New Roman"/>
          <w:sz w:val="24"/>
          <w:szCs w:val="24"/>
          <w:lang/>
        </w:rPr>
        <w:t xml:space="preserve">Важно је напоменути да су наведене и систематизоване изјаве запослених, у смислу њихових потреба и процена. </w:t>
      </w:r>
      <w:r w:rsidRPr="00BD1640">
        <w:rPr>
          <w:rFonts w:ascii="Times New Roman" w:hAnsi="Times New Roman" w:cs="Times New Roman"/>
          <w:sz w:val="24"/>
          <w:szCs w:val="24"/>
          <w:lang/>
        </w:rPr>
        <w:t>Међутим, како би запошљавање било системски регулисано, оправдано и економски прихватљиво неопходно је урадити анализу потреба у установама културе.</w:t>
      </w:r>
    </w:p>
    <w:p w:rsidR="0057644C" w:rsidRPr="00EA2809" w:rsidRDefault="0057644C" w:rsidP="00EA2809">
      <w:pPr>
        <w:pStyle w:val="Heading3"/>
        <w:rPr>
          <w:i/>
        </w:rPr>
      </w:pPr>
      <w:bookmarkStart w:id="50" w:name="_Toc27958770"/>
      <w:bookmarkStart w:id="51" w:name="_Toc36072321"/>
      <w:r w:rsidRPr="00EA2809">
        <w:rPr>
          <w:i/>
        </w:rPr>
        <w:t>1.2.3. Професионално усавршавање знања и вештина/ потребе запослених</w:t>
      </w:r>
      <w:bookmarkEnd w:id="50"/>
      <w:bookmarkEnd w:id="51"/>
    </w:p>
    <w:p w:rsidR="0057644C" w:rsidRPr="00BB312B" w:rsidRDefault="0057644C" w:rsidP="003B5C99">
      <w:pPr>
        <w:spacing w:after="0"/>
        <w:jc w:val="both"/>
        <w:rPr>
          <w:rFonts w:ascii="Times New Roman" w:hAnsi="Times New Roman" w:cs="Times New Roman"/>
          <w:sz w:val="24"/>
          <w:szCs w:val="24"/>
          <w:lang/>
        </w:rPr>
      </w:pPr>
    </w:p>
    <w:p w:rsidR="0057644C" w:rsidRPr="00E46628" w:rsidRDefault="0057644C" w:rsidP="0057644C">
      <w:pPr>
        <w:ind w:firstLine="720"/>
        <w:jc w:val="both"/>
        <w:rPr>
          <w:rFonts w:ascii="Times New Roman" w:hAnsi="Times New Roman" w:cs="Times New Roman"/>
          <w:sz w:val="24"/>
          <w:szCs w:val="24"/>
          <w:lang/>
        </w:rPr>
      </w:pPr>
      <w:r w:rsidRPr="000C2041">
        <w:rPr>
          <w:rFonts w:ascii="Times New Roman" w:hAnsi="Times New Roman" w:cs="Times New Roman"/>
          <w:sz w:val="24"/>
          <w:szCs w:val="24"/>
          <w:lang/>
        </w:rPr>
        <w:t>Имајући у виду своје пословне обавезе и захтеве, од запослених је тражено да се изјасне о потреби за додатним програмима едукације ради стручног усавршавања знања и вештина.</w:t>
      </w:r>
      <w:r w:rsidRPr="000C2041">
        <w:rPr>
          <w:rFonts w:ascii="Times New Roman" w:hAnsi="Times New Roman" w:cs="Times New Roman"/>
          <w:b/>
          <w:i/>
          <w:sz w:val="24"/>
          <w:szCs w:val="24"/>
          <w:lang/>
        </w:rPr>
        <w:t xml:space="preserve"> </w:t>
      </w:r>
      <w:r w:rsidRPr="000C2041">
        <w:rPr>
          <w:rFonts w:ascii="Times New Roman" w:hAnsi="Times New Roman" w:cs="Times New Roman"/>
          <w:sz w:val="24"/>
          <w:szCs w:val="24"/>
          <w:lang/>
        </w:rPr>
        <w:t>Већина запослених, тачније 60,5% испитаника, изјаснила се да им је веома важно да се додатно едукују</w:t>
      </w:r>
      <w:r w:rsidRPr="000C2041">
        <w:rPr>
          <w:rFonts w:ascii="Times New Roman" w:hAnsi="Times New Roman" w:cs="Times New Roman"/>
          <w:b/>
          <w:i/>
          <w:sz w:val="24"/>
          <w:szCs w:val="24"/>
          <w:lang/>
        </w:rPr>
        <w:t>,</w:t>
      </w:r>
      <w:r w:rsidRPr="000C2041">
        <w:rPr>
          <w:rFonts w:ascii="Times New Roman" w:hAnsi="Times New Roman" w:cs="Times New Roman"/>
          <w:sz w:val="24"/>
          <w:szCs w:val="24"/>
          <w:lang/>
        </w:rPr>
        <w:t xml:space="preserve"> док је</w:t>
      </w:r>
      <w:r>
        <w:rPr>
          <w:rFonts w:ascii="Times New Roman" w:hAnsi="Times New Roman" w:cs="Times New Roman"/>
          <w:sz w:val="24"/>
          <w:szCs w:val="24"/>
          <w:lang/>
        </w:rPr>
        <w:t xml:space="preserve"> </w:t>
      </w:r>
      <w:r>
        <w:rPr>
          <w:rFonts w:ascii="Times New Roman" w:hAnsi="Times New Roman" w:cs="Times New Roman"/>
          <w:sz w:val="24"/>
          <w:szCs w:val="24"/>
          <w:lang/>
        </w:rPr>
        <w:t>готово</w:t>
      </w:r>
      <w:r w:rsidRPr="000C2041">
        <w:rPr>
          <w:rFonts w:ascii="Times New Roman" w:hAnsi="Times New Roman" w:cs="Times New Roman"/>
          <w:sz w:val="24"/>
          <w:szCs w:val="24"/>
          <w:lang/>
        </w:rPr>
        <w:t xml:space="preserve"> трећина (32</w:t>
      </w:r>
      <w:r w:rsidRPr="00BB312B">
        <w:rPr>
          <w:rFonts w:ascii="Times New Roman" w:hAnsi="Times New Roman" w:cs="Times New Roman"/>
          <w:sz w:val="24"/>
          <w:szCs w:val="24"/>
          <w:lang/>
        </w:rPr>
        <w:t>,6%)  изјавила да нису размишљали о томе, али би пристали када би им програми едукације били понуђени. На</w:t>
      </w:r>
      <w:r>
        <w:rPr>
          <w:rFonts w:ascii="Times New Roman" w:hAnsi="Times New Roman" w:cs="Times New Roman"/>
          <w:sz w:val="24"/>
          <w:szCs w:val="24"/>
          <w:lang/>
        </w:rPr>
        <w:t>јмањи број испитаних се изјасни</w:t>
      </w:r>
      <w:r w:rsidRPr="00BB312B">
        <w:rPr>
          <w:rFonts w:ascii="Times New Roman" w:hAnsi="Times New Roman" w:cs="Times New Roman"/>
          <w:sz w:val="24"/>
          <w:szCs w:val="24"/>
          <w:lang/>
        </w:rPr>
        <w:t>о да нема потребу за додатним едукацијама јер су сасвим довољно образовани.</w:t>
      </w:r>
    </w:p>
    <w:p w:rsidR="00E65E49" w:rsidRDefault="00E65E49"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p>
    <w:p w:rsidR="00E65E49" w:rsidRDefault="00E65E49"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p>
    <w:p w:rsidR="0057644C" w:rsidRDefault="0057644C"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r w:rsidRPr="00E46628">
        <w:rPr>
          <w:rFonts w:ascii="Times New Roman" w:hAnsi="Times New Roman" w:cs="Times New Roman"/>
          <w:sz w:val="24"/>
          <w:szCs w:val="24"/>
          <w:lang/>
        </w:rPr>
        <w:t>Графикон 3: Потреба</w:t>
      </w:r>
      <w:r w:rsidRPr="00BB312B">
        <w:rPr>
          <w:rFonts w:ascii="Times New Roman" w:hAnsi="Times New Roman" w:cs="Times New Roman"/>
          <w:sz w:val="24"/>
          <w:szCs w:val="24"/>
          <w:lang/>
        </w:rPr>
        <w:t xml:space="preserve"> за додатним едукацијама</w:t>
      </w:r>
    </w:p>
    <w:p w:rsidR="0057644C" w:rsidRPr="00BB312B" w:rsidRDefault="0057644C" w:rsidP="0057644C">
      <w:pPr>
        <w:shd w:val="clear" w:color="auto" w:fill="FFFFFF" w:themeFill="background1"/>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962650" cy="12763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57644C" w:rsidRPr="00BB312B" w:rsidRDefault="0057644C" w:rsidP="0057644C">
      <w:pPr>
        <w:spacing w:after="0"/>
        <w:jc w:val="both"/>
        <w:rPr>
          <w:rFonts w:ascii="Times New Roman" w:hAnsi="Times New Roman" w:cs="Times New Roman"/>
          <w:sz w:val="24"/>
          <w:szCs w:val="24"/>
        </w:rPr>
      </w:pPr>
    </w:p>
    <w:p w:rsidR="0057644C" w:rsidRPr="00E46628" w:rsidRDefault="0057644C" w:rsidP="0057644C">
      <w:pPr>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Испитаници су у отвореном питању наводили предлоге области, тема и курсева који би им били потреби ради стручног усавршавања. Најчешће су навођене области </w:t>
      </w:r>
      <w:r w:rsidRPr="00E46628">
        <w:rPr>
          <w:rFonts w:ascii="Times New Roman" w:hAnsi="Times New Roman" w:cs="Times New Roman"/>
          <w:sz w:val="24"/>
          <w:szCs w:val="24"/>
          <w:lang/>
        </w:rPr>
        <w:t>употребе дигиталних технологија и нових медија, стратешког управљања, пројектног планирања, развоја публике</w:t>
      </w:r>
      <w:r>
        <w:rPr>
          <w:rFonts w:ascii="Times New Roman" w:hAnsi="Times New Roman" w:cs="Times New Roman"/>
          <w:sz w:val="24"/>
          <w:szCs w:val="24"/>
          <w:lang/>
        </w:rPr>
        <w:t xml:space="preserve">, </w:t>
      </w:r>
      <w:r w:rsidRPr="00E46628">
        <w:rPr>
          <w:rFonts w:ascii="Times New Roman" w:hAnsi="Times New Roman" w:cs="Times New Roman"/>
          <w:sz w:val="24"/>
          <w:szCs w:val="24"/>
          <w:lang/>
        </w:rPr>
        <w:t>инова</w:t>
      </w:r>
      <w:r>
        <w:rPr>
          <w:rFonts w:ascii="Times New Roman" w:hAnsi="Times New Roman" w:cs="Times New Roman"/>
          <w:sz w:val="24"/>
          <w:szCs w:val="24"/>
          <w:lang/>
        </w:rPr>
        <w:t>тивним</w:t>
      </w:r>
      <w:r w:rsidRPr="00E46628">
        <w:rPr>
          <w:rFonts w:ascii="Times New Roman" w:hAnsi="Times New Roman" w:cs="Times New Roman"/>
          <w:sz w:val="24"/>
          <w:szCs w:val="24"/>
          <w:lang/>
        </w:rPr>
        <w:t xml:space="preserve"> праксама организације културних делатности и презентације културних добара и културних израза.</w:t>
      </w:r>
    </w:p>
    <w:p w:rsidR="0057644C" w:rsidRPr="00BB312B" w:rsidRDefault="0057644C" w:rsidP="0057644C">
      <w:pPr>
        <w:jc w:val="both"/>
        <w:rPr>
          <w:rFonts w:ascii="Times New Roman" w:hAnsi="Times New Roman" w:cs="Times New Roman"/>
          <w:sz w:val="24"/>
          <w:szCs w:val="24"/>
          <w:lang/>
        </w:rPr>
      </w:pPr>
      <w:r w:rsidRPr="00BB312B">
        <w:rPr>
          <w:rFonts w:ascii="Times New Roman" w:hAnsi="Times New Roman" w:cs="Times New Roman"/>
          <w:sz w:val="24"/>
          <w:szCs w:val="24"/>
          <w:lang/>
        </w:rPr>
        <w:t>Тачније, запослени су навели следеће предлоге тема за организацију додатних едукација:</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Употреба информационих технологија</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Дигитализација културног наслеђа</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Дигитални маркетинг</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Развој мобилних апликација и програмирање</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Писање пројеката </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Обуке из области стратешког планирања, менаџмента и организације</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Музејска педагогија </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Иновације у презентацији културног наслеђа</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Конзервација</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Едукације за кустосе</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Едукације о раду у култури са осетљивим групама (слепи и слабовиди</w:t>
      </w:r>
      <w:r>
        <w:rPr>
          <w:rFonts w:ascii="Times New Roman" w:hAnsi="Times New Roman" w:cs="Times New Roman"/>
          <w:sz w:val="24"/>
          <w:szCs w:val="24"/>
          <w:lang/>
        </w:rPr>
        <w:t>, особе са инвалидитетом</w:t>
      </w:r>
      <w:r w:rsidRPr="00BB312B">
        <w:rPr>
          <w:rFonts w:ascii="Times New Roman" w:hAnsi="Times New Roman" w:cs="Times New Roman"/>
          <w:sz w:val="24"/>
          <w:szCs w:val="24"/>
          <w:lang/>
        </w:rPr>
        <w:t>)</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Савремен тенденције у различитим културним делатностима: музеологији, галеријској пракси, извођачким уметностима.</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Повећање публике (приступ адолесцентима, особама трећег доба, повез</w:t>
      </w:r>
      <w:r>
        <w:rPr>
          <w:rFonts w:ascii="Times New Roman" w:hAnsi="Times New Roman" w:cs="Times New Roman"/>
          <w:sz w:val="24"/>
          <w:szCs w:val="24"/>
          <w:lang/>
        </w:rPr>
        <w:t>ивање школа и установа културе</w:t>
      </w:r>
      <w:r w:rsidRPr="00BB312B">
        <w:rPr>
          <w:rFonts w:ascii="Times New Roman" w:hAnsi="Times New Roman" w:cs="Times New Roman"/>
          <w:sz w:val="24"/>
          <w:szCs w:val="24"/>
          <w:lang/>
        </w:rPr>
        <w:t>)</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Едукације из области етнологије и антропологије</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Унапређење библиотечке делатности: унапређење корисничких услуга, каталогизација и правна регулатива у библиотечкој делатности, библиографија, откуп и набавка књига, посебне збирке у библиотечким фондовима, </w:t>
      </w:r>
      <w:r>
        <w:rPr>
          <w:rFonts w:ascii="Times New Roman" w:hAnsi="Times New Roman" w:cs="Times New Roman"/>
          <w:sz w:val="24"/>
          <w:szCs w:val="24"/>
          <w:lang/>
        </w:rPr>
        <w:t>стара и ретка књига</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Страни језици</w:t>
      </w:r>
    </w:p>
    <w:p w:rsidR="0057644C" w:rsidRPr="00BB312B" w:rsidRDefault="0057644C" w:rsidP="00B03CD2">
      <w:pPr>
        <w:pStyle w:val="ListParagraph"/>
        <w:numPr>
          <w:ilvl w:val="0"/>
          <w:numId w:val="26"/>
        </w:numPr>
        <w:spacing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Јавне набавке и администрација</w:t>
      </w:r>
    </w:p>
    <w:p w:rsidR="0057644C" w:rsidRPr="00E46628" w:rsidRDefault="0057644C" w:rsidP="0057644C">
      <w:pPr>
        <w:ind w:firstLine="360"/>
        <w:jc w:val="both"/>
        <w:rPr>
          <w:rFonts w:ascii="Times New Roman" w:hAnsi="Times New Roman" w:cs="Times New Roman"/>
          <w:sz w:val="24"/>
          <w:szCs w:val="24"/>
          <w:lang/>
        </w:rPr>
      </w:pPr>
      <w:r w:rsidRPr="00E46628">
        <w:rPr>
          <w:rFonts w:ascii="Times New Roman" w:hAnsi="Times New Roman" w:cs="Times New Roman"/>
          <w:sz w:val="24"/>
          <w:szCs w:val="24"/>
          <w:lang/>
        </w:rPr>
        <w:lastRenderedPageBreak/>
        <w:t>Већина испитаника (56%) је задовољно условима које установе културе у Сомбору пружају запосленима по питању професионалног усавршавања.</w:t>
      </w:r>
      <w:r>
        <w:rPr>
          <w:rFonts w:ascii="Times New Roman" w:hAnsi="Times New Roman" w:cs="Times New Roman"/>
          <w:sz w:val="24"/>
          <w:szCs w:val="24"/>
          <w:lang/>
        </w:rPr>
        <w:t xml:space="preserve"> Више од четвртине испитаника се изјаснило да је нити задовољно</w:t>
      </w:r>
      <w:r w:rsidRPr="00E46628">
        <w:rPr>
          <w:rFonts w:ascii="Times New Roman" w:hAnsi="Times New Roman" w:cs="Times New Roman"/>
          <w:sz w:val="24"/>
          <w:szCs w:val="24"/>
          <w:lang/>
        </w:rPr>
        <w:t xml:space="preserve"> –</w:t>
      </w:r>
      <w:r>
        <w:rPr>
          <w:rFonts w:ascii="Times New Roman" w:hAnsi="Times New Roman" w:cs="Times New Roman"/>
          <w:sz w:val="24"/>
          <w:szCs w:val="24"/>
          <w:lang/>
        </w:rPr>
        <w:t xml:space="preserve"> нити незадовољно</w:t>
      </w:r>
      <w:r w:rsidRPr="00E46628">
        <w:rPr>
          <w:rFonts w:ascii="Times New Roman" w:hAnsi="Times New Roman" w:cs="Times New Roman"/>
          <w:sz w:val="24"/>
          <w:szCs w:val="24"/>
          <w:lang/>
        </w:rPr>
        <w:t xml:space="preserve"> овим условима, а око 16% је изразило незадовољство могућностима које установе нуде за професиона</w:t>
      </w:r>
      <w:r>
        <w:rPr>
          <w:rFonts w:ascii="Times New Roman" w:hAnsi="Times New Roman" w:cs="Times New Roman"/>
          <w:sz w:val="24"/>
          <w:szCs w:val="24"/>
          <w:lang/>
        </w:rPr>
        <w:t>лни развој кадрова</w:t>
      </w:r>
      <w:r w:rsidRPr="00E46628">
        <w:rPr>
          <w:rFonts w:ascii="Times New Roman" w:hAnsi="Times New Roman" w:cs="Times New Roman"/>
          <w:sz w:val="24"/>
          <w:szCs w:val="24"/>
          <w:lang/>
        </w:rPr>
        <w:t xml:space="preserve">.  </w:t>
      </w:r>
    </w:p>
    <w:p w:rsidR="0057644C" w:rsidRDefault="0057644C" w:rsidP="0057644C">
      <w:pPr>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Графикон </w:t>
      </w:r>
      <w:r w:rsidRPr="00BB312B">
        <w:rPr>
          <w:rFonts w:ascii="Times New Roman" w:hAnsi="Times New Roman" w:cs="Times New Roman"/>
          <w:sz w:val="24"/>
          <w:szCs w:val="24"/>
          <w:lang/>
        </w:rPr>
        <w:t>4:</w:t>
      </w:r>
      <w:r>
        <w:rPr>
          <w:rFonts w:ascii="Times New Roman" w:hAnsi="Times New Roman" w:cs="Times New Roman"/>
          <w:sz w:val="24"/>
          <w:szCs w:val="24"/>
          <w:lang/>
        </w:rPr>
        <w:t xml:space="preserve"> Задовољство могућностима за професионални развој које пружа установа</w:t>
      </w:r>
    </w:p>
    <w:p w:rsidR="0057644C" w:rsidRPr="00E46628" w:rsidRDefault="0057644C" w:rsidP="0057644C">
      <w:pPr>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972175" cy="135255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57644C" w:rsidRPr="006B6534" w:rsidRDefault="0057644C" w:rsidP="0057644C">
      <w:pPr>
        <w:ind w:firstLine="720"/>
        <w:jc w:val="both"/>
        <w:rPr>
          <w:rFonts w:ascii="Times New Roman" w:hAnsi="Times New Roman" w:cs="Times New Roman"/>
          <w:sz w:val="24"/>
          <w:szCs w:val="24"/>
          <w:lang/>
        </w:rPr>
      </w:pPr>
      <w:r w:rsidRPr="006B6534">
        <w:rPr>
          <w:rFonts w:ascii="Times New Roman" w:hAnsi="Times New Roman" w:cs="Times New Roman"/>
          <w:sz w:val="24"/>
          <w:szCs w:val="24"/>
          <w:lang/>
        </w:rPr>
        <w:t>Већина испитаника (75%) је, од свог запослења у установи културе, подржано од стране установа да похађа неку стручни курс или едукативни програм. Ипак, четвртина испитаника из програмских делатности је изјавила да, од када су у радном односу у установи, никада нису послати на програм додатне едукације.</w:t>
      </w:r>
    </w:p>
    <w:p w:rsidR="0057644C" w:rsidRPr="00BB312B" w:rsidRDefault="0057644C" w:rsidP="0057644C">
      <w:pPr>
        <w:ind w:firstLine="720"/>
        <w:jc w:val="both"/>
        <w:rPr>
          <w:rFonts w:ascii="Times New Roman" w:hAnsi="Times New Roman" w:cs="Times New Roman"/>
          <w:sz w:val="24"/>
          <w:szCs w:val="24"/>
          <w:lang/>
        </w:rPr>
      </w:pPr>
      <w:r w:rsidRPr="006B6534">
        <w:rPr>
          <w:rFonts w:ascii="Times New Roman" w:hAnsi="Times New Roman" w:cs="Times New Roman"/>
          <w:sz w:val="24"/>
          <w:szCs w:val="24"/>
          <w:lang/>
        </w:rPr>
        <w:t>У претходне три године, нешто мање од половине испитаника (44%)  се изјаснилo да им установа у којој су запослени није омогућила похађање стручног семинара, тренинга или обуке, док је другој половини (56%) учешће на оваквим програмима омогућено.  Имајући у виду поларизованост одговор</w:t>
      </w:r>
      <w:r w:rsidRPr="006B6534">
        <w:rPr>
          <w:rFonts w:ascii="Times New Roman" w:hAnsi="Times New Roman" w:cs="Times New Roman"/>
          <w:sz w:val="24"/>
          <w:szCs w:val="24"/>
        </w:rPr>
        <w:t xml:space="preserve">a, </w:t>
      </w:r>
      <w:r w:rsidRPr="006B6534">
        <w:rPr>
          <w:rFonts w:ascii="Times New Roman" w:hAnsi="Times New Roman" w:cs="Times New Roman"/>
          <w:sz w:val="24"/>
          <w:szCs w:val="24"/>
          <w:lang/>
        </w:rPr>
        <w:t>те да се</w:t>
      </w:r>
      <w:r>
        <w:rPr>
          <w:rFonts w:ascii="Times New Roman" w:hAnsi="Times New Roman" w:cs="Times New Roman"/>
          <w:sz w:val="24"/>
          <w:szCs w:val="24"/>
          <w:lang/>
        </w:rPr>
        <w:t xml:space="preserve"> готовo</w:t>
      </w:r>
      <w:r w:rsidRPr="006B6534">
        <w:rPr>
          <w:rFonts w:ascii="Times New Roman" w:hAnsi="Times New Roman" w:cs="Times New Roman"/>
          <w:sz w:val="24"/>
          <w:szCs w:val="24"/>
          <w:lang/>
        </w:rPr>
        <w:t xml:space="preserve"> половина испитаника изјаснила да им није омогућено стручно усавршавање у претходном средњерочном периоду, подаци указују на потребу за знатно већим ангажовањем како руководства, тако и самих запослених у програмским делатностима у иницирању и ангажовању на пољу стручног усавршавања</w:t>
      </w:r>
      <w:r>
        <w:rPr>
          <w:rFonts w:ascii="Times New Roman" w:hAnsi="Times New Roman" w:cs="Times New Roman"/>
          <w:sz w:val="24"/>
          <w:szCs w:val="24"/>
          <w:lang/>
        </w:rPr>
        <w:t>.</w:t>
      </w:r>
    </w:p>
    <w:p w:rsidR="0057644C" w:rsidRDefault="0057644C" w:rsidP="0057644C">
      <w:pPr>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Графикон </w:t>
      </w:r>
      <w:r w:rsidRPr="00BB312B">
        <w:rPr>
          <w:rFonts w:ascii="Times New Roman" w:hAnsi="Times New Roman" w:cs="Times New Roman"/>
          <w:sz w:val="24"/>
          <w:szCs w:val="24"/>
          <w:lang/>
        </w:rPr>
        <w:t>5:</w:t>
      </w:r>
      <w:r>
        <w:rPr>
          <w:rFonts w:ascii="Times New Roman" w:hAnsi="Times New Roman" w:cs="Times New Roman"/>
          <w:sz w:val="24"/>
          <w:szCs w:val="24"/>
        </w:rPr>
        <w:t xml:space="preserve"> </w:t>
      </w:r>
      <w:r>
        <w:rPr>
          <w:rFonts w:ascii="Times New Roman" w:hAnsi="Times New Roman" w:cs="Times New Roman"/>
          <w:sz w:val="24"/>
          <w:szCs w:val="24"/>
          <w:lang/>
        </w:rPr>
        <w:t>Да ли је установа у последње три године омогућила похађање стручног усавршавања?</w:t>
      </w:r>
    </w:p>
    <w:p w:rsidR="0057644C" w:rsidRDefault="0057644C" w:rsidP="0057644C">
      <w:pPr>
        <w:spacing w:after="0"/>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915025" cy="2352675"/>
            <wp:effectExtent l="0" t="0" r="952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7644C" w:rsidRPr="00B642F3" w:rsidRDefault="0057644C" w:rsidP="00E65E49">
      <w:pPr>
        <w:ind w:firstLine="720"/>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Сви наведени подаци указују да је неопходно </w:t>
      </w:r>
      <w:r w:rsidRPr="00B642F3">
        <w:rPr>
          <w:rFonts w:ascii="Times New Roman" w:hAnsi="Times New Roman" w:cs="Times New Roman"/>
          <w:sz w:val="24"/>
          <w:szCs w:val="24"/>
          <w:lang/>
        </w:rPr>
        <w:t>да свака установа на годишњем нивоу планира средства у ту сврху у складу са потребама струке.</w:t>
      </w:r>
    </w:p>
    <w:p w:rsidR="0057644C" w:rsidRPr="00BB312B" w:rsidRDefault="0057644C" w:rsidP="0057644C">
      <w:pPr>
        <w:pStyle w:val="Heading1"/>
        <w:spacing w:before="0"/>
        <w:jc w:val="both"/>
        <w:rPr>
          <w:rFonts w:ascii="Times New Roman" w:hAnsi="Times New Roman" w:cs="Times New Roman"/>
          <w:sz w:val="24"/>
          <w:szCs w:val="24"/>
        </w:rPr>
      </w:pPr>
      <w:bookmarkStart w:id="52" w:name="_Toc27958771"/>
      <w:bookmarkStart w:id="53" w:name="_Toc36072322"/>
      <w:r w:rsidRPr="00BB312B">
        <w:rPr>
          <w:rFonts w:ascii="Times New Roman" w:hAnsi="Times New Roman" w:cs="Times New Roman"/>
          <w:sz w:val="24"/>
          <w:szCs w:val="24"/>
          <w:lang/>
        </w:rPr>
        <w:t>2</w:t>
      </w:r>
      <w:r w:rsidRPr="00E65E49">
        <w:rPr>
          <w:b/>
        </w:rPr>
        <w:t>. Оцена стања у установи</w:t>
      </w:r>
      <w:bookmarkEnd w:id="52"/>
      <w:r w:rsidRPr="00E65E49">
        <w:rPr>
          <w:b/>
        </w:rPr>
        <w:t xml:space="preserve"> културе</w:t>
      </w:r>
      <w:bookmarkEnd w:id="53"/>
    </w:p>
    <w:p w:rsidR="0057644C" w:rsidRPr="00E65E49" w:rsidRDefault="0057644C" w:rsidP="00E65E49">
      <w:pPr>
        <w:pStyle w:val="Heading2"/>
        <w:rPr>
          <w:b/>
        </w:rPr>
      </w:pPr>
    </w:p>
    <w:p w:rsidR="0057644C" w:rsidRPr="00E65E49" w:rsidRDefault="0057644C" w:rsidP="00E65E49">
      <w:pPr>
        <w:pStyle w:val="Heading2"/>
        <w:rPr>
          <w:b/>
          <w:lang/>
        </w:rPr>
      </w:pPr>
      <w:bookmarkStart w:id="54" w:name="_Toc27958772"/>
      <w:bookmarkStart w:id="55" w:name="_Toc36072323"/>
      <w:r w:rsidRPr="00E65E49">
        <w:rPr>
          <w:b/>
          <w:lang/>
        </w:rPr>
        <w:t>2.1. Вредновање различитих области функционисања установе</w:t>
      </w:r>
      <w:bookmarkEnd w:id="54"/>
      <w:r w:rsidRPr="00E65E49">
        <w:rPr>
          <w:b/>
          <w:lang/>
        </w:rPr>
        <w:t xml:space="preserve"> културе</w:t>
      </w:r>
      <w:bookmarkEnd w:id="55"/>
    </w:p>
    <w:p w:rsidR="0057644C" w:rsidRPr="00DE1004" w:rsidRDefault="0057644C" w:rsidP="0057644C">
      <w:pPr>
        <w:spacing w:after="0"/>
        <w:rPr>
          <w:lang/>
        </w:rPr>
      </w:pPr>
    </w:p>
    <w:p w:rsidR="0057644C" w:rsidRPr="00BB312B" w:rsidRDefault="0057644C" w:rsidP="0057644C">
      <w:pPr>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Запослени у култури су оценама од 1 до 5 (где је је 1 најлошија</w:t>
      </w:r>
      <w:r>
        <w:rPr>
          <w:rFonts w:ascii="Times New Roman" w:hAnsi="Times New Roman" w:cs="Times New Roman"/>
          <w:sz w:val="24"/>
          <w:szCs w:val="24"/>
          <w:lang/>
        </w:rPr>
        <w:t>,</w:t>
      </w:r>
      <w:r w:rsidRPr="00BB312B">
        <w:rPr>
          <w:rFonts w:ascii="Times New Roman" w:hAnsi="Times New Roman" w:cs="Times New Roman"/>
          <w:sz w:val="24"/>
          <w:szCs w:val="24"/>
          <w:lang/>
        </w:rPr>
        <w:t xml:space="preserve"> а </w:t>
      </w:r>
      <w:r>
        <w:rPr>
          <w:rFonts w:ascii="Times New Roman" w:hAnsi="Times New Roman" w:cs="Times New Roman"/>
          <w:sz w:val="24"/>
          <w:szCs w:val="24"/>
          <w:lang/>
        </w:rPr>
        <w:t>5 највиша вредно</w:t>
      </w:r>
      <w:r w:rsidRPr="00BB312B">
        <w:rPr>
          <w:rFonts w:ascii="Times New Roman" w:hAnsi="Times New Roman" w:cs="Times New Roman"/>
          <w:sz w:val="24"/>
          <w:szCs w:val="24"/>
          <w:lang/>
        </w:rPr>
        <w:t>ст) вредновали различите аспекте</w:t>
      </w:r>
      <w:r>
        <w:rPr>
          <w:rFonts w:ascii="Times New Roman" w:hAnsi="Times New Roman" w:cs="Times New Roman"/>
          <w:sz w:val="24"/>
          <w:szCs w:val="24"/>
          <w:lang/>
        </w:rPr>
        <w:t xml:space="preserve"> фукнционисања своје установе. </w:t>
      </w:r>
      <w:r w:rsidRPr="00BB312B">
        <w:rPr>
          <w:rFonts w:ascii="Times New Roman" w:hAnsi="Times New Roman" w:cs="Times New Roman"/>
          <w:sz w:val="24"/>
          <w:szCs w:val="24"/>
          <w:lang/>
        </w:rPr>
        <w:t>Иновативни начини пројектног финансирања, финансирање програма и стратешко планирање и управљање оцењени су најнижим просечним оценама. Стручност</w:t>
      </w:r>
      <w:r>
        <w:rPr>
          <w:rFonts w:ascii="Times New Roman" w:hAnsi="Times New Roman" w:cs="Times New Roman"/>
          <w:sz w:val="24"/>
          <w:szCs w:val="24"/>
          <w:lang/>
        </w:rPr>
        <w:t xml:space="preserve"> кадрова</w:t>
      </w:r>
      <w:r w:rsidRPr="00BB312B">
        <w:rPr>
          <w:rFonts w:ascii="Times New Roman" w:hAnsi="Times New Roman" w:cs="Times New Roman"/>
          <w:sz w:val="24"/>
          <w:szCs w:val="24"/>
          <w:lang/>
        </w:rPr>
        <w:t>, квалитет и број програма, као и сарадња са публиком су на ов</w:t>
      </w:r>
      <w:r>
        <w:rPr>
          <w:rFonts w:ascii="Times New Roman" w:hAnsi="Times New Roman" w:cs="Times New Roman"/>
          <w:sz w:val="24"/>
          <w:szCs w:val="24"/>
          <w:lang/>
        </w:rPr>
        <w:t>ој „лествици“ највише оцењени. И</w:t>
      </w:r>
      <w:r w:rsidRPr="00BB312B">
        <w:rPr>
          <w:rFonts w:ascii="Times New Roman" w:hAnsi="Times New Roman" w:cs="Times New Roman"/>
          <w:sz w:val="24"/>
          <w:szCs w:val="24"/>
          <w:lang/>
        </w:rPr>
        <w:t>пак</w:t>
      </w:r>
      <w:r>
        <w:rPr>
          <w:rFonts w:ascii="Times New Roman" w:hAnsi="Times New Roman" w:cs="Times New Roman"/>
          <w:sz w:val="24"/>
          <w:szCs w:val="24"/>
          <w:lang/>
        </w:rPr>
        <w:t>,</w:t>
      </w:r>
      <w:r w:rsidRPr="00BB312B">
        <w:rPr>
          <w:rFonts w:ascii="Times New Roman" w:hAnsi="Times New Roman" w:cs="Times New Roman"/>
          <w:sz w:val="24"/>
          <w:szCs w:val="24"/>
          <w:lang/>
        </w:rPr>
        <w:t xml:space="preserve"> </w:t>
      </w:r>
      <w:r>
        <w:rPr>
          <w:rFonts w:ascii="Times New Roman" w:hAnsi="Times New Roman" w:cs="Times New Roman"/>
          <w:sz w:val="24"/>
          <w:szCs w:val="24"/>
          <w:lang/>
        </w:rPr>
        <w:t>просечне вредности од нешто пре</w:t>
      </w:r>
      <w:r w:rsidRPr="00BB312B">
        <w:rPr>
          <w:rFonts w:ascii="Times New Roman" w:hAnsi="Times New Roman" w:cs="Times New Roman"/>
          <w:sz w:val="24"/>
          <w:szCs w:val="24"/>
          <w:lang/>
        </w:rPr>
        <w:t xml:space="preserve">ко 3.5 до 3.88 говоре да запослени сматрају да и ове области се могу даље усавравршавати и унапређивати. </w:t>
      </w:r>
    </w:p>
    <w:p w:rsidR="0057644C" w:rsidRPr="00BB312B" w:rsidRDefault="00E65E49"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Табела</w:t>
      </w:r>
      <w:r w:rsidR="0057644C" w:rsidRPr="00BB312B">
        <w:rPr>
          <w:rFonts w:ascii="Times New Roman" w:hAnsi="Times New Roman" w:cs="Times New Roman"/>
          <w:sz w:val="24"/>
          <w:szCs w:val="24"/>
          <w:lang/>
        </w:rPr>
        <w:t xml:space="preserve"> 3: Оцене стања различитих области у установама културе</w:t>
      </w:r>
    </w:p>
    <w:tbl>
      <w:tblPr>
        <w:tblStyle w:val="GridTable4-Accent11"/>
        <w:tblW w:w="9351" w:type="dxa"/>
        <w:tblLook w:val="04A0"/>
      </w:tblPr>
      <w:tblGrid>
        <w:gridCol w:w="6941"/>
        <w:gridCol w:w="2410"/>
      </w:tblGrid>
      <w:tr w:rsidR="0057644C" w:rsidRPr="00BB312B" w:rsidTr="000606DF">
        <w:trPr>
          <w:cnfStyle w:val="100000000000"/>
        </w:trPr>
        <w:tc>
          <w:tcPr>
            <w:cnfStyle w:val="001000000000"/>
            <w:tcW w:w="6941" w:type="dxa"/>
          </w:tcPr>
          <w:p w:rsidR="0057644C" w:rsidRPr="009870EA" w:rsidRDefault="0057644C" w:rsidP="000606DF">
            <w:pPr>
              <w:autoSpaceDE w:val="0"/>
              <w:autoSpaceDN w:val="0"/>
              <w:adjustRightInd w:val="0"/>
              <w:spacing w:line="276" w:lineRule="auto"/>
              <w:jc w:val="both"/>
              <w:rPr>
                <w:lang/>
              </w:rPr>
            </w:pPr>
            <w:r w:rsidRPr="009870EA">
              <w:rPr>
                <w:lang/>
              </w:rPr>
              <w:t>Стање у установама културе</w:t>
            </w:r>
          </w:p>
        </w:tc>
        <w:tc>
          <w:tcPr>
            <w:tcW w:w="2410" w:type="dxa"/>
          </w:tcPr>
          <w:p w:rsidR="0057644C" w:rsidRPr="009870EA" w:rsidRDefault="0057644C" w:rsidP="000606DF">
            <w:pPr>
              <w:autoSpaceDE w:val="0"/>
              <w:autoSpaceDN w:val="0"/>
              <w:adjustRightInd w:val="0"/>
              <w:spacing w:line="276" w:lineRule="auto"/>
              <w:jc w:val="both"/>
              <w:cnfStyle w:val="100000000000"/>
              <w:rPr>
                <w:lang/>
              </w:rPr>
            </w:pPr>
            <w:r w:rsidRPr="009870EA">
              <w:rPr>
                <w:lang/>
              </w:rPr>
              <w:t>Средња оцена</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Стручност кадрова</w:t>
            </w:r>
          </w:p>
        </w:tc>
        <w:tc>
          <w:tcPr>
            <w:tcW w:w="2410" w:type="dxa"/>
          </w:tcPr>
          <w:p w:rsidR="0057644C" w:rsidRPr="009870EA" w:rsidRDefault="0057644C" w:rsidP="000606DF">
            <w:pPr>
              <w:autoSpaceDE w:val="0"/>
              <w:autoSpaceDN w:val="0"/>
              <w:adjustRightInd w:val="0"/>
              <w:spacing w:line="276" w:lineRule="auto"/>
              <w:jc w:val="center"/>
              <w:cnfStyle w:val="000000100000"/>
            </w:pPr>
            <w:r w:rsidRPr="009870EA">
              <w:t>3.88</w:t>
            </w:r>
          </w:p>
        </w:tc>
      </w:tr>
      <w:tr w:rsidR="0057644C" w:rsidRPr="00BB312B" w:rsidTr="000606DF">
        <w:trPr>
          <w:trHeight w:val="326"/>
        </w:trPr>
        <w:tc>
          <w:tcPr>
            <w:cnfStyle w:val="001000000000"/>
            <w:tcW w:w="6941" w:type="dxa"/>
          </w:tcPr>
          <w:p w:rsidR="0057644C" w:rsidRPr="00AA0D72" w:rsidRDefault="0057644C" w:rsidP="000606DF">
            <w:pPr>
              <w:autoSpaceDE w:val="0"/>
              <w:autoSpaceDN w:val="0"/>
              <w:adjustRightInd w:val="0"/>
              <w:spacing w:line="276" w:lineRule="auto"/>
              <w:jc w:val="both"/>
              <w:rPr>
                <w:lang/>
              </w:rPr>
            </w:pPr>
            <w:r w:rsidRPr="009870EA">
              <w:t>Квалитет програма</w:t>
            </w:r>
          </w:p>
        </w:tc>
        <w:tc>
          <w:tcPr>
            <w:tcW w:w="2410" w:type="dxa"/>
          </w:tcPr>
          <w:p w:rsidR="0057644C" w:rsidRPr="009870EA" w:rsidRDefault="0057644C" w:rsidP="000606DF">
            <w:pPr>
              <w:autoSpaceDE w:val="0"/>
              <w:autoSpaceDN w:val="0"/>
              <w:adjustRightInd w:val="0"/>
              <w:spacing w:line="276" w:lineRule="auto"/>
              <w:jc w:val="center"/>
              <w:cnfStyle w:val="000000000000"/>
            </w:pPr>
            <w:r w:rsidRPr="009870EA">
              <w:t>3.67</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Бројност програма</w:t>
            </w:r>
          </w:p>
        </w:tc>
        <w:tc>
          <w:tcPr>
            <w:tcW w:w="2410" w:type="dxa"/>
          </w:tcPr>
          <w:p w:rsidR="0057644C" w:rsidRPr="009870EA" w:rsidRDefault="0057644C" w:rsidP="000606DF">
            <w:pPr>
              <w:autoSpaceDE w:val="0"/>
              <w:autoSpaceDN w:val="0"/>
              <w:adjustRightInd w:val="0"/>
              <w:spacing w:line="276" w:lineRule="auto"/>
              <w:jc w:val="center"/>
              <w:cnfStyle w:val="000000100000"/>
            </w:pPr>
            <w:r w:rsidRPr="009870EA">
              <w:t>3.58</w:t>
            </w:r>
          </w:p>
        </w:tc>
      </w:tr>
      <w:tr w:rsidR="0057644C" w:rsidRPr="00BB312B" w:rsidTr="000606DF">
        <w:tc>
          <w:tcPr>
            <w:cnfStyle w:val="001000000000"/>
            <w:tcW w:w="6941" w:type="dxa"/>
          </w:tcPr>
          <w:p w:rsidR="0057644C" w:rsidRPr="009870EA" w:rsidRDefault="0057644C" w:rsidP="000606DF">
            <w:pPr>
              <w:autoSpaceDE w:val="0"/>
              <w:autoSpaceDN w:val="0"/>
              <w:adjustRightInd w:val="0"/>
              <w:spacing w:line="276" w:lineRule="auto"/>
              <w:jc w:val="both"/>
            </w:pPr>
            <w:r w:rsidRPr="009870EA">
              <w:t>Сарадња са публиком</w:t>
            </w:r>
          </w:p>
        </w:tc>
        <w:tc>
          <w:tcPr>
            <w:tcW w:w="2410" w:type="dxa"/>
          </w:tcPr>
          <w:p w:rsidR="0057644C" w:rsidRPr="009870EA" w:rsidRDefault="0057644C" w:rsidP="000606DF">
            <w:pPr>
              <w:autoSpaceDE w:val="0"/>
              <w:autoSpaceDN w:val="0"/>
              <w:adjustRightInd w:val="0"/>
              <w:spacing w:line="276" w:lineRule="auto"/>
              <w:jc w:val="center"/>
              <w:cnfStyle w:val="000000000000"/>
            </w:pPr>
            <w:r w:rsidRPr="009870EA">
              <w:t>3.56</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Просторни услови за одржавање програмских активности</w:t>
            </w:r>
          </w:p>
        </w:tc>
        <w:tc>
          <w:tcPr>
            <w:tcW w:w="2410" w:type="dxa"/>
          </w:tcPr>
          <w:p w:rsidR="0057644C" w:rsidRPr="009870EA" w:rsidRDefault="0057644C" w:rsidP="000606DF">
            <w:pPr>
              <w:autoSpaceDE w:val="0"/>
              <w:autoSpaceDN w:val="0"/>
              <w:adjustRightInd w:val="0"/>
              <w:spacing w:line="276" w:lineRule="auto"/>
              <w:jc w:val="center"/>
              <w:cnfStyle w:val="000000100000"/>
              <w:rPr>
                <w:lang/>
              </w:rPr>
            </w:pPr>
            <w:r w:rsidRPr="009870EA">
              <w:rPr>
                <w:lang/>
              </w:rPr>
              <w:t>3.44</w:t>
            </w:r>
          </w:p>
        </w:tc>
      </w:tr>
      <w:tr w:rsidR="0057644C" w:rsidRPr="00BB312B" w:rsidTr="000606DF">
        <w:tc>
          <w:tcPr>
            <w:cnfStyle w:val="001000000000"/>
            <w:tcW w:w="6941" w:type="dxa"/>
          </w:tcPr>
          <w:p w:rsidR="0057644C" w:rsidRPr="009870EA" w:rsidRDefault="0057644C" w:rsidP="000606DF">
            <w:pPr>
              <w:autoSpaceDE w:val="0"/>
              <w:autoSpaceDN w:val="0"/>
              <w:adjustRightInd w:val="0"/>
              <w:spacing w:line="276" w:lineRule="auto"/>
              <w:jc w:val="both"/>
            </w:pPr>
            <w:r w:rsidRPr="009870EA">
              <w:t>Маркетинг и промоција</w:t>
            </w:r>
          </w:p>
        </w:tc>
        <w:tc>
          <w:tcPr>
            <w:tcW w:w="2410" w:type="dxa"/>
          </w:tcPr>
          <w:p w:rsidR="0057644C" w:rsidRPr="009870EA" w:rsidRDefault="0057644C" w:rsidP="000606DF">
            <w:pPr>
              <w:autoSpaceDE w:val="0"/>
              <w:autoSpaceDN w:val="0"/>
              <w:adjustRightInd w:val="0"/>
              <w:spacing w:line="276" w:lineRule="auto"/>
              <w:jc w:val="center"/>
              <w:cnfStyle w:val="000000000000"/>
            </w:pPr>
            <w:r w:rsidRPr="009870EA">
              <w:t>3.42</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Доступност садржаја  у дигиталном окружењу</w:t>
            </w:r>
          </w:p>
        </w:tc>
        <w:tc>
          <w:tcPr>
            <w:tcW w:w="2410" w:type="dxa"/>
          </w:tcPr>
          <w:p w:rsidR="0057644C" w:rsidRPr="009870EA" w:rsidRDefault="0057644C" w:rsidP="000606DF">
            <w:pPr>
              <w:autoSpaceDE w:val="0"/>
              <w:autoSpaceDN w:val="0"/>
              <w:adjustRightInd w:val="0"/>
              <w:spacing w:line="276" w:lineRule="auto"/>
              <w:jc w:val="center"/>
              <w:cnfStyle w:val="000000100000"/>
            </w:pPr>
            <w:r w:rsidRPr="009870EA">
              <w:t>3.26</w:t>
            </w:r>
          </w:p>
        </w:tc>
      </w:tr>
      <w:tr w:rsidR="0057644C" w:rsidRPr="00BB312B" w:rsidTr="000606DF">
        <w:tc>
          <w:tcPr>
            <w:cnfStyle w:val="001000000000"/>
            <w:tcW w:w="6941" w:type="dxa"/>
          </w:tcPr>
          <w:p w:rsidR="0057644C" w:rsidRPr="009870EA" w:rsidRDefault="0057644C" w:rsidP="000606DF">
            <w:pPr>
              <w:autoSpaceDE w:val="0"/>
              <w:autoSpaceDN w:val="0"/>
              <w:adjustRightInd w:val="0"/>
              <w:spacing w:line="276" w:lineRule="auto"/>
              <w:jc w:val="both"/>
            </w:pPr>
            <w:r w:rsidRPr="009870EA">
              <w:t>Посећеност програма</w:t>
            </w:r>
          </w:p>
        </w:tc>
        <w:tc>
          <w:tcPr>
            <w:tcW w:w="2410" w:type="dxa"/>
          </w:tcPr>
          <w:p w:rsidR="0057644C" w:rsidRPr="009870EA" w:rsidRDefault="0057644C" w:rsidP="000606DF">
            <w:pPr>
              <w:autoSpaceDE w:val="0"/>
              <w:autoSpaceDN w:val="0"/>
              <w:adjustRightInd w:val="0"/>
              <w:spacing w:line="276" w:lineRule="auto"/>
              <w:jc w:val="center"/>
              <w:cnfStyle w:val="000000000000"/>
            </w:pPr>
            <w:r w:rsidRPr="009870EA">
              <w:t>3.23</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Просторни услови за рад запослених</w:t>
            </w:r>
          </w:p>
        </w:tc>
        <w:tc>
          <w:tcPr>
            <w:tcW w:w="2410" w:type="dxa"/>
          </w:tcPr>
          <w:p w:rsidR="0057644C" w:rsidRPr="009870EA" w:rsidRDefault="0057644C" w:rsidP="000606DF">
            <w:pPr>
              <w:autoSpaceDE w:val="0"/>
              <w:autoSpaceDN w:val="0"/>
              <w:adjustRightInd w:val="0"/>
              <w:spacing w:line="276" w:lineRule="auto"/>
              <w:jc w:val="center"/>
              <w:cnfStyle w:val="000000100000"/>
            </w:pPr>
            <w:r w:rsidRPr="009870EA">
              <w:t>3.16</w:t>
            </w:r>
          </w:p>
        </w:tc>
      </w:tr>
      <w:tr w:rsidR="0057644C" w:rsidRPr="00BB312B" w:rsidTr="000606DF">
        <w:tc>
          <w:tcPr>
            <w:cnfStyle w:val="001000000000"/>
            <w:tcW w:w="6941" w:type="dxa"/>
          </w:tcPr>
          <w:p w:rsidR="0057644C" w:rsidRPr="009870EA" w:rsidRDefault="0057644C" w:rsidP="000606DF">
            <w:pPr>
              <w:autoSpaceDE w:val="0"/>
              <w:autoSpaceDN w:val="0"/>
              <w:adjustRightInd w:val="0"/>
              <w:spacing w:line="276" w:lineRule="auto"/>
              <w:jc w:val="both"/>
            </w:pPr>
            <w:r w:rsidRPr="009870EA">
              <w:t>Тимски рад колегијума</w:t>
            </w:r>
          </w:p>
        </w:tc>
        <w:tc>
          <w:tcPr>
            <w:tcW w:w="2410" w:type="dxa"/>
          </w:tcPr>
          <w:p w:rsidR="0057644C" w:rsidRPr="009870EA" w:rsidRDefault="0057644C" w:rsidP="000606DF">
            <w:pPr>
              <w:autoSpaceDE w:val="0"/>
              <w:autoSpaceDN w:val="0"/>
              <w:adjustRightInd w:val="0"/>
              <w:spacing w:line="276" w:lineRule="auto"/>
              <w:jc w:val="center"/>
              <w:cnfStyle w:val="000000000000"/>
            </w:pPr>
            <w:r w:rsidRPr="009870EA">
              <w:t>3.14</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Стручно усавршавање запослених</w:t>
            </w:r>
          </w:p>
        </w:tc>
        <w:tc>
          <w:tcPr>
            <w:tcW w:w="2410" w:type="dxa"/>
          </w:tcPr>
          <w:p w:rsidR="0057644C" w:rsidRPr="009870EA" w:rsidRDefault="0057644C" w:rsidP="000606DF">
            <w:pPr>
              <w:autoSpaceDE w:val="0"/>
              <w:autoSpaceDN w:val="0"/>
              <w:adjustRightInd w:val="0"/>
              <w:spacing w:line="276" w:lineRule="auto"/>
              <w:jc w:val="center"/>
              <w:cnfStyle w:val="000000100000"/>
            </w:pPr>
            <w:r w:rsidRPr="009870EA">
              <w:t>3.07</w:t>
            </w:r>
          </w:p>
        </w:tc>
      </w:tr>
      <w:tr w:rsidR="0057644C" w:rsidRPr="00BB312B" w:rsidTr="000606DF">
        <w:tc>
          <w:tcPr>
            <w:cnfStyle w:val="001000000000"/>
            <w:tcW w:w="6941" w:type="dxa"/>
          </w:tcPr>
          <w:p w:rsidR="0057644C" w:rsidRPr="009870EA" w:rsidRDefault="0057644C" w:rsidP="000606DF">
            <w:pPr>
              <w:autoSpaceDE w:val="0"/>
              <w:autoSpaceDN w:val="0"/>
              <w:adjustRightInd w:val="0"/>
              <w:spacing w:line="276" w:lineRule="auto"/>
              <w:jc w:val="both"/>
            </w:pPr>
            <w:r w:rsidRPr="009870EA">
              <w:t>Технолошка опремљеност установе (IT, дигитална опрема...)</w:t>
            </w:r>
          </w:p>
        </w:tc>
        <w:tc>
          <w:tcPr>
            <w:tcW w:w="2410" w:type="dxa"/>
          </w:tcPr>
          <w:p w:rsidR="0057644C" w:rsidRPr="009870EA" w:rsidRDefault="0057644C" w:rsidP="000606DF">
            <w:pPr>
              <w:autoSpaceDE w:val="0"/>
              <w:autoSpaceDN w:val="0"/>
              <w:adjustRightInd w:val="0"/>
              <w:spacing w:line="276" w:lineRule="auto"/>
              <w:jc w:val="center"/>
              <w:cnfStyle w:val="000000000000"/>
            </w:pPr>
            <w:r w:rsidRPr="009870EA">
              <w:t>3.0</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Стратешко планирање и управљање</w:t>
            </w:r>
          </w:p>
        </w:tc>
        <w:tc>
          <w:tcPr>
            <w:tcW w:w="2410" w:type="dxa"/>
          </w:tcPr>
          <w:p w:rsidR="0057644C" w:rsidRPr="009870EA" w:rsidRDefault="0057644C" w:rsidP="000606DF">
            <w:pPr>
              <w:autoSpaceDE w:val="0"/>
              <w:autoSpaceDN w:val="0"/>
              <w:adjustRightInd w:val="0"/>
              <w:spacing w:line="276" w:lineRule="auto"/>
              <w:jc w:val="center"/>
              <w:cnfStyle w:val="000000100000"/>
            </w:pPr>
            <w:r w:rsidRPr="009870EA">
              <w:t>2.95</w:t>
            </w:r>
          </w:p>
        </w:tc>
      </w:tr>
      <w:tr w:rsidR="0057644C" w:rsidRPr="00BB312B" w:rsidTr="000606DF">
        <w:tc>
          <w:tcPr>
            <w:cnfStyle w:val="001000000000"/>
            <w:tcW w:w="6941" w:type="dxa"/>
          </w:tcPr>
          <w:p w:rsidR="0057644C" w:rsidRPr="009870EA" w:rsidRDefault="0057644C" w:rsidP="000606DF">
            <w:pPr>
              <w:autoSpaceDE w:val="0"/>
              <w:autoSpaceDN w:val="0"/>
              <w:adjustRightInd w:val="0"/>
              <w:spacing w:line="276" w:lineRule="auto"/>
              <w:jc w:val="both"/>
            </w:pPr>
            <w:r w:rsidRPr="009870EA">
              <w:t>Финансирање програма</w:t>
            </w:r>
          </w:p>
        </w:tc>
        <w:tc>
          <w:tcPr>
            <w:tcW w:w="2410" w:type="dxa"/>
          </w:tcPr>
          <w:p w:rsidR="0057644C" w:rsidRPr="009870EA" w:rsidRDefault="0057644C" w:rsidP="000606DF">
            <w:pPr>
              <w:autoSpaceDE w:val="0"/>
              <w:autoSpaceDN w:val="0"/>
              <w:adjustRightInd w:val="0"/>
              <w:spacing w:line="276" w:lineRule="auto"/>
              <w:jc w:val="center"/>
              <w:cnfStyle w:val="000000000000"/>
            </w:pPr>
            <w:r w:rsidRPr="009870EA">
              <w:t>2.79</w:t>
            </w:r>
          </w:p>
        </w:tc>
      </w:tr>
      <w:tr w:rsidR="0057644C" w:rsidRPr="00BB312B" w:rsidTr="000606DF">
        <w:trPr>
          <w:cnfStyle w:val="000000100000"/>
        </w:trPr>
        <w:tc>
          <w:tcPr>
            <w:cnfStyle w:val="001000000000"/>
            <w:tcW w:w="6941" w:type="dxa"/>
          </w:tcPr>
          <w:p w:rsidR="0057644C" w:rsidRPr="009870EA" w:rsidRDefault="0057644C" w:rsidP="000606DF">
            <w:pPr>
              <w:autoSpaceDE w:val="0"/>
              <w:autoSpaceDN w:val="0"/>
              <w:adjustRightInd w:val="0"/>
              <w:spacing w:line="276" w:lineRule="auto"/>
              <w:jc w:val="both"/>
            </w:pPr>
            <w:r w:rsidRPr="009870EA">
              <w:t>Иновативни начини финансирања програма/пројеката</w:t>
            </w:r>
          </w:p>
        </w:tc>
        <w:tc>
          <w:tcPr>
            <w:tcW w:w="2410" w:type="dxa"/>
          </w:tcPr>
          <w:p w:rsidR="0057644C" w:rsidRPr="009870EA" w:rsidRDefault="0057644C" w:rsidP="000606DF">
            <w:pPr>
              <w:autoSpaceDE w:val="0"/>
              <w:autoSpaceDN w:val="0"/>
              <w:adjustRightInd w:val="0"/>
              <w:spacing w:line="276" w:lineRule="auto"/>
              <w:jc w:val="center"/>
              <w:cnfStyle w:val="000000100000"/>
            </w:pPr>
            <w:r w:rsidRPr="009870EA">
              <w:t>2.79</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Pr="00B87E3B"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87E3B">
        <w:rPr>
          <w:rFonts w:ascii="Times New Roman" w:hAnsi="Times New Roman" w:cs="Times New Roman"/>
          <w:sz w:val="24"/>
          <w:szCs w:val="24"/>
          <w:lang/>
        </w:rPr>
        <w:t xml:space="preserve">На нивоу установа, у </w:t>
      </w:r>
      <w:r w:rsidRPr="00BA7434">
        <w:rPr>
          <w:rFonts w:ascii="Times New Roman" w:hAnsi="Times New Roman" w:cs="Times New Roman"/>
          <w:sz w:val="24"/>
          <w:szCs w:val="24"/>
          <w:lang/>
        </w:rPr>
        <w:t>Градском музеју Сомбор</w:t>
      </w:r>
      <w:r w:rsidRPr="00B87E3B">
        <w:rPr>
          <w:rFonts w:ascii="Times New Roman" w:hAnsi="Times New Roman" w:cs="Times New Roman"/>
          <w:sz w:val="24"/>
          <w:szCs w:val="24"/>
          <w:lang/>
        </w:rPr>
        <w:t xml:space="preserve"> најнижу оцену добила је област тимског рада колегијума (1.88), стратешког планирања и управљања (2.0) и финансирање програма (2.13). С друге стране, највише оцене су добили стручност кадрова (4.62), квалитет програма (3.50) и бројност програма (3.00).</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A7434">
        <w:rPr>
          <w:rFonts w:ascii="Times New Roman" w:hAnsi="Times New Roman" w:cs="Times New Roman"/>
          <w:sz w:val="24"/>
          <w:szCs w:val="24"/>
          <w:lang/>
        </w:rPr>
        <w:t>У Галерији „Милан Коњовић“ је</w:t>
      </w:r>
      <w:r w:rsidRPr="00B87E3B">
        <w:rPr>
          <w:rFonts w:ascii="Times New Roman" w:hAnsi="Times New Roman" w:cs="Times New Roman"/>
          <w:sz w:val="24"/>
          <w:szCs w:val="24"/>
          <w:lang/>
        </w:rPr>
        <w:t xml:space="preserve"> стручности кадрова додељена најнижа оцена од понуђених области (3.75) и посећеност програма</w:t>
      </w:r>
      <w:r>
        <w:rPr>
          <w:rFonts w:ascii="Times New Roman" w:hAnsi="Times New Roman" w:cs="Times New Roman"/>
          <w:sz w:val="24"/>
          <w:szCs w:val="24"/>
          <w:lang/>
        </w:rPr>
        <w:t xml:space="preserve"> (4.00), док</w:t>
      </w:r>
      <w:r w:rsidRPr="00BB312B">
        <w:rPr>
          <w:rFonts w:ascii="Times New Roman" w:hAnsi="Times New Roman" w:cs="Times New Roman"/>
          <w:sz w:val="24"/>
          <w:szCs w:val="24"/>
          <w:lang/>
        </w:rPr>
        <w:t xml:space="preserve"> </w:t>
      </w:r>
      <w:r w:rsidR="00E65E49">
        <w:rPr>
          <w:rFonts w:ascii="Times New Roman" w:hAnsi="Times New Roman" w:cs="Times New Roman"/>
          <w:sz w:val="24"/>
          <w:szCs w:val="24"/>
          <w:lang/>
        </w:rPr>
        <w:t>су све друге области</w:t>
      </w:r>
      <w:r w:rsidRPr="00BB312B">
        <w:rPr>
          <w:rFonts w:ascii="Times New Roman" w:hAnsi="Times New Roman" w:cs="Times New Roman"/>
          <w:sz w:val="24"/>
          <w:szCs w:val="24"/>
          <w:lang/>
        </w:rPr>
        <w:t xml:space="preserve"> оцењене вишим оценама у односу на просечне (у распону од 4.50 до 4.75). </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У </w:t>
      </w:r>
      <w:r w:rsidRPr="00BA7434">
        <w:rPr>
          <w:rFonts w:ascii="Times New Roman" w:hAnsi="Times New Roman" w:cs="Times New Roman"/>
          <w:sz w:val="24"/>
          <w:szCs w:val="24"/>
          <w:lang/>
        </w:rPr>
        <w:t>Културном центру „Лаза Костић“,</w:t>
      </w:r>
      <w:r w:rsidRPr="00BB312B">
        <w:rPr>
          <w:rFonts w:ascii="Times New Roman" w:hAnsi="Times New Roman" w:cs="Times New Roman"/>
          <w:sz w:val="24"/>
          <w:szCs w:val="24"/>
          <w:lang/>
        </w:rPr>
        <w:t xml:space="preserve"> најнижу оцену добило је стручно усавршавање запослених (1.75), иновативни начини финансирања (2.50) и технолошка опремљеност (3.00). Бројност програма  и маркетинг су добили највишу оцену на скали (5.00)</w:t>
      </w:r>
      <w:r>
        <w:rPr>
          <w:rFonts w:ascii="Times New Roman" w:hAnsi="Times New Roman" w:cs="Times New Roman"/>
          <w:sz w:val="24"/>
          <w:szCs w:val="24"/>
          <w:lang/>
        </w:rPr>
        <w:t>,</w:t>
      </w:r>
      <w:r w:rsidRPr="00BB312B">
        <w:rPr>
          <w:rFonts w:ascii="Times New Roman" w:hAnsi="Times New Roman" w:cs="Times New Roman"/>
          <w:sz w:val="24"/>
          <w:szCs w:val="24"/>
          <w:lang/>
        </w:rPr>
        <w:t xml:space="preserve"> а следи квалитет програма (4.75).</w:t>
      </w:r>
    </w:p>
    <w:p w:rsidR="0057644C" w:rsidRPr="00BA7434"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A7434">
        <w:rPr>
          <w:rFonts w:ascii="Times New Roman" w:hAnsi="Times New Roman" w:cs="Times New Roman"/>
          <w:sz w:val="24"/>
          <w:szCs w:val="24"/>
          <w:lang/>
        </w:rPr>
        <w:lastRenderedPageBreak/>
        <w:t>У Историјском архиву Сомбор</w:t>
      </w:r>
      <w:r w:rsidR="00E65E49">
        <w:rPr>
          <w:rFonts w:ascii="Times New Roman" w:hAnsi="Times New Roman" w:cs="Times New Roman"/>
          <w:sz w:val="24"/>
          <w:szCs w:val="24"/>
          <w:lang/>
        </w:rPr>
        <w:t xml:space="preserve"> су</w:t>
      </w:r>
      <w:r w:rsidRPr="00BB312B">
        <w:rPr>
          <w:rFonts w:ascii="Times New Roman" w:hAnsi="Times New Roman" w:cs="Times New Roman"/>
          <w:sz w:val="24"/>
          <w:szCs w:val="24"/>
          <w:lang/>
        </w:rPr>
        <w:t xml:space="preserve"> просторни услови, како за рад запослених так</w:t>
      </w:r>
      <w:r w:rsidR="00E65E49">
        <w:rPr>
          <w:rFonts w:ascii="Times New Roman" w:hAnsi="Times New Roman" w:cs="Times New Roman"/>
          <w:sz w:val="24"/>
          <w:szCs w:val="24"/>
          <w:lang/>
        </w:rPr>
        <w:t>о и за програмске активности,</w:t>
      </w:r>
      <w:r w:rsidRPr="00BB312B">
        <w:rPr>
          <w:rFonts w:ascii="Times New Roman" w:hAnsi="Times New Roman" w:cs="Times New Roman"/>
          <w:sz w:val="24"/>
          <w:szCs w:val="24"/>
          <w:lang/>
        </w:rPr>
        <w:t xml:space="preserve"> добили најнижу оцену (1.25), затим бројност програма и тимски рад (1.38). Генерално</w:t>
      </w:r>
      <w:r>
        <w:rPr>
          <w:rFonts w:ascii="Times New Roman" w:hAnsi="Times New Roman" w:cs="Times New Roman"/>
          <w:sz w:val="24"/>
          <w:szCs w:val="24"/>
          <w:lang/>
        </w:rPr>
        <w:t>,</w:t>
      </w:r>
      <w:r w:rsidRPr="00BB312B">
        <w:rPr>
          <w:rFonts w:ascii="Times New Roman" w:hAnsi="Times New Roman" w:cs="Times New Roman"/>
          <w:sz w:val="24"/>
          <w:szCs w:val="24"/>
          <w:lang/>
        </w:rPr>
        <w:t xml:space="preserve"> све области су оцењене знач</w:t>
      </w:r>
      <w:r>
        <w:rPr>
          <w:rFonts w:ascii="Times New Roman" w:hAnsi="Times New Roman" w:cs="Times New Roman"/>
          <w:sz w:val="24"/>
          <w:szCs w:val="24"/>
          <w:lang/>
        </w:rPr>
        <w:t>ај</w:t>
      </w:r>
      <w:r w:rsidRPr="00BB312B">
        <w:rPr>
          <w:rFonts w:ascii="Times New Roman" w:hAnsi="Times New Roman" w:cs="Times New Roman"/>
          <w:sz w:val="24"/>
          <w:szCs w:val="24"/>
          <w:lang/>
        </w:rPr>
        <w:t xml:space="preserve">но нижом оценом у односу на остале установе, тако да су највише оцене оне са просеком од око два, и </w:t>
      </w:r>
      <w:r>
        <w:rPr>
          <w:rFonts w:ascii="Times New Roman" w:hAnsi="Times New Roman" w:cs="Times New Roman"/>
          <w:sz w:val="24"/>
          <w:szCs w:val="24"/>
          <w:lang/>
        </w:rPr>
        <w:t>односе се</w:t>
      </w:r>
      <w:r w:rsidRPr="00BB312B">
        <w:rPr>
          <w:rFonts w:ascii="Times New Roman" w:hAnsi="Times New Roman" w:cs="Times New Roman"/>
          <w:sz w:val="24"/>
          <w:szCs w:val="24"/>
          <w:lang/>
        </w:rPr>
        <w:t xml:space="preserve"> на струч</w:t>
      </w:r>
      <w:r>
        <w:rPr>
          <w:rFonts w:ascii="Times New Roman" w:hAnsi="Times New Roman" w:cs="Times New Roman"/>
          <w:sz w:val="24"/>
          <w:szCs w:val="24"/>
          <w:lang/>
        </w:rPr>
        <w:t>ност кадрова (2.50) и технолошку опремљеност и до</w:t>
      </w:r>
      <w:r w:rsidRPr="00BB312B">
        <w:rPr>
          <w:rFonts w:ascii="Times New Roman" w:hAnsi="Times New Roman" w:cs="Times New Roman"/>
          <w:sz w:val="24"/>
          <w:szCs w:val="24"/>
          <w:lang/>
        </w:rPr>
        <w:t>ст</w:t>
      </w:r>
      <w:r>
        <w:rPr>
          <w:rFonts w:ascii="Times New Roman" w:hAnsi="Times New Roman" w:cs="Times New Roman"/>
          <w:sz w:val="24"/>
          <w:szCs w:val="24"/>
          <w:lang/>
        </w:rPr>
        <w:t>уп</w:t>
      </w:r>
      <w:r w:rsidRPr="00BB312B">
        <w:rPr>
          <w:rFonts w:ascii="Times New Roman" w:hAnsi="Times New Roman" w:cs="Times New Roman"/>
          <w:sz w:val="24"/>
          <w:szCs w:val="24"/>
          <w:lang/>
        </w:rPr>
        <w:t>ност садржаја у дигиталном окружењу (2.00).</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A7434">
        <w:rPr>
          <w:rFonts w:ascii="Times New Roman" w:hAnsi="Times New Roman" w:cs="Times New Roman"/>
          <w:sz w:val="24"/>
          <w:szCs w:val="24"/>
          <w:lang/>
        </w:rPr>
        <w:t xml:space="preserve">У Народном позоришту Сомбор </w:t>
      </w:r>
      <w:r w:rsidRPr="00BB312B">
        <w:rPr>
          <w:rFonts w:ascii="Times New Roman" w:hAnsi="Times New Roman" w:cs="Times New Roman"/>
          <w:sz w:val="24"/>
          <w:szCs w:val="24"/>
          <w:lang/>
        </w:rPr>
        <w:t>најниже је оцењено финансирање програма (2.29), затим иновативни начини финансирања и стручно усавршавање (2.43), као и технолошка опремљеност и доступност садржаја у дигиталном окружењу (2.71). Највише је оцењена област сарадње са публиком (4.14) и просторни услови за одржавање програма (4.00).</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rPr>
      </w:pPr>
      <w:r w:rsidRPr="00BA7434">
        <w:rPr>
          <w:rFonts w:ascii="Times New Roman" w:hAnsi="Times New Roman" w:cs="Times New Roman"/>
          <w:sz w:val="24"/>
          <w:szCs w:val="24"/>
          <w:lang/>
        </w:rPr>
        <w:t>У Град</w:t>
      </w:r>
      <w:r>
        <w:rPr>
          <w:rFonts w:ascii="Times New Roman" w:hAnsi="Times New Roman" w:cs="Times New Roman"/>
          <w:sz w:val="24"/>
          <w:szCs w:val="24"/>
          <w:lang/>
        </w:rPr>
        <w:t>с</w:t>
      </w:r>
      <w:r w:rsidRPr="00BA7434">
        <w:rPr>
          <w:rFonts w:ascii="Times New Roman" w:hAnsi="Times New Roman" w:cs="Times New Roman"/>
          <w:sz w:val="24"/>
          <w:szCs w:val="24"/>
          <w:lang/>
        </w:rPr>
        <w:t>кој библиотеци „Карло Бијелицки“ најниже</w:t>
      </w:r>
      <w:r>
        <w:rPr>
          <w:rFonts w:ascii="Times New Roman" w:hAnsi="Times New Roman" w:cs="Times New Roman"/>
          <w:sz w:val="24"/>
          <w:szCs w:val="24"/>
          <w:lang/>
        </w:rPr>
        <w:t xml:space="preserve"> су оцењене</w:t>
      </w:r>
      <w:r w:rsidRPr="00BB312B">
        <w:rPr>
          <w:rFonts w:ascii="Times New Roman" w:hAnsi="Times New Roman" w:cs="Times New Roman"/>
          <w:sz w:val="24"/>
          <w:szCs w:val="24"/>
          <w:lang/>
        </w:rPr>
        <w:t xml:space="preserve"> области финансирања програма (3.33), иновативни</w:t>
      </w:r>
      <w:r>
        <w:rPr>
          <w:rFonts w:ascii="Times New Roman" w:hAnsi="Times New Roman" w:cs="Times New Roman"/>
          <w:sz w:val="24"/>
          <w:szCs w:val="24"/>
          <w:lang/>
        </w:rPr>
        <w:t>х начина</w:t>
      </w:r>
      <w:r w:rsidRPr="00BB312B">
        <w:rPr>
          <w:rFonts w:ascii="Times New Roman" w:hAnsi="Times New Roman" w:cs="Times New Roman"/>
          <w:sz w:val="24"/>
          <w:szCs w:val="24"/>
          <w:lang/>
        </w:rPr>
        <w:t xml:space="preserve"> финансирања пројеката (3.50) и стратешко планирање и управљање (3.75).  Бројност програма (4.75), стручно уса</w:t>
      </w:r>
      <w:r>
        <w:rPr>
          <w:rFonts w:ascii="Times New Roman" w:hAnsi="Times New Roman" w:cs="Times New Roman"/>
          <w:sz w:val="24"/>
          <w:szCs w:val="24"/>
          <w:lang/>
        </w:rPr>
        <w:t xml:space="preserve">вршавање запослених (4.58), </w:t>
      </w:r>
      <w:r w:rsidRPr="00BB312B">
        <w:rPr>
          <w:rFonts w:ascii="Times New Roman" w:hAnsi="Times New Roman" w:cs="Times New Roman"/>
          <w:sz w:val="24"/>
          <w:szCs w:val="24"/>
          <w:lang/>
        </w:rPr>
        <w:t>стручност кадрова и просторни услови за програмске активност (4.50) су оцењени највишим оценама на нивоу установе.</w:t>
      </w:r>
    </w:p>
    <w:p w:rsidR="0057644C" w:rsidRPr="00BB312B" w:rsidRDefault="0057644C" w:rsidP="0057644C">
      <w:pPr>
        <w:autoSpaceDE w:val="0"/>
        <w:autoSpaceDN w:val="0"/>
        <w:adjustRightInd w:val="0"/>
        <w:spacing w:after="0"/>
        <w:jc w:val="both"/>
        <w:rPr>
          <w:rFonts w:ascii="Times New Roman" w:hAnsi="Times New Roman" w:cs="Times New Roman"/>
          <w:b/>
          <w:sz w:val="24"/>
          <w:szCs w:val="24"/>
          <w:lang/>
        </w:rPr>
      </w:pPr>
    </w:p>
    <w:p w:rsidR="0057644C" w:rsidRPr="00E65E49" w:rsidRDefault="00E65E49" w:rsidP="00E65E49">
      <w:pPr>
        <w:pStyle w:val="Heading2"/>
        <w:rPr>
          <w:b/>
        </w:rPr>
      </w:pPr>
      <w:bookmarkStart w:id="56" w:name="_Toc27958773"/>
      <w:bookmarkStart w:id="57" w:name="_Toc36072324"/>
      <w:r>
        <w:rPr>
          <w:b/>
        </w:rPr>
        <w:t>2.2</w:t>
      </w:r>
      <w:r w:rsidR="0057644C" w:rsidRPr="00E65E49">
        <w:rPr>
          <w:b/>
        </w:rPr>
        <w:t>. Вредновање сарадње установа са различитим актерима на локалном нивоу</w:t>
      </w:r>
      <w:bookmarkEnd w:id="56"/>
      <w:bookmarkEnd w:id="57"/>
      <w:r w:rsidR="0057644C" w:rsidRPr="00E65E49">
        <w:rPr>
          <w:b/>
        </w:rPr>
        <w:t xml:space="preserve"> </w:t>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Установе културе </w:t>
      </w:r>
      <w:r w:rsidRPr="00B87E3B">
        <w:rPr>
          <w:rFonts w:ascii="Times New Roman" w:hAnsi="Times New Roman" w:cs="Times New Roman"/>
          <w:sz w:val="24"/>
          <w:szCs w:val="24"/>
          <w:lang/>
        </w:rPr>
        <w:t>најбољу сарадњу остварају са основним школама у Сомбору</w:t>
      </w:r>
      <w:r w:rsidRPr="00BB312B">
        <w:rPr>
          <w:rFonts w:ascii="Times New Roman" w:hAnsi="Times New Roman" w:cs="Times New Roman"/>
          <w:sz w:val="24"/>
          <w:szCs w:val="24"/>
          <w:lang/>
        </w:rPr>
        <w:t xml:space="preserve">, затим са предшколским установама и медијима. На скали од један до пет, </w:t>
      </w:r>
      <w:r w:rsidRPr="00B87E3B">
        <w:rPr>
          <w:rFonts w:ascii="Times New Roman" w:hAnsi="Times New Roman" w:cs="Times New Roman"/>
          <w:sz w:val="24"/>
          <w:szCs w:val="24"/>
          <w:lang/>
        </w:rPr>
        <w:t>најниже, са просечним оценама испод три,  је оцењена сарадња са спонзорима и донаторима, затим приватним предузетницима из сектора културних и креативних индустрија, омладинским и организацијама социјалне заштите, као и са туристичком организацијом. Сарадња са градском управом оцењена је са пр</w:t>
      </w:r>
      <w:r w:rsidRPr="00BB312B">
        <w:rPr>
          <w:rFonts w:ascii="Times New Roman" w:hAnsi="Times New Roman" w:cs="Times New Roman"/>
          <w:sz w:val="24"/>
          <w:szCs w:val="24"/>
          <w:lang/>
        </w:rPr>
        <w:t>осечном оценом 3.4, а осредњом оц</w:t>
      </w:r>
      <w:r>
        <w:rPr>
          <w:rFonts w:ascii="Times New Roman" w:hAnsi="Times New Roman" w:cs="Times New Roman"/>
          <w:sz w:val="24"/>
          <w:szCs w:val="24"/>
          <w:lang/>
        </w:rPr>
        <w:t>еном</w:t>
      </w:r>
      <w:r w:rsidRPr="00BB312B">
        <w:rPr>
          <w:rFonts w:ascii="Times New Roman" w:hAnsi="Times New Roman" w:cs="Times New Roman"/>
          <w:sz w:val="24"/>
          <w:szCs w:val="24"/>
          <w:lang/>
        </w:rPr>
        <w:t xml:space="preserve"> (око 3) оцењени су и облици сарадње са средњим школама, удружењима грађана у култури, Педагошким факултетом и КУД-овима</w:t>
      </w:r>
      <w:r w:rsidR="00E65E49">
        <w:rPr>
          <w:rFonts w:ascii="Times New Roman" w:hAnsi="Times New Roman" w:cs="Times New Roman"/>
          <w:sz w:val="24"/>
          <w:szCs w:val="24"/>
          <w:lang/>
        </w:rPr>
        <w:t>.</w:t>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Табела </w:t>
      </w:r>
      <w:r w:rsidRPr="00BB312B">
        <w:rPr>
          <w:rFonts w:ascii="Times New Roman" w:hAnsi="Times New Roman" w:cs="Times New Roman"/>
          <w:sz w:val="24"/>
          <w:szCs w:val="24"/>
          <w:lang/>
        </w:rPr>
        <w:t>4: Оцена сарадње установа са различитим актерима на локалном нивоу</w:t>
      </w:r>
    </w:p>
    <w:tbl>
      <w:tblPr>
        <w:tblStyle w:val="GridTable4-Accent11"/>
        <w:tblW w:w="9351" w:type="dxa"/>
        <w:tblLook w:val="04A0"/>
      </w:tblPr>
      <w:tblGrid>
        <w:gridCol w:w="7792"/>
        <w:gridCol w:w="1559"/>
      </w:tblGrid>
      <w:tr w:rsidR="0057644C" w:rsidRPr="00BB312B" w:rsidTr="000606DF">
        <w:trPr>
          <w:cnfStyle w:val="100000000000"/>
        </w:trPr>
        <w:tc>
          <w:tcPr>
            <w:cnfStyle w:val="001000000000"/>
            <w:tcW w:w="7792" w:type="dxa"/>
          </w:tcPr>
          <w:p w:rsidR="0057644C" w:rsidRPr="00BB312B" w:rsidRDefault="0057644C" w:rsidP="000606DF">
            <w:pPr>
              <w:spacing w:line="276" w:lineRule="auto"/>
              <w:jc w:val="both"/>
              <w:rPr>
                <w:sz w:val="24"/>
                <w:szCs w:val="24"/>
              </w:rPr>
            </w:pPr>
          </w:p>
        </w:tc>
        <w:tc>
          <w:tcPr>
            <w:tcW w:w="1559" w:type="dxa"/>
          </w:tcPr>
          <w:p w:rsidR="0057644C" w:rsidRPr="00B87E3B" w:rsidRDefault="0057644C" w:rsidP="000606DF">
            <w:pPr>
              <w:spacing w:line="276" w:lineRule="auto"/>
              <w:jc w:val="both"/>
              <w:cnfStyle w:val="100000000000"/>
              <w:rPr>
                <w:lang/>
              </w:rPr>
            </w:pPr>
            <w:r w:rsidRPr="00B87E3B">
              <w:rPr>
                <w:lang/>
              </w:rPr>
              <w:t>Средња оцена</w:t>
            </w:r>
          </w:p>
        </w:tc>
      </w:tr>
      <w:tr w:rsidR="0057644C" w:rsidRPr="00BB312B" w:rsidTr="000606DF">
        <w:trPr>
          <w:cnfStyle w:val="000000100000"/>
        </w:trPr>
        <w:tc>
          <w:tcPr>
            <w:cnfStyle w:val="001000000000"/>
            <w:tcW w:w="7792" w:type="dxa"/>
          </w:tcPr>
          <w:p w:rsidR="0057644C" w:rsidRPr="00B87E3B" w:rsidRDefault="0057644C" w:rsidP="000606DF">
            <w:pPr>
              <w:spacing w:line="276" w:lineRule="auto"/>
              <w:jc w:val="both"/>
            </w:pPr>
            <w:r w:rsidRPr="00B87E3B">
              <w:t>основне школе</w:t>
            </w:r>
          </w:p>
        </w:tc>
        <w:tc>
          <w:tcPr>
            <w:tcW w:w="1559" w:type="dxa"/>
          </w:tcPr>
          <w:p w:rsidR="0057644C" w:rsidRPr="00B87E3B" w:rsidRDefault="0057644C" w:rsidP="000606DF">
            <w:pPr>
              <w:spacing w:line="276" w:lineRule="auto"/>
              <w:jc w:val="center"/>
              <w:cnfStyle w:val="000000100000"/>
            </w:pPr>
            <w:r w:rsidRPr="00B87E3B">
              <w:t>3.86</w:t>
            </w:r>
          </w:p>
        </w:tc>
      </w:tr>
      <w:tr w:rsidR="0057644C" w:rsidRPr="00BB312B" w:rsidTr="000606DF">
        <w:tc>
          <w:tcPr>
            <w:cnfStyle w:val="001000000000"/>
            <w:tcW w:w="7792" w:type="dxa"/>
          </w:tcPr>
          <w:p w:rsidR="0057644C" w:rsidRPr="00B87E3B" w:rsidRDefault="0057644C" w:rsidP="000606DF">
            <w:pPr>
              <w:spacing w:line="276" w:lineRule="auto"/>
              <w:jc w:val="both"/>
            </w:pPr>
            <w:r w:rsidRPr="00B87E3B">
              <w:t>предшколске установе</w:t>
            </w:r>
          </w:p>
        </w:tc>
        <w:tc>
          <w:tcPr>
            <w:tcW w:w="1559" w:type="dxa"/>
          </w:tcPr>
          <w:p w:rsidR="0057644C" w:rsidRPr="00B87E3B" w:rsidRDefault="0057644C" w:rsidP="000606DF">
            <w:pPr>
              <w:spacing w:line="276" w:lineRule="auto"/>
              <w:jc w:val="center"/>
              <w:cnfStyle w:val="000000000000"/>
            </w:pPr>
            <w:r w:rsidRPr="00B87E3B">
              <w:t>3.51</w:t>
            </w:r>
          </w:p>
        </w:tc>
      </w:tr>
      <w:tr w:rsidR="0057644C" w:rsidRPr="00BB312B" w:rsidTr="000606DF">
        <w:trPr>
          <w:cnfStyle w:val="000000100000"/>
        </w:trPr>
        <w:tc>
          <w:tcPr>
            <w:cnfStyle w:val="001000000000"/>
            <w:tcW w:w="7792" w:type="dxa"/>
          </w:tcPr>
          <w:p w:rsidR="0057644C" w:rsidRPr="00B87E3B" w:rsidRDefault="0057644C" w:rsidP="000606DF">
            <w:pPr>
              <w:spacing w:line="276" w:lineRule="auto"/>
              <w:jc w:val="both"/>
            </w:pPr>
            <w:r w:rsidRPr="00B87E3B">
              <w:t>медији</w:t>
            </w:r>
          </w:p>
        </w:tc>
        <w:tc>
          <w:tcPr>
            <w:tcW w:w="1559" w:type="dxa"/>
          </w:tcPr>
          <w:p w:rsidR="0057644C" w:rsidRPr="00B87E3B" w:rsidRDefault="0057644C" w:rsidP="000606DF">
            <w:pPr>
              <w:spacing w:line="276" w:lineRule="auto"/>
              <w:jc w:val="center"/>
              <w:cnfStyle w:val="000000100000"/>
            </w:pPr>
            <w:r w:rsidRPr="00B87E3B">
              <w:t>3.49</w:t>
            </w:r>
          </w:p>
        </w:tc>
      </w:tr>
      <w:tr w:rsidR="0057644C" w:rsidRPr="00BB312B" w:rsidTr="000606DF">
        <w:tc>
          <w:tcPr>
            <w:cnfStyle w:val="001000000000"/>
            <w:tcW w:w="7792" w:type="dxa"/>
          </w:tcPr>
          <w:p w:rsidR="0057644C" w:rsidRPr="00B87E3B" w:rsidRDefault="0057644C" w:rsidP="000606DF">
            <w:pPr>
              <w:spacing w:line="276" w:lineRule="auto"/>
              <w:jc w:val="both"/>
            </w:pPr>
            <w:r w:rsidRPr="00B87E3B">
              <w:t>Градска управа</w:t>
            </w:r>
          </w:p>
        </w:tc>
        <w:tc>
          <w:tcPr>
            <w:tcW w:w="1559" w:type="dxa"/>
          </w:tcPr>
          <w:p w:rsidR="0057644C" w:rsidRPr="00B87E3B" w:rsidRDefault="0057644C" w:rsidP="000606DF">
            <w:pPr>
              <w:spacing w:line="276" w:lineRule="auto"/>
              <w:jc w:val="center"/>
              <w:cnfStyle w:val="000000000000"/>
            </w:pPr>
            <w:r w:rsidRPr="00B87E3B">
              <w:t>3.4</w:t>
            </w:r>
          </w:p>
        </w:tc>
      </w:tr>
      <w:tr w:rsidR="0057644C" w:rsidRPr="00BB312B" w:rsidTr="000606DF">
        <w:trPr>
          <w:cnfStyle w:val="000000100000"/>
        </w:trPr>
        <w:tc>
          <w:tcPr>
            <w:cnfStyle w:val="001000000000"/>
            <w:tcW w:w="7792" w:type="dxa"/>
          </w:tcPr>
          <w:p w:rsidR="0057644C" w:rsidRPr="00B87E3B" w:rsidRDefault="0057644C" w:rsidP="000606DF">
            <w:pPr>
              <w:spacing w:line="276" w:lineRule="auto"/>
              <w:jc w:val="both"/>
            </w:pPr>
            <w:r w:rsidRPr="00B87E3B">
              <w:t>средње школе</w:t>
            </w:r>
          </w:p>
        </w:tc>
        <w:tc>
          <w:tcPr>
            <w:tcW w:w="1559" w:type="dxa"/>
          </w:tcPr>
          <w:p w:rsidR="0057644C" w:rsidRPr="00B87E3B" w:rsidRDefault="0057644C" w:rsidP="000606DF">
            <w:pPr>
              <w:spacing w:line="276" w:lineRule="auto"/>
              <w:jc w:val="center"/>
              <w:cnfStyle w:val="000000100000"/>
            </w:pPr>
            <w:r w:rsidRPr="00B87E3B">
              <w:t>3.33</w:t>
            </w:r>
          </w:p>
        </w:tc>
      </w:tr>
      <w:tr w:rsidR="0057644C" w:rsidRPr="00BB312B" w:rsidTr="000606DF">
        <w:tc>
          <w:tcPr>
            <w:cnfStyle w:val="001000000000"/>
            <w:tcW w:w="7792" w:type="dxa"/>
          </w:tcPr>
          <w:p w:rsidR="0057644C" w:rsidRPr="00B87E3B" w:rsidRDefault="0057644C" w:rsidP="000606DF">
            <w:pPr>
              <w:spacing w:line="276" w:lineRule="auto"/>
              <w:jc w:val="both"/>
            </w:pPr>
            <w:r w:rsidRPr="00B87E3B">
              <w:t>удружења грађана у култури</w:t>
            </w:r>
          </w:p>
        </w:tc>
        <w:tc>
          <w:tcPr>
            <w:tcW w:w="1559" w:type="dxa"/>
          </w:tcPr>
          <w:p w:rsidR="0057644C" w:rsidRPr="00B87E3B" w:rsidRDefault="0057644C" w:rsidP="000606DF">
            <w:pPr>
              <w:spacing w:line="276" w:lineRule="auto"/>
              <w:jc w:val="center"/>
              <w:cnfStyle w:val="000000000000"/>
            </w:pPr>
            <w:r w:rsidRPr="00B87E3B">
              <w:t>3.19</w:t>
            </w:r>
          </w:p>
        </w:tc>
      </w:tr>
      <w:tr w:rsidR="0057644C" w:rsidRPr="00BB312B" w:rsidTr="000606DF">
        <w:trPr>
          <w:cnfStyle w:val="000000100000"/>
        </w:trPr>
        <w:tc>
          <w:tcPr>
            <w:cnfStyle w:val="001000000000"/>
            <w:tcW w:w="7792" w:type="dxa"/>
          </w:tcPr>
          <w:p w:rsidR="0057644C" w:rsidRPr="00B87E3B" w:rsidRDefault="0057644C" w:rsidP="000606DF">
            <w:pPr>
              <w:spacing w:line="276" w:lineRule="auto"/>
              <w:jc w:val="both"/>
            </w:pPr>
            <w:r w:rsidRPr="00B87E3B">
              <w:t>Педагошки факултет</w:t>
            </w:r>
          </w:p>
        </w:tc>
        <w:tc>
          <w:tcPr>
            <w:tcW w:w="1559" w:type="dxa"/>
          </w:tcPr>
          <w:p w:rsidR="0057644C" w:rsidRPr="00B87E3B" w:rsidRDefault="0057644C" w:rsidP="000606DF">
            <w:pPr>
              <w:spacing w:line="276" w:lineRule="auto"/>
              <w:jc w:val="center"/>
              <w:cnfStyle w:val="000000100000"/>
            </w:pPr>
            <w:r w:rsidRPr="00B87E3B">
              <w:t>3.16</w:t>
            </w:r>
          </w:p>
        </w:tc>
      </w:tr>
      <w:tr w:rsidR="0057644C" w:rsidRPr="00BB312B" w:rsidTr="000606DF">
        <w:tc>
          <w:tcPr>
            <w:cnfStyle w:val="001000000000"/>
            <w:tcW w:w="7792" w:type="dxa"/>
          </w:tcPr>
          <w:p w:rsidR="0057644C" w:rsidRPr="00B87E3B" w:rsidRDefault="0057644C" w:rsidP="000606DF">
            <w:pPr>
              <w:spacing w:line="276" w:lineRule="auto"/>
              <w:jc w:val="both"/>
            </w:pPr>
            <w:r w:rsidRPr="00B87E3B">
              <w:t>КУД-ови</w:t>
            </w:r>
          </w:p>
        </w:tc>
        <w:tc>
          <w:tcPr>
            <w:tcW w:w="1559" w:type="dxa"/>
          </w:tcPr>
          <w:p w:rsidR="0057644C" w:rsidRPr="00B87E3B" w:rsidRDefault="0057644C" w:rsidP="000606DF">
            <w:pPr>
              <w:spacing w:line="276" w:lineRule="auto"/>
              <w:jc w:val="center"/>
              <w:cnfStyle w:val="000000000000"/>
            </w:pPr>
            <w:r w:rsidRPr="00B87E3B">
              <w:t>3.14</w:t>
            </w:r>
          </w:p>
        </w:tc>
      </w:tr>
      <w:tr w:rsidR="0057644C" w:rsidRPr="00BB312B" w:rsidTr="000606DF">
        <w:trPr>
          <w:cnfStyle w:val="000000100000"/>
          <w:trHeight w:val="283"/>
        </w:trPr>
        <w:tc>
          <w:tcPr>
            <w:cnfStyle w:val="001000000000"/>
            <w:tcW w:w="7792" w:type="dxa"/>
          </w:tcPr>
          <w:p w:rsidR="0057644C" w:rsidRPr="00FA4CE6" w:rsidRDefault="0057644C" w:rsidP="000606DF">
            <w:pPr>
              <w:spacing w:line="276" w:lineRule="auto"/>
              <w:jc w:val="both"/>
              <w:rPr>
                <w:lang/>
              </w:rPr>
            </w:pPr>
            <w:r>
              <w:rPr>
                <w:lang/>
              </w:rPr>
              <w:t>Т</w:t>
            </w:r>
            <w:r w:rsidRPr="00B87E3B">
              <w:t>уристичка организација</w:t>
            </w:r>
            <w:r>
              <w:rPr>
                <w:lang/>
              </w:rPr>
              <w:t xml:space="preserve"> Сомбора</w:t>
            </w:r>
          </w:p>
        </w:tc>
        <w:tc>
          <w:tcPr>
            <w:tcW w:w="1559" w:type="dxa"/>
          </w:tcPr>
          <w:p w:rsidR="0057644C" w:rsidRPr="00B87E3B" w:rsidRDefault="0057644C" w:rsidP="000606DF">
            <w:pPr>
              <w:spacing w:line="276" w:lineRule="auto"/>
              <w:jc w:val="center"/>
              <w:cnfStyle w:val="000000100000"/>
            </w:pPr>
            <w:r w:rsidRPr="00B87E3B">
              <w:t>2.74</w:t>
            </w:r>
          </w:p>
        </w:tc>
      </w:tr>
      <w:tr w:rsidR="0057644C" w:rsidRPr="00BB312B" w:rsidTr="000606DF">
        <w:tc>
          <w:tcPr>
            <w:cnfStyle w:val="001000000000"/>
            <w:tcW w:w="7792" w:type="dxa"/>
          </w:tcPr>
          <w:p w:rsidR="0057644C" w:rsidRPr="00B87E3B" w:rsidRDefault="0057644C" w:rsidP="000606DF">
            <w:pPr>
              <w:spacing w:line="276" w:lineRule="auto"/>
              <w:jc w:val="both"/>
            </w:pPr>
            <w:r w:rsidRPr="00B87E3B">
              <w:t>удружења грађана из области социјалне заштите</w:t>
            </w:r>
          </w:p>
        </w:tc>
        <w:tc>
          <w:tcPr>
            <w:tcW w:w="1559" w:type="dxa"/>
          </w:tcPr>
          <w:p w:rsidR="0057644C" w:rsidRPr="00B87E3B" w:rsidRDefault="0057644C" w:rsidP="000606DF">
            <w:pPr>
              <w:spacing w:line="276" w:lineRule="auto"/>
              <w:jc w:val="center"/>
              <w:cnfStyle w:val="000000000000"/>
            </w:pPr>
            <w:r w:rsidRPr="00B87E3B">
              <w:t>2.67</w:t>
            </w:r>
          </w:p>
        </w:tc>
      </w:tr>
      <w:tr w:rsidR="0057644C" w:rsidRPr="00BB312B" w:rsidTr="000606DF">
        <w:trPr>
          <w:cnfStyle w:val="000000100000"/>
        </w:trPr>
        <w:tc>
          <w:tcPr>
            <w:cnfStyle w:val="001000000000"/>
            <w:tcW w:w="7792" w:type="dxa"/>
          </w:tcPr>
          <w:p w:rsidR="0057644C" w:rsidRPr="00B87E3B" w:rsidRDefault="0057644C" w:rsidP="000606DF">
            <w:pPr>
              <w:spacing w:line="276" w:lineRule="auto"/>
              <w:jc w:val="both"/>
            </w:pPr>
            <w:r w:rsidRPr="00B87E3B">
              <w:t>омладинске организације</w:t>
            </w:r>
          </w:p>
        </w:tc>
        <w:tc>
          <w:tcPr>
            <w:tcW w:w="1559" w:type="dxa"/>
          </w:tcPr>
          <w:p w:rsidR="0057644C" w:rsidRPr="00B87E3B" w:rsidRDefault="0057644C" w:rsidP="000606DF">
            <w:pPr>
              <w:spacing w:line="276" w:lineRule="auto"/>
              <w:jc w:val="center"/>
              <w:cnfStyle w:val="000000100000"/>
            </w:pPr>
            <w:r w:rsidRPr="00B87E3B">
              <w:t>2.65</w:t>
            </w:r>
          </w:p>
        </w:tc>
      </w:tr>
      <w:tr w:rsidR="0057644C" w:rsidRPr="00BB312B" w:rsidTr="000606DF">
        <w:tc>
          <w:tcPr>
            <w:cnfStyle w:val="001000000000"/>
            <w:tcW w:w="7792" w:type="dxa"/>
          </w:tcPr>
          <w:p w:rsidR="0057644C" w:rsidRPr="00B87E3B" w:rsidRDefault="0057644C" w:rsidP="000606DF">
            <w:pPr>
              <w:spacing w:line="276" w:lineRule="auto"/>
              <w:jc w:val="both"/>
            </w:pPr>
            <w:r w:rsidRPr="00B87E3B">
              <w:t>приватни предузетници у области културних и креативних индустрија</w:t>
            </w:r>
          </w:p>
        </w:tc>
        <w:tc>
          <w:tcPr>
            <w:tcW w:w="1559" w:type="dxa"/>
          </w:tcPr>
          <w:p w:rsidR="0057644C" w:rsidRPr="00B87E3B" w:rsidRDefault="0057644C" w:rsidP="000606DF">
            <w:pPr>
              <w:spacing w:line="276" w:lineRule="auto"/>
              <w:jc w:val="center"/>
              <w:cnfStyle w:val="000000000000"/>
            </w:pPr>
            <w:r w:rsidRPr="00B87E3B">
              <w:t>2.47</w:t>
            </w:r>
          </w:p>
        </w:tc>
      </w:tr>
      <w:tr w:rsidR="0057644C" w:rsidRPr="00BB312B" w:rsidTr="000606DF">
        <w:trPr>
          <w:cnfStyle w:val="000000100000"/>
        </w:trPr>
        <w:tc>
          <w:tcPr>
            <w:cnfStyle w:val="001000000000"/>
            <w:tcW w:w="7792" w:type="dxa"/>
          </w:tcPr>
          <w:p w:rsidR="0057644C" w:rsidRPr="00B87E3B" w:rsidRDefault="0057644C" w:rsidP="000606DF">
            <w:pPr>
              <w:spacing w:line="276" w:lineRule="auto"/>
              <w:jc w:val="both"/>
            </w:pPr>
            <w:r w:rsidRPr="00B87E3B">
              <w:t>спонзори/донатори</w:t>
            </w:r>
          </w:p>
        </w:tc>
        <w:tc>
          <w:tcPr>
            <w:tcW w:w="1559" w:type="dxa"/>
          </w:tcPr>
          <w:p w:rsidR="0057644C" w:rsidRPr="00B87E3B" w:rsidRDefault="0057644C" w:rsidP="000606DF">
            <w:pPr>
              <w:spacing w:line="276" w:lineRule="auto"/>
              <w:jc w:val="center"/>
              <w:cnfStyle w:val="000000100000"/>
            </w:pPr>
            <w:r w:rsidRPr="00B87E3B">
              <w:t>2.26</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E65E49" w:rsidRDefault="00E65E49" w:rsidP="0057644C">
      <w:pPr>
        <w:autoSpaceDE w:val="0"/>
        <w:autoSpaceDN w:val="0"/>
        <w:adjustRightInd w:val="0"/>
        <w:spacing w:after="0"/>
        <w:jc w:val="both"/>
        <w:rPr>
          <w:rFonts w:ascii="Times New Roman" w:hAnsi="Times New Roman" w:cs="Times New Roman"/>
          <w:sz w:val="24"/>
          <w:szCs w:val="24"/>
          <w:lang/>
        </w:rPr>
      </w:pPr>
    </w:p>
    <w:p w:rsidR="00E65E49" w:rsidRDefault="00E65E49" w:rsidP="0057644C">
      <w:pPr>
        <w:autoSpaceDE w:val="0"/>
        <w:autoSpaceDN w:val="0"/>
        <w:adjustRightInd w:val="0"/>
        <w:spacing w:after="0"/>
        <w:jc w:val="both"/>
        <w:rPr>
          <w:rFonts w:ascii="Times New Roman" w:hAnsi="Times New Roman" w:cs="Times New Roman"/>
          <w:sz w:val="24"/>
          <w:szCs w:val="24"/>
          <w:lang/>
        </w:rPr>
      </w:pPr>
    </w:p>
    <w:p w:rsidR="00E65E49" w:rsidRDefault="00E65E49" w:rsidP="0057644C">
      <w:pPr>
        <w:autoSpaceDE w:val="0"/>
        <w:autoSpaceDN w:val="0"/>
        <w:adjustRightInd w:val="0"/>
        <w:spacing w:after="0"/>
        <w:jc w:val="both"/>
        <w:rPr>
          <w:rFonts w:ascii="Times New Roman" w:hAnsi="Times New Roman" w:cs="Times New Roman"/>
          <w:sz w:val="24"/>
          <w:szCs w:val="24"/>
          <w:lang/>
        </w:rPr>
      </w:pPr>
    </w:p>
    <w:p w:rsidR="00E65E49" w:rsidRDefault="00E65E49" w:rsidP="0057644C">
      <w:pPr>
        <w:autoSpaceDE w:val="0"/>
        <w:autoSpaceDN w:val="0"/>
        <w:adjustRightInd w:val="0"/>
        <w:spacing w:after="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r w:rsidRPr="00BB312B">
        <w:rPr>
          <w:rFonts w:ascii="Times New Roman" w:hAnsi="Times New Roman" w:cs="Times New Roman"/>
          <w:sz w:val="24"/>
          <w:szCs w:val="24"/>
          <w:lang/>
        </w:rPr>
        <w:t>Гледано према установама:</w:t>
      </w:r>
    </w:p>
    <w:p w:rsidR="0057644C" w:rsidRPr="00B87E3B" w:rsidRDefault="0057644C" w:rsidP="00B03CD2">
      <w:pPr>
        <w:pStyle w:val="ListParagraph"/>
        <w:numPr>
          <w:ilvl w:val="0"/>
          <w:numId w:val="30"/>
        </w:numPr>
        <w:autoSpaceDE w:val="0"/>
        <w:autoSpaceDN w:val="0"/>
        <w:adjustRightInd w:val="0"/>
        <w:spacing w:after="0" w:line="276" w:lineRule="auto"/>
        <w:jc w:val="both"/>
        <w:rPr>
          <w:rFonts w:ascii="Times New Roman" w:hAnsi="Times New Roman" w:cs="Times New Roman"/>
          <w:sz w:val="24"/>
          <w:szCs w:val="24"/>
          <w:lang/>
        </w:rPr>
      </w:pPr>
      <w:r>
        <w:rPr>
          <w:rFonts w:ascii="Times New Roman" w:hAnsi="Times New Roman" w:cs="Times New Roman"/>
          <w:sz w:val="24"/>
          <w:szCs w:val="24"/>
          <w:lang/>
        </w:rPr>
        <w:t>З</w:t>
      </w:r>
      <w:r w:rsidRPr="00BB312B">
        <w:rPr>
          <w:rFonts w:ascii="Times New Roman" w:hAnsi="Times New Roman" w:cs="Times New Roman"/>
          <w:sz w:val="24"/>
          <w:szCs w:val="24"/>
          <w:lang/>
        </w:rPr>
        <w:t xml:space="preserve">апослени у </w:t>
      </w:r>
      <w:r w:rsidRPr="00DE1004">
        <w:rPr>
          <w:rFonts w:ascii="Times New Roman" w:hAnsi="Times New Roman" w:cs="Times New Roman"/>
          <w:sz w:val="24"/>
          <w:szCs w:val="24"/>
          <w:lang/>
        </w:rPr>
        <w:t>Градском музеју Сомбор</w:t>
      </w:r>
      <w:r w:rsidRPr="00BB312B">
        <w:rPr>
          <w:rFonts w:ascii="Times New Roman" w:hAnsi="Times New Roman" w:cs="Times New Roman"/>
          <w:sz w:val="24"/>
          <w:szCs w:val="24"/>
          <w:lang/>
        </w:rPr>
        <w:t xml:space="preserve"> најбоље оцењују сарадњу</w:t>
      </w:r>
      <w:r w:rsidRPr="00BB312B">
        <w:rPr>
          <w:rFonts w:ascii="Times New Roman" w:hAnsi="Times New Roman" w:cs="Times New Roman"/>
          <w:sz w:val="24"/>
          <w:szCs w:val="24"/>
          <w:lang/>
        </w:rPr>
        <w:t xml:space="preserve"> </w:t>
      </w:r>
      <w:r w:rsidRPr="00BB312B">
        <w:rPr>
          <w:rFonts w:ascii="Times New Roman" w:hAnsi="Times New Roman" w:cs="Times New Roman"/>
          <w:sz w:val="24"/>
          <w:szCs w:val="24"/>
          <w:lang/>
        </w:rPr>
        <w:t xml:space="preserve">са </w:t>
      </w:r>
      <w:r w:rsidRPr="00B87E3B">
        <w:rPr>
          <w:rFonts w:ascii="Times New Roman" w:hAnsi="Times New Roman" w:cs="Times New Roman"/>
          <w:sz w:val="24"/>
          <w:szCs w:val="24"/>
          <w:lang/>
        </w:rPr>
        <w:t xml:space="preserve">основним школама, а најнижу оцену су додели начину сарадње са </w:t>
      </w:r>
      <w:r>
        <w:rPr>
          <w:rFonts w:ascii="Times New Roman" w:hAnsi="Times New Roman" w:cs="Times New Roman"/>
          <w:noProof/>
          <w:sz w:val="24"/>
          <w:szCs w:val="24"/>
          <w:lang w:val="sr-Cyrl-CS"/>
        </w:rPr>
        <w:t>Т</w:t>
      </w:r>
      <w:r w:rsidRPr="00B87E3B">
        <w:rPr>
          <w:rFonts w:ascii="Times New Roman" w:hAnsi="Times New Roman" w:cs="Times New Roman"/>
          <w:noProof/>
          <w:sz w:val="24"/>
          <w:szCs w:val="24"/>
          <w:lang w:val="sr-Cyrl-CS"/>
        </w:rPr>
        <w:t>уристичком организацијом</w:t>
      </w:r>
      <w:r>
        <w:rPr>
          <w:rFonts w:ascii="Times New Roman" w:hAnsi="Times New Roman" w:cs="Times New Roman"/>
          <w:noProof/>
          <w:sz w:val="24"/>
          <w:szCs w:val="24"/>
          <w:lang w:val="sr-Cyrl-CS"/>
        </w:rPr>
        <w:t xml:space="preserve"> Сомбора</w:t>
      </w:r>
      <w:r w:rsidRPr="00B87E3B">
        <w:rPr>
          <w:rFonts w:ascii="Times New Roman" w:hAnsi="Times New Roman" w:cs="Times New Roman"/>
          <w:noProof/>
          <w:sz w:val="24"/>
          <w:szCs w:val="24"/>
          <w:lang w:val="sr-Cyrl-CS"/>
        </w:rPr>
        <w:t xml:space="preserve"> и спонзорима и донаторим</w:t>
      </w:r>
      <w:r w:rsidRPr="00B87E3B">
        <w:rPr>
          <w:rFonts w:ascii="Times New Roman" w:hAnsi="Times New Roman" w:cs="Times New Roman"/>
          <w:sz w:val="24"/>
          <w:szCs w:val="24"/>
          <w:lang w:val="sr-Cyrl-CS"/>
        </w:rPr>
        <w:t>а</w:t>
      </w:r>
      <w:r w:rsidRPr="00B87E3B">
        <w:rPr>
          <w:rFonts w:ascii="Times New Roman" w:hAnsi="Times New Roman" w:cs="Times New Roman"/>
          <w:sz w:val="24"/>
          <w:szCs w:val="24"/>
          <w:lang/>
        </w:rPr>
        <w:t xml:space="preserve"> (1.63). </w:t>
      </w:r>
    </w:p>
    <w:p w:rsidR="0057644C" w:rsidRPr="00BB312B" w:rsidRDefault="0057644C" w:rsidP="00B03CD2">
      <w:pPr>
        <w:pStyle w:val="ListParagraph"/>
        <w:numPr>
          <w:ilvl w:val="0"/>
          <w:numId w:val="30"/>
        </w:numPr>
        <w:autoSpaceDE w:val="0"/>
        <w:autoSpaceDN w:val="0"/>
        <w:adjustRightInd w:val="0"/>
        <w:spacing w:after="0" w:line="276" w:lineRule="auto"/>
        <w:jc w:val="both"/>
        <w:rPr>
          <w:rFonts w:ascii="Times New Roman" w:hAnsi="Times New Roman" w:cs="Times New Roman"/>
          <w:sz w:val="24"/>
          <w:szCs w:val="24"/>
          <w:lang/>
        </w:rPr>
      </w:pPr>
      <w:r w:rsidRPr="00B87E3B">
        <w:rPr>
          <w:rFonts w:ascii="Times New Roman" w:hAnsi="Times New Roman" w:cs="Times New Roman"/>
          <w:sz w:val="24"/>
          <w:szCs w:val="24"/>
          <w:lang/>
        </w:rPr>
        <w:t>У</w:t>
      </w:r>
      <w:r w:rsidRPr="00BB312B">
        <w:rPr>
          <w:rFonts w:ascii="Times New Roman" w:hAnsi="Times New Roman" w:cs="Times New Roman"/>
          <w:b/>
          <w:sz w:val="24"/>
          <w:szCs w:val="24"/>
          <w:lang/>
        </w:rPr>
        <w:t xml:space="preserve"> </w:t>
      </w:r>
      <w:r w:rsidRPr="00DE1004">
        <w:rPr>
          <w:rFonts w:ascii="Times New Roman" w:hAnsi="Times New Roman" w:cs="Times New Roman"/>
          <w:sz w:val="24"/>
          <w:szCs w:val="24"/>
          <w:lang/>
        </w:rPr>
        <w:t xml:space="preserve">Галерији </w:t>
      </w:r>
      <w:r w:rsidRPr="00DE1004">
        <w:rPr>
          <w:rFonts w:ascii="Times New Roman" w:hAnsi="Times New Roman" w:cs="Times New Roman"/>
          <w:sz w:val="24"/>
          <w:szCs w:val="24"/>
          <w:lang/>
        </w:rPr>
        <w:t>„</w:t>
      </w:r>
      <w:r w:rsidRPr="00DE1004">
        <w:rPr>
          <w:rFonts w:ascii="Times New Roman" w:hAnsi="Times New Roman" w:cs="Times New Roman"/>
          <w:sz w:val="24"/>
          <w:szCs w:val="24"/>
          <w:lang/>
        </w:rPr>
        <w:t>Милан Коњовић</w:t>
      </w:r>
      <w:r w:rsidRPr="00DE1004">
        <w:rPr>
          <w:rFonts w:ascii="Times New Roman" w:hAnsi="Times New Roman" w:cs="Times New Roman"/>
          <w:sz w:val="24"/>
          <w:szCs w:val="24"/>
          <w:lang/>
        </w:rPr>
        <w:t>“</w:t>
      </w:r>
      <w:r>
        <w:rPr>
          <w:rFonts w:ascii="Times New Roman" w:hAnsi="Times New Roman" w:cs="Times New Roman"/>
          <w:sz w:val="24"/>
          <w:szCs w:val="24"/>
          <w:lang/>
        </w:rPr>
        <w:t xml:space="preserve"> је сарадња са Т</w:t>
      </w:r>
      <w:r w:rsidRPr="00BB312B">
        <w:rPr>
          <w:rFonts w:ascii="Times New Roman" w:hAnsi="Times New Roman" w:cs="Times New Roman"/>
          <w:sz w:val="24"/>
          <w:szCs w:val="24"/>
          <w:lang/>
        </w:rPr>
        <w:t>уристичком организацијом</w:t>
      </w:r>
      <w:r>
        <w:rPr>
          <w:rFonts w:ascii="Times New Roman" w:hAnsi="Times New Roman" w:cs="Times New Roman"/>
          <w:sz w:val="24"/>
          <w:szCs w:val="24"/>
          <w:lang/>
        </w:rPr>
        <w:t xml:space="preserve"> Сомбора</w:t>
      </w:r>
      <w:r w:rsidRPr="00BB312B">
        <w:rPr>
          <w:rFonts w:ascii="Times New Roman" w:hAnsi="Times New Roman" w:cs="Times New Roman"/>
          <w:sz w:val="24"/>
          <w:szCs w:val="24"/>
          <w:lang/>
        </w:rPr>
        <w:t xml:space="preserve"> оцењена</w:t>
      </w:r>
      <w:r w:rsidRPr="00BB312B">
        <w:rPr>
          <w:rFonts w:ascii="Times New Roman" w:hAnsi="Times New Roman" w:cs="Times New Roman"/>
          <w:noProof/>
          <w:sz w:val="24"/>
          <w:szCs w:val="24"/>
          <w:lang w:val="sr-Cyrl-CS"/>
        </w:rPr>
        <w:t xml:space="preserve"> највишом оцено</w:t>
      </w:r>
      <w:r w:rsidRPr="00BB312B">
        <w:rPr>
          <w:rFonts w:ascii="Times New Roman" w:hAnsi="Times New Roman" w:cs="Times New Roman"/>
          <w:sz w:val="24"/>
          <w:szCs w:val="24"/>
          <w:lang w:val="sr-Cyrl-CS"/>
        </w:rPr>
        <w:t>м</w:t>
      </w:r>
      <w:r w:rsidRPr="00BB312B">
        <w:rPr>
          <w:rFonts w:ascii="Times New Roman" w:hAnsi="Times New Roman" w:cs="Times New Roman"/>
          <w:sz w:val="24"/>
          <w:szCs w:val="24"/>
          <w:lang/>
        </w:rPr>
        <w:t xml:space="preserve"> (5.00),</w:t>
      </w:r>
      <w:r w:rsidRPr="00BB312B">
        <w:rPr>
          <w:rFonts w:ascii="Times New Roman" w:hAnsi="Times New Roman" w:cs="Times New Roman"/>
          <w:sz w:val="24"/>
          <w:szCs w:val="24"/>
          <w:lang/>
        </w:rPr>
        <w:t xml:space="preserve"> </w:t>
      </w:r>
      <w:r>
        <w:rPr>
          <w:rFonts w:ascii="Times New Roman" w:hAnsi="Times New Roman" w:cs="Times New Roman"/>
          <w:sz w:val="24"/>
          <w:szCs w:val="24"/>
          <w:lang/>
        </w:rPr>
        <w:t>као и са Г</w:t>
      </w:r>
      <w:r w:rsidRPr="00BB312B">
        <w:rPr>
          <w:rFonts w:ascii="Times New Roman" w:hAnsi="Times New Roman" w:cs="Times New Roman"/>
          <w:sz w:val="24"/>
          <w:szCs w:val="24"/>
          <w:lang/>
        </w:rPr>
        <w:t xml:space="preserve">радском управом, медијима. У овој установи су генерално додељене високе оцене свим облицима сарадње, тако да је оценом 4.25, као најнижом, оцењена сарадња са омладинским организацијама. </w:t>
      </w:r>
    </w:p>
    <w:p w:rsidR="0057644C" w:rsidRPr="00BB312B" w:rsidRDefault="0057644C" w:rsidP="00B03CD2">
      <w:pPr>
        <w:pStyle w:val="ListParagraph"/>
        <w:numPr>
          <w:ilvl w:val="0"/>
          <w:numId w:val="30"/>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Запослени у </w:t>
      </w:r>
      <w:r w:rsidRPr="00DE1004">
        <w:rPr>
          <w:rFonts w:ascii="Times New Roman" w:hAnsi="Times New Roman" w:cs="Times New Roman"/>
          <w:sz w:val="24"/>
          <w:szCs w:val="24"/>
          <w:lang/>
        </w:rPr>
        <w:t>K</w:t>
      </w:r>
      <w:r w:rsidRPr="00DE1004">
        <w:rPr>
          <w:rFonts w:ascii="Times New Roman" w:hAnsi="Times New Roman" w:cs="Times New Roman"/>
          <w:sz w:val="24"/>
          <w:szCs w:val="24"/>
          <w:lang/>
        </w:rPr>
        <w:t>ултурном центру „Лаза Костић“</w:t>
      </w:r>
      <w:r w:rsidRPr="00BB312B">
        <w:rPr>
          <w:rFonts w:ascii="Times New Roman" w:hAnsi="Times New Roman" w:cs="Times New Roman"/>
          <w:b/>
          <w:sz w:val="24"/>
          <w:szCs w:val="24"/>
          <w:lang/>
        </w:rPr>
        <w:t xml:space="preserve"> </w:t>
      </w:r>
      <w:r w:rsidRPr="00BB312B">
        <w:rPr>
          <w:rFonts w:ascii="Times New Roman" w:hAnsi="Times New Roman" w:cs="Times New Roman"/>
          <w:sz w:val="24"/>
          <w:szCs w:val="24"/>
          <w:lang/>
        </w:rPr>
        <w:t xml:space="preserve">најнижу оцену доделили су </w:t>
      </w:r>
      <w:r w:rsidRPr="00BB312B">
        <w:rPr>
          <w:rFonts w:ascii="Times New Roman" w:hAnsi="Times New Roman" w:cs="Times New Roman"/>
          <w:sz w:val="24"/>
          <w:szCs w:val="24"/>
        </w:rPr>
        <w:t xml:space="preserve"> </w:t>
      </w:r>
      <w:r w:rsidRPr="00BB312B">
        <w:rPr>
          <w:rFonts w:ascii="Times New Roman" w:hAnsi="Times New Roman" w:cs="Times New Roman"/>
          <w:sz w:val="24"/>
          <w:szCs w:val="24"/>
          <w:lang/>
        </w:rPr>
        <w:t>сарадњи са спонзорима и донаторима (1.75)</w:t>
      </w:r>
      <w:r w:rsidRPr="00BB312B">
        <w:rPr>
          <w:rFonts w:ascii="Times New Roman" w:hAnsi="Times New Roman" w:cs="Times New Roman"/>
          <w:sz w:val="24"/>
          <w:szCs w:val="24"/>
          <w:lang/>
        </w:rPr>
        <w:t xml:space="preserve"> </w:t>
      </w:r>
      <w:r w:rsidRPr="00BB312B">
        <w:rPr>
          <w:rFonts w:ascii="Times New Roman" w:hAnsi="Times New Roman" w:cs="Times New Roman"/>
          <w:sz w:val="24"/>
          <w:szCs w:val="24"/>
          <w:lang/>
        </w:rPr>
        <w:t>а највишу начину остварене сарадње са културн</w:t>
      </w:r>
      <w:r>
        <w:rPr>
          <w:rFonts w:ascii="Times New Roman" w:hAnsi="Times New Roman" w:cs="Times New Roman"/>
          <w:sz w:val="24"/>
          <w:szCs w:val="24"/>
          <w:lang/>
        </w:rPr>
        <w:t>ом-уметничким друштвима, као и Г</w:t>
      </w:r>
      <w:r w:rsidRPr="00BB312B">
        <w:rPr>
          <w:rFonts w:ascii="Times New Roman" w:hAnsi="Times New Roman" w:cs="Times New Roman"/>
          <w:sz w:val="24"/>
          <w:szCs w:val="24"/>
          <w:lang/>
        </w:rPr>
        <w:t>радском управом (4.75)</w:t>
      </w:r>
      <w:r w:rsidRPr="00BB312B">
        <w:rPr>
          <w:rFonts w:ascii="Times New Roman" w:hAnsi="Times New Roman" w:cs="Times New Roman"/>
          <w:sz w:val="24"/>
          <w:szCs w:val="24"/>
          <w:lang/>
        </w:rPr>
        <w:t xml:space="preserve">. </w:t>
      </w:r>
    </w:p>
    <w:p w:rsidR="0057644C" w:rsidRPr="00BB312B" w:rsidRDefault="0057644C" w:rsidP="00B03CD2">
      <w:pPr>
        <w:pStyle w:val="ListParagraph"/>
        <w:numPr>
          <w:ilvl w:val="0"/>
          <w:numId w:val="30"/>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noProof/>
          <w:sz w:val="24"/>
          <w:szCs w:val="24"/>
          <w:lang w:val="sr-Cyrl-CS"/>
        </w:rPr>
        <w:t>У</w:t>
      </w:r>
      <w:r w:rsidRPr="00BB312B">
        <w:rPr>
          <w:rFonts w:ascii="Times New Roman" w:hAnsi="Times New Roman" w:cs="Times New Roman"/>
          <w:b/>
          <w:noProof/>
          <w:sz w:val="24"/>
          <w:szCs w:val="24"/>
          <w:lang w:val="sr-Cyrl-CS"/>
        </w:rPr>
        <w:t xml:space="preserve"> </w:t>
      </w:r>
      <w:r w:rsidRPr="00DE1004">
        <w:rPr>
          <w:rFonts w:ascii="Times New Roman" w:hAnsi="Times New Roman" w:cs="Times New Roman"/>
          <w:noProof/>
          <w:sz w:val="24"/>
          <w:szCs w:val="24"/>
          <w:lang w:val="sr-Cyrl-CS"/>
        </w:rPr>
        <w:t>Историјском архиву Сомбор</w:t>
      </w:r>
      <w:r w:rsidRPr="00BB312B">
        <w:rPr>
          <w:rFonts w:ascii="Times New Roman" w:hAnsi="Times New Roman" w:cs="Times New Roman"/>
          <w:noProof/>
          <w:sz w:val="24"/>
          <w:szCs w:val="24"/>
          <w:lang w:val="sr-Cyrl-CS"/>
        </w:rPr>
        <w:t xml:space="preserve"> испитаници су</w:t>
      </w:r>
      <w:r w:rsidRPr="00BB312B">
        <w:rPr>
          <w:rFonts w:ascii="Times New Roman" w:hAnsi="Times New Roman" w:cs="Times New Roman"/>
          <w:sz w:val="24"/>
          <w:szCs w:val="24"/>
          <w:lang w:val="sr-Cyrl-CS"/>
        </w:rPr>
        <w:t xml:space="preserve"> ниским оценама вредновали све области сарадње, од којих су убедљиво најнижу оцену (1.00) доделили сарадњи са предшколским установама, </w:t>
      </w:r>
      <w:r w:rsidRPr="00BB312B">
        <w:rPr>
          <w:rFonts w:ascii="Times New Roman" w:hAnsi="Times New Roman" w:cs="Times New Roman"/>
          <w:sz w:val="24"/>
          <w:szCs w:val="24"/>
          <w:lang/>
        </w:rPr>
        <w:t xml:space="preserve">спонзорима, </w:t>
      </w:r>
      <w:r w:rsidRPr="00BB312B">
        <w:rPr>
          <w:rFonts w:ascii="Times New Roman" w:hAnsi="Times New Roman" w:cs="Times New Roman"/>
          <w:sz w:val="24"/>
          <w:szCs w:val="24"/>
          <w:lang w:val="sr-Cyrl-CS"/>
        </w:rPr>
        <w:t>омладинским и организацијама из области социјалне заштите</w:t>
      </w:r>
      <w:r w:rsidRPr="00BB312B">
        <w:rPr>
          <w:rFonts w:ascii="Times New Roman" w:hAnsi="Times New Roman" w:cs="Times New Roman"/>
          <w:sz w:val="24"/>
          <w:szCs w:val="24"/>
          <w:lang/>
        </w:rPr>
        <w:t xml:space="preserve">, </w:t>
      </w:r>
      <w:r w:rsidRPr="00BB312B">
        <w:rPr>
          <w:rFonts w:ascii="Times New Roman" w:hAnsi="Times New Roman" w:cs="Times New Roman"/>
          <w:noProof/>
          <w:sz w:val="24"/>
          <w:szCs w:val="24"/>
          <w:lang w:val="sr-Cyrl-CS"/>
        </w:rPr>
        <w:t>док је сарадња са школама добила најбољу просечну оцену, иако и даљу нижу односу на просечну вредност за све установе</w:t>
      </w:r>
      <w:r w:rsidRPr="00BB312B">
        <w:rPr>
          <w:rFonts w:ascii="Times New Roman" w:hAnsi="Times New Roman" w:cs="Times New Roman"/>
          <w:sz w:val="24"/>
          <w:szCs w:val="24"/>
          <w:lang w:val="sr-Cyrl-CS"/>
        </w:rPr>
        <w:t xml:space="preserve">. </w:t>
      </w:r>
      <w:r w:rsidRPr="00BB312B">
        <w:rPr>
          <w:rFonts w:ascii="Times New Roman" w:hAnsi="Times New Roman" w:cs="Times New Roman"/>
          <w:sz w:val="24"/>
          <w:szCs w:val="24"/>
          <w:lang/>
        </w:rPr>
        <w:t xml:space="preserve"> </w:t>
      </w:r>
    </w:p>
    <w:p w:rsidR="0057644C" w:rsidRPr="00BB312B" w:rsidRDefault="0057644C" w:rsidP="00B03CD2">
      <w:pPr>
        <w:pStyle w:val="ListParagraph"/>
        <w:numPr>
          <w:ilvl w:val="0"/>
          <w:numId w:val="30"/>
        </w:numPr>
        <w:autoSpaceDE w:val="0"/>
        <w:autoSpaceDN w:val="0"/>
        <w:adjustRightInd w:val="0"/>
        <w:spacing w:after="0" w:line="276" w:lineRule="auto"/>
        <w:jc w:val="both"/>
        <w:rPr>
          <w:rFonts w:ascii="Times New Roman" w:hAnsi="Times New Roman" w:cs="Times New Roman"/>
          <w:noProof/>
          <w:sz w:val="24"/>
          <w:szCs w:val="24"/>
          <w:lang/>
        </w:rPr>
      </w:pPr>
      <w:r w:rsidRPr="00DE1004">
        <w:rPr>
          <w:rFonts w:ascii="Times New Roman" w:hAnsi="Times New Roman" w:cs="Times New Roman"/>
          <w:sz w:val="24"/>
          <w:szCs w:val="24"/>
          <w:lang/>
        </w:rPr>
        <w:t>У Народном позоришту Сомбор су осредњим оценама окарактерисане све области сарадње, од којих је сарадња</w:t>
      </w:r>
      <w:r>
        <w:rPr>
          <w:rFonts w:ascii="Times New Roman" w:hAnsi="Times New Roman" w:cs="Times New Roman"/>
          <w:sz w:val="24"/>
          <w:szCs w:val="24"/>
          <w:lang/>
        </w:rPr>
        <w:t xml:space="preserve"> са Г</w:t>
      </w:r>
      <w:r w:rsidRPr="00BB312B">
        <w:rPr>
          <w:rFonts w:ascii="Times New Roman" w:hAnsi="Times New Roman" w:cs="Times New Roman"/>
          <w:sz w:val="24"/>
          <w:szCs w:val="24"/>
          <w:lang/>
        </w:rPr>
        <w:t>радском управом добила највишу просечну оцену (3,71)</w:t>
      </w:r>
      <w:r w:rsidRPr="00BB312B">
        <w:rPr>
          <w:rFonts w:ascii="Times New Roman" w:hAnsi="Times New Roman" w:cs="Times New Roman"/>
          <w:sz w:val="24"/>
          <w:szCs w:val="24"/>
          <w:lang/>
        </w:rPr>
        <w:t>, д</w:t>
      </w:r>
      <w:r>
        <w:rPr>
          <w:rFonts w:ascii="Times New Roman" w:hAnsi="Times New Roman" w:cs="Times New Roman"/>
          <w:noProof/>
          <w:sz w:val="24"/>
          <w:szCs w:val="24"/>
          <w:lang w:val="sr-Cyrl-CS"/>
        </w:rPr>
        <w:t>ок је најниже оцењена област</w:t>
      </w:r>
      <w:r w:rsidRPr="00BB312B">
        <w:rPr>
          <w:rFonts w:ascii="Times New Roman" w:hAnsi="Times New Roman" w:cs="Times New Roman"/>
          <w:noProof/>
          <w:sz w:val="24"/>
          <w:szCs w:val="24"/>
          <w:lang w:val="sr-Cyrl-CS"/>
        </w:rPr>
        <w:t xml:space="preserve"> сарадње са спонзорима и донаторима </w:t>
      </w:r>
      <w:r w:rsidRPr="00BB312B">
        <w:rPr>
          <w:rFonts w:ascii="Times New Roman" w:hAnsi="Times New Roman" w:cs="Times New Roman"/>
          <w:noProof/>
          <w:sz w:val="24"/>
          <w:szCs w:val="24"/>
          <w:lang/>
        </w:rPr>
        <w:t xml:space="preserve">(2.14), </w:t>
      </w:r>
      <w:r w:rsidRPr="00BB312B">
        <w:rPr>
          <w:rFonts w:ascii="Times New Roman" w:hAnsi="Times New Roman" w:cs="Times New Roman"/>
          <w:noProof/>
          <w:sz w:val="24"/>
          <w:szCs w:val="24"/>
          <w:lang/>
        </w:rPr>
        <w:t xml:space="preserve">а потом и са организацијама социјалне заштите и креативним индустријама (2.71). </w:t>
      </w:r>
    </w:p>
    <w:p w:rsidR="0057644C" w:rsidRDefault="0057644C" w:rsidP="00B03CD2">
      <w:pPr>
        <w:pStyle w:val="ListParagraph"/>
        <w:numPr>
          <w:ilvl w:val="0"/>
          <w:numId w:val="30"/>
        </w:numPr>
        <w:autoSpaceDE w:val="0"/>
        <w:autoSpaceDN w:val="0"/>
        <w:adjustRightInd w:val="0"/>
        <w:spacing w:after="0" w:line="276" w:lineRule="auto"/>
        <w:jc w:val="both"/>
        <w:rPr>
          <w:rFonts w:ascii="Times New Roman" w:hAnsi="Times New Roman" w:cs="Times New Roman"/>
          <w:noProof/>
          <w:sz w:val="24"/>
          <w:szCs w:val="24"/>
          <w:lang/>
        </w:rPr>
      </w:pPr>
      <w:r w:rsidRPr="00BB312B">
        <w:rPr>
          <w:rFonts w:ascii="Times New Roman" w:hAnsi="Times New Roman" w:cs="Times New Roman"/>
          <w:noProof/>
          <w:sz w:val="24"/>
          <w:szCs w:val="24"/>
          <w:lang/>
        </w:rPr>
        <w:t xml:space="preserve">У </w:t>
      </w:r>
      <w:r w:rsidRPr="00DE1004">
        <w:rPr>
          <w:rFonts w:ascii="Times New Roman" w:hAnsi="Times New Roman" w:cs="Times New Roman"/>
          <w:noProof/>
          <w:sz w:val="24"/>
          <w:szCs w:val="24"/>
          <w:lang/>
        </w:rPr>
        <w:t>Градској библиотеци „Карло Бијелицки“ је област сарадње са културним индустријама најниже оцењена (</w:t>
      </w:r>
      <w:r w:rsidRPr="00BB312B">
        <w:rPr>
          <w:rFonts w:ascii="Times New Roman" w:hAnsi="Times New Roman" w:cs="Times New Roman"/>
          <w:noProof/>
          <w:sz w:val="24"/>
          <w:szCs w:val="24"/>
          <w:lang/>
        </w:rPr>
        <w:t>2.92), док су сарадња са основним школама (4,75) и предшколским установама (4,67) највише оцењене.</w:t>
      </w:r>
    </w:p>
    <w:p w:rsidR="0057644C" w:rsidRPr="00FA4CE6" w:rsidRDefault="0057644C" w:rsidP="00E65E49">
      <w:pPr>
        <w:autoSpaceDE w:val="0"/>
        <w:autoSpaceDN w:val="0"/>
        <w:adjustRightInd w:val="0"/>
        <w:spacing w:after="0"/>
        <w:ind w:firstLine="720"/>
        <w:jc w:val="both"/>
        <w:rPr>
          <w:rFonts w:ascii="Times New Roman" w:hAnsi="Times New Roman" w:cs="Times New Roman"/>
          <w:noProof/>
          <w:sz w:val="24"/>
          <w:szCs w:val="24"/>
          <w:lang/>
        </w:rPr>
      </w:pPr>
      <w:r>
        <w:rPr>
          <w:rFonts w:ascii="Times New Roman" w:hAnsi="Times New Roman" w:cs="Times New Roman"/>
          <w:noProof/>
          <w:sz w:val="24"/>
          <w:szCs w:val="24"/>
          <w:lang/>
        </w:rPr>
        <w:t xml:space="preserve">Све наведене оцене сарадње указују да је неопходно побољшати сарадњу и комуникацију свих установа културе са другим телима, а посебно са Градском управом, установама образовања, Туристичком организацијом Сомбор и удружењима грађана у култури. Такође, зарад бољег функционисања установа културе веома је важно унапредити и сарадњу и комуникацију између установа културе.  </w:t>
      </w:r>
    </w:p>
    <w:p w:rsidR="0057644C" w:rsidRPr="00BB312B" w:rsidRDefault="0057644C" w:rsidP="0057644C">
      <w:pPr>
        <w:autoSpaceDE w:val="0"/>
        <w:autoSpaceDN w:val="0"/>
        <w:adjustRightInd w:val="0"/>
        <w:spacing w:after="0"/>
        <w:jc w:val="both"/>
        <w:rPr>
          <w:rFonts w:ascii="Times New Roman" w:hAnsi="Times New Roman" w:cs="Times New Roman"/>
          <w:noProof/>
          <w:sz w:val="24"/>
          <w:szCs w:val="24"/>
          <w:lang/>
        </w:rPr>
      </w:pPr>
    </w:p>
    <w:p w:rsidR="0057644C" w:rsidRPr="00E65E49" w:rsidRDefault="00E65E49" w:rsidP="00E65E49">
      <w:pPr>
        <w:pStyle w:val="Heading2"/>
        <w:rPr>
          <w:b/>
        </w:rPr>
      </w:pPr>
      <w:bookmarkStart w:id="58" w:name="_Toc27958774"/>
      <w:bookmarkStart w:id="59" w:name="_Toc36072325"/>
      <w:r w:rsidRPr="00E65E49">
        <w:rPr>
          <w:b/>
        </w:rPr>
        <w:t>2.3</w:t>
      </w:r>
      <w:r w:rsidR="0057644C" w:rsidRPr="00E65E49">
        <w:rPr>
          <w:b/>
        </w:rPr>
        <w:t>. Актуелни проблеми у установи/оцене запослених</w:t>
      </w:r>
      <w:bookmarkEnd w:id="58"/>
      <w:bookmarkEnd w:id="59"/>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Pr="00B87E3B"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У циљу израде стратешког документа у култури значајно је било добити податке од запослених о актуелним проблемима у фунционисању установа културе у граду. </w:t>
      </w:r>
      <w:r w:rsidRPr="00BB312B">
        <w:rPr>
          <w:rFonts w:ascii="Times New Roman" w:hAnsi="Times New Roman" w:cs="Times New Roman"/>
          <w:sz w:val="24"/>
          <w:szCs w:val="24"/>
          <w:lang/>
        </w:rPr>
        <w:t>У упитнику</w:t>
      </w:r>
      <w:r>
        <w:rPr>
          <w:rFonts w:ascii="Times New Roman" w:hAnsi="Times New Roman" w:cs="Times New Roman"/>
          <w:sz w:val="24"/>
          <w:szCs w:val="24"/>
          <w:lang/>
        </w:rPr>
        <w:t xml:space="preserve"> су</w:t>
      </w:r>
      <w:r w:rsidRPr="00BB312B">
        <w:rPr>
          <w:rFonts w:ascii="Times New Roman" w:hAnsi="Times New Roman" w:cs="Times New Roman"/>
          <w:sz w:val="24"/>
          <w:szCs w:val="24"/>
          <w:lang/>
        </w:rPr>
        <w:t xml:space="preserve"> запослени добили могућност вишеструког одговора, те су означили три тренутна највећа проблема у начину функционисања установе. </w:t>
      </w:r>
      <w:r w:rsidRPr="00B87E3B">
        <w:rPr>
          <w:rFonts w:ascii="Times New Roman" w:hAnsi="Times New Roman" w:cs="Times New Roman"/>
          <w:sz w:val="24"/>
          <w:szCs w:val="24"/>
          <w:lang/>
        </w:rPr>
        <w:t xml:space="preserve">Недовољан број запослених у односу на потребе посла, као и мањак средстава за реновирање објеката су убедљиво највећи проблеми према мишљењу запослених (више од две трећине испитаника је навела ове одговоре).  Потом следи недостатак средстава за програме, при </w:t>
      </w:r>
      <w:r w:rsidRPr="00B87E3B">
        <w:rPr>
          <w:rFonts w:ascii="Times New Roman" w:hAnsi="Times New Roman" w:cs="Times New Roman"/>
          <w:sz w:val="24"/>
          <w:szCs w:val="24"/>
          <w:lang/>
        </w:rPr>
        <w:lastRenderedPageBreak/>
        <w:t xml:space="preserve">чему се нешто мање од половине испитаника изјаснила да је то један од кључних проблема. </w:t>
      </w:r>
      <w:r w:rsidRPr="00B87E3B">
        <w:rPr>
          <w:rFonts w:ascii="Times New Roman" w:hAnsi="Times New Roman" w:cs="Times New Roman"/>
          <w:sz w:val="24"/>
          <w:szCs w:val="24"/>
        </w:rPr>
        <w:t>Лоша опремљеност установе новим технологијама и другом потребном опремом</w:t>
      </w:r>
      <w:r w:rsidRPr="00B87E3B">
        <w:rPr>
          <w:rFonts w:ascii="Times New Roman" w:hAnsi="Times New Roman" w:cs="Times New Roman"/>
          <w:sz w:val="24"/>
          <w:szCs w:val="24"/>
          <w:lang/>
        </w:rPr>
        <w:t xml:space="preserve"> такође има висок удео одговора у означавању највећих проблема у установи. </w:t>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87E3B">
        <w:rPr>
          <w:rFonts w:ascii="Times New Roman" w:hAnsi="Times New Roman" w:cs="Times New Roman"/>
          <w:sz w:val="24"/>
          <w:szCs w:val="24"/>
          <w:lang/>
        </w:rPr>
        <w:t xml:space="preserve">Иако су све наведене  проблеме радници у култури препознали као актуелне, мали број испитаника, мање од 10%, се изјаснило да су питања доступности понуде у дигиталном окружењу, изласка на тржиште, увођења иновативних приступа у начин рада као и стратешког планирање и управљање један од три суштинска тренутна проблема. </w:t>
      </w:r>
      <w:r>
        <w:rPr>
          <w:rFonts w:ascii="Times New Roman" w:hAnsi="Times New Roman" w:cs="Times New Roman"/>
          <w:sz w:val="24"/>
          <w:szCs w:val="24"/>
          <w:lang/>
        </w:rPr>
        <w:t xml:space="preserve"> </w:t>
      </w:r>
    </w:p>
    <w:p w:rsidR="0057644C" w:rsidRPr="00B87E3B" w:rsidRDefault="0057644C" w:rsidP="0057644C">
      <w:pPr>
        <w:autoSpaceDE w:val="0"/>
        <w:autoSpaceDN w:val="0"/>
        <w:adjustRightInd w:val="0"/>
        <w:spacing w:after="0"/>
        <w:ind w:firstLine="72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sidRPr="00BB312B">
        <w:rPr>
          <w:rFonts w:ascii="Times New Roman" w:hAnsi="Times New Roman" w:cs="Times New Roman"/>
          <w:sz w:val="24"/>
          <w:szCs w:val="24"/>
          <w:lang/>
        </w:rPr>
        <w:t>Табела 5: Актуелни проблеми у установама културе</w:t>
      </w:r>
    </w:p>
    <w:tbl>
      <w:tblPr>
        <w:tblStyle w:val="GridTable4-Accent11"/>
        <w:tblW w:w="9260" w:type="dxa"/>
        <w:tblLook w:val="04A0"/>
      </w:tblPr>
      <w:tblGrid>
        <w:gridCol w:w="7225"/>
        <w:gridCol w:w="941"/>
        <w:gridCol w:w="1094"/>
      </w:tblGrid>
      <w:tr w:rsidR="0057644C" w:rsidRPr="00BB312B" w:rsidTr="000606DF">
        <w:trPr>
          <w:cnfStyle w:val="100000000000"/>
          <w:trHeight w:val="329"/>
        </w:trPr>
        <w:tc>
          <w:tcPr>
            <w:cnfStyle w:val="001000000000"/>
            <w:tcW w:w="7225" w:type="dxa"/>
            <w:vAlign w:val="center"/>
          </w:tcPr>
          <w:p w:rsidR="0057644C" w:rsidRPr="004011FA" w:rsidRDefault="0057644C" w:rsidP="000606DF">
            <w:pPr>
              <w:spacing w:line="276" w:lineRule="auto"/>
              <w:jc w:val="center"/>
              <w:rPr>
                <w:lang/>
              </w:rPr>
            </w:pPr>
            <w:r w:rsidRPr="004011FA">
              <w:rPr>
                <w:lang/>
              </w:rPr>
              <w:t>Актуелни проблем у установама културе</w:t>
            </w:r>
          </w:p>
        </w:tc>
        <w:tc>
          <w:tcPr>
            <w:tcW w:w="941" w:type="dxa"/>
            <w:vAlign w:val="center"/>
          </w:tcPr>
          <w:p w:rsidR="0057644C" w:rsidRPr="00B87E3B" w:rsidRDefault="0057644C" w:rsidP="000606DF">
            <w:pPr>
              <w:jc w:val="center"/>
              <w:cnfStyle w:val="100000000000"/>
              <w:rPr>
                <w:lang/>
              </w:rPr>
            </w:pPr>
            <w:r>
              <w:rPr>
                <w:lang/>
              </w:rPr>
              <w:t>%</w:t>
            </w:r>
          </w:p>
        </w:tc>
        <w:tc>
          <w:tcPr>
            <w:tcW w:w="1094" w:type="dxa"/>
            <w:vAlign w:val="center"/>
          </w:tcPr>
          <w:p w:rsidR="0057644C" w:rsidRPr="00B87E3B" w:rsidRDefault="0057644C" w:rsidP="000606DF">
            <w:pPr>
              <w:spacing w:line="276" w:lineRule="auto"/>
              <w:jc w:val="center"/>
              <w:cnfStyle w:val="100000000000"/>
              <w:rPr>
                <w:lang/>
              </w:rPr>
            </w:pPr>
            <w:r>
              <w:rPr>
                <w:lang/>
              </w:rPr>
              <w:t>% случајева</w:t>
            </w:r>
          </w:p>
        </w:tc>
      </w:tr>
      <w:tr w:rsidR="0057644C" w:rsidRPr="00BB312B" w:rsidTr="000606DF">
        <w:trPr>
          <w:cnfStyle w:val="000000100000"/>
          <w:trHeight w:val="266"/>
        </w:trPr>
        <w:tc>
          <w:tcPr>
            <w:cnfStyle w:val="001000000000"/>
            <w:tcW w:w="7225" w:type="dxa"/>
            <w:vAlign w:val="center"/>
          </w:tcPr>
          <w:p w:rsidR="0057644C" w:rsidRPr="00B87E3B" w:rsidRDefault="0057644C" w:rsidP="000606DF">
            <w:pPr>
              <w:spacing w:line="276" w:lineRule="auto"/>
              <w:jc w:val="both"/>
            </w:pPr>
            <w:r w:rsidRPr="004011FA">
              <w:t>Недовољан број запослених за потребе посла</w:t>
            </w:r>
          </w:p>
        </w:tc>
        <w:tc>
          <w:tcPr>
            <w:tcW w:w="941" w:type="dxa"/>
            <w:vAlign w:val="center"/>
          </w:tcPr>
          <w:p w:rsidR="0057644C" w:rsidRPr="009733D9" w:rsidRDefault="0057644C" w:rsidP="000606DF">
            <w:pPr>
              <w:jc w:val="center"/>
              <w:cnfStyle w:val="000000100000"/>
            </w:pPr>
            <w:r w:rsidRPr="009733D9">
              <w:t>28.70%</w:t>
            </w:r>
          </w:p>
        </w:tc>
        <w:tc>
          <w:tcPr>
            <w:tcW w:w="1094" w:type="dxa"/>
            <w:vAlign w:val="center"/>
          </w:tcPr>
          <w:p w:rsidR="0057644C" w:rsidRPr="005F5CC9" w:rsidRDefault="0057644C" w:rsidP="000606DF">
            <w:pPr>
              <w:jc w:val="center"/>
              <w:cnfStyle w:val="000000100000"/>
            </w:pPr>
            <w:r w:rsidRPr="005F5CC9">
              <w:t>76.70%</w:t>
            </w:r>
          </w:p>
        </w:tc>
      </w:tr>
      <w:tr w:rsidR="0057644C" w:rsidRPr="00BB312B" w:rsidTr="000606DF">
        <w:trPr>
          <w:trHeight w:val="266"/>
        </w:trPr>
        <w:tc>
          <w:tcPr>
            <w:cnfStyle w:val="001000000000"/>
            <w:tcW w:w="7225" w:type="dxa"/>
            <w:vAlign w:val="center"/>
          </w:tcPr>
          <w:p w:rsidR="0057644C" w:rsidRPr="00211CBA" w:rsidRDefault="0057644C" w:rsidP="000606DF">
            <w:r w:rsidRPr="00211CBA">
              <w:t>Недостатак средстава за реновирање објеката и улагање у инфраструктуру</w:t>
            </w:r>
          </w:p>
        </w:tc>
        <w:tc>
          <w:tcPr>
            <w:tcW w:w="941" w:type="dxa"/>
            <w:vAlign w:val="center"/>
          </w:tcPr>
          <w:p w:rsidR="0057644C" w:rsidRPr="009733D9" w:rsidRDefault="0057644C" w:rsidP="000606DF">
            <w:pPr>
              <w:jc w:val="center"/>
              <w:cnfStyle w:val="000000000000"/>
            </w:pPr>
            <w:r w:rsidRPr="009733D9">
              <w:t>25.20%</w:t>
            </w:r>
          </w:p>
        </w:tc>
        <w:tc>
          <w:tcPr>
            <w:tcW w:w="1094" w:type="dxa"/>
            <w:vAlign w:val="center"/>
          </w:tcPr>
          <w:p w:rsidR="0057644C" w:rsidRPr="005F5CC9" w:rsidRDefault="0057644C" w:rsidP="000606DF">
            <w:pPr>
              <w:jc w:val="center"/>
              <w:cnfStyle w:val="000000000000"/>
            </w:pPr>
            <w:r w:rsidRPr="005F5CC9">
              <w:t>67.40%</w:t>
            </w:r>
          </w:p>
        </w:tc>
      </w:tr>
      <w:tr w:rsidR="0057644C" w:rsidRPr="00BB312B" w:rsidTr="000606DF">
        <w:trPr>
          <w:cnfStyle w:val="000000100000"/>
          <w:trHeight w:val="282"/>
        </w:trPr>
        <w:tc>
          <w:tcPr>
            <w:cnfStyle w:val="001000000000"/>
            <w:tcW w:w="7225" w:type="dxa"/>
            <w:vAlign w:val="center"/>
          </w:tcPr>
          <w:p w:rsidR="0057644C" w:rsidRPr="00211CBA" w:rsidRDefault="0057644C" w:rsidP="000606DF">
            <w:r w:rsidRPr="00211CBA">
              <w:t>Недостатак средстава за програме</w:t>
            </w:r>
          </w:p>
        </w:tc>
        <w:tc>
          <w:tcPr>
            <w:tcW w:w="941" w:type="dxa"/>
            <w:vAlign w:val="center"/>
          </w:tcPr>
          <w:p w:rsidR="0057644C" w:rsidRPr="009733D9" w:rsidRDefault="0057644C" w:rsidP="000606DF">
            <w:pPr>
              <w:jc w:val="center"/>
              <w:cnfStyle w:val="000000100000"/>
            </w:pPr>
            <w:r w:rsidRPr="009733D9">
              <w:t>17.40%</w:t>
            </w:r>
          </w:p>
        </w:tc>
        <w:tc>
          <w:tcPr>
            <w:tcW w:w="1094" w:type="dxa"/>
            <w:vAlign w:val="center"/>
          </w:tcPr>
          <w:p w:rsidR="0057644C" w:rsidRPr="005F5CC9" w:rsidRDefault="0057644C" w:rsidP="000606DF">
            <w:pPr>
              <w:jc w:val="center"/>
              <w:cnfStyle w:val="000000100000"/>
            </w:pPr>
            <w:r w:rsidRPr="005F5CC9">
              <w:t>46.50%</w:t>
            </w:r>
          </w:p>
        </w:tc>
      </w:tr>
      <w:tr w:rsidR="0057644C" w:rsidRPr="00BB312B" w:rsidTr="000606DF">
        <w:trPr>
          <w:trHeight w:val="266"/>
        </w:trPr>
        <w:tc>
          <w:tcPr>
            <w:cnfStyle w:val="001000000000"/>
            <w:tcW w:w="7225" w:type="dxa"/>
            <w:vAlign w:val="center"/>
          </w:tcPr>
          <w:p w:rsidR="0057644C" w:rsidRPr="00211CBA" w:rsidRDefault="0057644C" w:rsidP="000606DF">
            <w:r w:rsidRPr="00211CBA">
              <w:t>Лоша опремљеност установе новим технологијама и другом потребном опремом</w:t>
            </w:r>
          </w:p>
        </w:tc>
        <w:tc>
          <w:tcPr>
            <w:tcW w:w="941" w:type="dxa"/>
            <w:vAlign w:val="center"/>
          </w:tcPr>
          <w:p w:rsidR="0057644C" w:rsidRPr="009733D9" w:rsidRDefault="0057644C" w:rsidP="000606DF">
            <w:pPr>
              <w:jc w:val="center"/>
              <w:cnfStyle w:val="000000000000"/>
            </w:pPr>
            <w:r w:rsidRPr="009733D9">
              <w:t>13.90%</w:t>
            </w:r>
          </w:p>
        </w:tc>
        <w:tc>
          <w:tcPr>
            <w:tcW w:w="1094" w:type="dxa"/>
            <w:vAlign w:val="center"/>
          </w:tcPr>
          <w:p w:rsidR="0057644C" w:rsidRPr="005F5CC9" w:rsidRDefault="0057644C" w:rsidP="000606DF">
            <w:pPr>
              <w:jc w:val="center"/>
              <w:cnfStyle w:val="000000000000"/>
            </w:pPr>
            <w:r w:rsidRPr="005F5CC9">
              <w:t>37.20%</w:t>
            </w:r>
          </w:p>
        </w:tc>
      </w:tr>
      <w:tr w:rsidR="0057644C" w:rsidRPr="00BB312B" w:rsidTr="000606DF">
        <w:trPr>
          <w:cnfStyle w:val="000000100000"/>
          <w:trHeight w:val="266"/>
        </w:trPr>
        <w:tc>
          <w:tcPr>
            <w:cnfStyle w:val="001000000000"/>
            <w:tcW w:w="7225" w:type="dxa"/>
            <w:vAlign w:val="center"/>
          </w:tcPr>
          <w:p w:rsidR="0057644C" w:rsidRPr="00211CBA" w:rsidRDefault="0057644C" w:rsidP="000606DF">
            <w:r w:rsidRPr="00211CBA">
              <w:t>Недовољна ефикасност у организацији рада и менаџменту</w:t>
            </w:r>
          </w:p>
        </w:tc>
        <w:tc>
          <w:tcPr>
            <w:tcW w:w="941" w:type="dxa"/>
            <w:vAlign w:val="center"/>
          </w:tcPr>
          <w:p w:rsidR="0057644C" w:rsidRPr="009733D9" w:rsidRDefault="0057644C" w:rsidP="000606DF">
            <w:pPr>
              <w:jc w:val="center"/>
              <w:cnfStyle w:val="000000100000"/>
            </w:pPr>
            <w:r w:rsidRPr="009733D9">
              <w:t>6.10%</w:t>
            </w:r>
          </w:p>
        </w:tc>
        <w:tc>
          <w:tcPr>
            <w:tcW w:w="1094" w:type="dxa"/>
            <w:vAlign w:val="center"/>
          </w:tcPr>
          <w:p w:rsidR="0057644C" w:rsidRPr="005F5CC9" w:rsidRDefault="0057644C" w:rsidP="000606DF">
            <w:pPr>
              <w:jc w:val="center"/>
              <w:cnfStyle w:val="000000100000"/>
            </w:pPr>
            <w:r w:rsidRPr="005F5CC9">
              <w:t>16.30%</w:t>
            </w:r>
          </w:p>
        </w:tc>
      </w:tr>
      <w:tr w:rsidR="0057644C" w:rsidRPr="00BB312B" w:rsidTr="000606DF">
        <w:trPr>
          <w:trHeight w:val="282"/>
        </w:trPr>
        <w:tc>
          <w:tcPr>
            <w:cnfStyle w:val="001000000000"/>
            <w:tcW w:w="7225" w:type="dxa"/>
            <w:vAlign w:val="center"/>
          </w:tcPr>
          <w:p w:rsidR="0057644C" w:rsidRPr="00211CBA" w:rsidRDefault="0057644C" w:rsidP="000606DF">
            <w:r w:rsidRPr="00211CBA">
              <w:t>Недостатак стратешког планирања и управљања</w:t>
            </w:r>
          </w:p>
        </w:tc>
        <w:tc>
          <w:tcPr>
            <w:tcW w:w="941" w:type="dxa"/>
            <w:vAlign w:val="center"/>
          </w:tcPr>
          <w:p w:rsidR="0057644C" w:rsidRPr="009733D9" w:rsidRDefault="0057644C" w:rsidP="000606DF">
            <w:pPr>
              <w:jc w:val="center"/>
              <w:cnfStyle w:val="000000000000"/>
            </w:pPr>
            <w:r w:rsidRPr="009733D9">
              <w:t>2.60%</w:t>
            </w:r>
          </w:p>
        </w:tc>
        <w:tc>
          <w:tcPr>
            <w:tcW w:w="1094" w:type="dxa"/>
            <w:vAlign w:val="center"/>
          </w:tcPr>
          <w:p w:rsidR="0057644C" w:rsidRPr="005F5CC9" w:rsidRDefault="0057644C" w:rsidP="000606DF">
            <w:pPr>
              <w:jc w:val="center"/>
              <w:cnfStyle w:val="000000000000"/>
            </w:pPr>
            <w:r w:rsidRPr="005F5CC9">
              <w:t>7.00%</w:t>
            </w:r>
          </w:p>
        </w:tc>
      </w:tr>
      <w:tr w:rsidR="0057644C" w:rsidRPr="00BB312B" w:rsidTr="000606DF">
        <w:trPr>
          <w:cnfStyle w:val="000000100000"/>
          <w:trHeight w:val="266"/>
        </w:trPr>
        <w:tc>
          <w:tcPr>
            <w:cnfStyle w:val="001000000000"/>
            <w:tcW w:w="7225" w:type="dxa"/>
            <w:vAlign w:val="center"/>
          </w:tcPr>
          <w:p w:rsidR="0057644C" w:rsidRPr="00211CBA" w:rsidRDefault="0057644C" w:rsidP="000606DF">
            <w:r w:rsidRPr="00211CBA">
              <w:t>Недовољна брига о усавршавању кадрова</w:t>
            </w:r>
          </w:p>
        </w:tc>
        <w:tc>
          <w:tcPr>
            <w:tcW w:w="941" w:type="dxa"/>
            <w:vAlign w:val="center"/>
          </w:tcPr>
          <w:p w:rsidR="0057644C" w:rsidRPr="009733D9" w:rsidRDefault="0057644C" w:rsidP="000606DF">
            <w:pPr>
              <w:jc w:val="center"/>
              <w:cnfStyle w:val="000000100000"/>
            </w:pPr>
            <w:r w:rsidRPr="009733D9">
              <w:t>1.70%</w:t>
            </w:r>
          </w:p>
        </w:tc>
        <w:tc>
          <w:tcPr>
            <w:tcW w:w="1094" w:type="dxa"/>
            <w:vAlign w:val="center"/>
          </w:tcPr>
          <w:p w:rsidR="0057644C" w:rsidRPr="005F5CC9" w:rsidRDefault="0057644C" w:rsidP="000606DF">
            <w:pPr>
              <w:jc w:val="center"/>
              <w:cnfStyle w:val="000000100000"/>
            </w:pPr>
            <w:r w:rsidRPr="005F5CC9">
              <w:t>4.70%</w:t>
            </w:r>
          </w:p>
        </w:tc>
      </w:tr>
      <w:tr w:rsidR="0057644C" w:rsidRPr="00BB312B" w:rsidTr="000606DF">
        <w:trPr>
          <w:trHeight w:val="266"/>
        </w:trPr>
        <w:tc>
          <w:tcPr>
            <w:cnfStyle w:val="001000000000"/>
            <w:tcW w:w="7225" w:type="dxa"/>
            <w:vAlign w:val="center"/>
          </w:tcPr>
          <w:p w:rsidR="0057644C" w:rsidRPr="00211CBA" w:rsidRDefault="0057644C" w:rsidP="000606DF">
            <w:r w:rsidRPr="00211CBA">
              <w:t>Недовољна подршка иновативним програмима и приступима</w:t>
            </w:r>
          </w:p>
        </w:tc>
        <w:tc>
          <w:tcPr>
            <w:tcW w:w="941" w:type="dxa"/>
            <w:vAlign w:val="center"/>
          </w:tcPr>
          <w:p w:rsidR="0057644C" w:rsidRPr="009733D9" w:rsidRDefault="0057644C" w:rsidP="000606DF">
            <w:pPr>
              <w:jc w:val="center"/>
              <w:cnfStyle w:val="000000000000"/>
            </w:pPr>
            <w:r w:rsidRPr="009733D9">
              <w:t>1.70%</w:t>
            </w:r>
          </w:p>
        </w:tc>
        <w:tc>
          <w:tcPr>
            <w:tcW w:w="1094" w:type="dxa"/>
            <w:vAlign w:val="center"/>
          </w:tcPr>
          <w:p w:rsidR="0057644C" w:rsidRPr="005F5CC9" w:rsidRDefault="0057644C" w:rsidP="000606DF">
            <w:pPr>
              <w:jc w:val="center"/>
              <w:cnfStyle w:val="000000000000"/>
            </w:pPr>
            <w:r w:rsidRPr="005F5CC9">
              <w:t>4.70%</w:t>
            </w:r>
          </w:p>
        </w:tc>
      </w:tr>
      <w:tr w:rsidR="0057644C" w:rsidRPr="00BB312B" w:rsidTr="000606DF">
        <w:trPr>
          <w:cnfStyle w:val="000000100000"/>
          <w:trHeight w:val="194"/>
        </w:trPr>
        <w:tc>
          <w:tcPr>
            <w:cnfStyle w:val="001000000000"/>
            <w:tcW w:w="7225" w:type="dxa"/>
            <w:vAlign w:val="center"/>
          </w:tcPr>
          <w:p w:rsidR="0057644C" w:rsidRPr="00211CBA" w:rsidRDefault="0057644C" w:rsidP="000606DF">
            <w:r w:rsidRPr="00211CBA">
              <w:t>Недовољан излазак на тржиште</w:t>
            </w:r>
          </w:p>
        </w:tc>
        <w:tc>
          <w:tcPr>
            <w:tcW w:w="941" w:type="dxa"/>
            <w:vAlign w:val="center"/>
          </w:tcPr>
          <w:p w:rsidR="0057644C" w:rsidRPr="009733D9" w:rsidRDefault="0057644C" w:rsidP="000606DF">
            <w:pPr>
              <w:jc w:val="center"/>
              <w:cnfStyle w:val="000000100000"/>
            </w:pPr>
            <w:r w:rsidRPr="009733D9">
              <w:t>0.90%</w:t>
            </w:r>
          </w:p>
        </w:tc>
        <w:tc>
          <w:tcPr>
            <w:tcW w:w="1094" w:type="dxa"/>
            <w:vAlign w:val="center"/>
          </w:tcPr>
          <w:p w:rsidR="0057644C" w:rsidRPr="005F5CC9" w:rsidRDefault="0057644C" w:rsidP="000606DF">
            <w:pPr>
              <w:jc w:val="center"/>
              <w:cnfStyle w:val="000000100000"/>
            </w:pPr>
            <w:r w:rsidRPr="005F5CC9">
              <w:t>2.30%</w:t>
            </w:r>
          </w:p>
        </w:tc>
      </w:tr>
      <w:tr w:rsidR="0057644C" w:rsidRPr="00BB312B" w:rsidTr="000606DF">
        <w:trPr>
          <w:trHeight w:val="266"/>
        </w:trPr>
        <w:tc>
          <w:tcPr>
            <w:cnfStyle w:val="001000000000"/>
            <w:tcW w:w="7225" w:type="dxa"/>
            <w:vAlign w:val="center"/>
          </w:tcPr>
          <w:p w:rsidR="0057644C" w:rsidRPr="00211CBA" w:rsidRDefault="0057644C" w:rsidP="000606DF">
            <w:r w:rsidRPr="00211CBA">
              <w:t>Недово</w:t>
            </w:r>
            <w:r>
              <w:t>љна доступност програмa</w:t>
            </w:r>
            <w:r w:rsidRPr="00211CBA">
              <w:t xml:space="preserve">  установе у дигиталном окружењу</w:t>
            </w:r>
          </w:p>
        </w:tc>
        <w:tc>
          <w:tcPr>
            <w:tcW w:w="941" w:type="dxa"/>
            <w:vAlign w:val="center"/>
          </w:tcPr>
          <w:p w:rsidR="0057644C" w:rsidRPr="009733D9" w:rsidRDefault="0057644C" w:rsidP="000606DF">
            <w:pPr>
              <w:jc w:val="center"/>
              <w:cnfStyle w:val="000000000000"/>
            </w:pPr>
            <w:r w:rsidRPr="009733D9">
              <w:t>0.90%</w:t>
            </w:r>
          </w:p>
        </w:tc>
        <w:tc>
          <w:tcPr>
            <w:tcW w:w="1094" w:type="dxa"/>
            <w:vAlign w:val="center"/>
          </w:tcPr>
          <w:p w:rsidR="0057644C" w:rsidRPr="005F5CC9" w:rsidRDefault="0057644C" w:rsidP="000606DF">
            <w:pPr>
              <w:jc w:val="center"/>
              <w:cnfStyle w:val="000000000000"/>
            </w:pPr>
            <w:r w:rsidRPr="005F5CC9">
              <w:t>2.30%</w:t>
            </w:r>
          </w:p>
        </w:tc>
      </w:tr>
      <w:tr w:rsidR="0057644C" w:rsidRPr="00BB312B" w:rsidTr="000606DF">
        <w:trPr>
          <w:cnfStyle w:val="000000100000"/>
          <w:trHeight w:val="266"/>
        </w:trPr>
        <w:tc>
          <w:tcPr>
            <w:cnfStyle w:val="001000000000"/>
            <w:tcW w:w="7225" w:type="dxa"/>
            <w:vAlign w:val="center"/>
          </w:tcPr>
          <w:p w:rsidR="0057644C" w:rsidRPr="00211CBA" w:rsidRDefault="0057644C" w:rsidP="000606DF">
            <w:r w:rsidRPr="00211CBA">
              <w:t>Друго</w:t>
            </w:r>
          </w:p>
        </w:tc>
        <w:tc>
          <w:tcPr>
            <w:tcW w:w="941" w:type="dxa"/>
            <w:vAlign w:val="center"/>
          </w:tcPr>
          <w:p w:rsidR="0057644C" w:rsidRPr="009733D9" w:rsidRDefault="0057644C" w:rsidP="000606DF">
            <w:pPr>
              <w:jc w:val="center"/>
              <w:cnfStyle w:val="000000100000"/>
            </w:pPr>
            <w:r w:rsidRPr="009733D9">
              <w:t>0.90%</w:t>
            </w:r>
          </w:p>
        </w:tc>
        <w:tc>
          <w:tcPr>
            <w:tcW w:w="1094" w:type="dxa"/>
            <w:vAlign w:val="center"/>
          </w:tcPr>
          <w:p w:rsidR="0057644C" w:rsidRPr="005F5CC9" w:rsidRDefault="0057644C" w:rsidP="000606DF">
            <w:pPr>
              <w:jc w:val="center"/>
              <w:cnfStyle w:val="000000100000"/>
            </w:pPr>
            <w:r w:rsidRPr="005F5CC9">
              <w:t>2.30%</w:t>
            </w:r>
          </w:p>
        </w:tc>
      </w:tr>
      <w:tr w:rsidR="0057644C" w:rsidRPr="00BB312B" w:rsidTr="000606DF">
        <w:trPr>
          <w:trHeight w:val="282"/>
        </w:trPr>
        <w:tc>
          <w:tcPr>
            <w:cnfStyle w:val="001000000000"/>
            <w:tcW w:w="7225" w:type="dxa"/>
            <w:vAlign w:val="center"/>
          </w:tcPr>
          <w:p w:rsidR="0057644C" w:rsidRDefault="0057644C" w:rsidP="000606DF">
            <w:r w:rsidRPr="00211CBA">
              <w:t>Тотал</w:t>
            </w:r>
          </w:p>
        </w:tc>
        <w:tc>
          <w:tcPr>
            <w:tcW w:w="941" w:type="dxa"/>
            <w:vAlign w:val="center"/>
          </w:tcPr>
          <w:p w:rsidR="0057644C" w:rsidRDefault="0057644C" w:rsidP="000606DF">
            <w:pPr>
              <w:jc w:val="center"/>
              <w:cnfStyle w:val="000000000000"/>
            </w:pPr>
            <w:r w:rsidRPr="009733D9">
              <w:t>100.0%</w:t>
            </w:r>
          </w:p>
        </w:tc>
        <w:tc>
          <w:tcPr>
            <w:tcW w:w="1094" w:type="dxa"/>
            <w:vAlign w:val="center"/>
          </w:tcPr>
          <w:p w:rsidR="0057644C" w:rsidRDefault="0057644C" w:rsidP="000606DF">
            <w:pPr>
              <w:jc w:val="center"/>
              <w:cnfStyle w:val="000000000000"/>
            </w:pPr>
            <w:r w:rsidRPr="005F5CC9">
              <w:t>267.4%</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 </w:t>
      </w:r>
      <w:r w:rsidRPr="00BB312B">
        <w:rPr>
          <w:rFonts w:ascii="Times New Roman" w:hAnsi="Times New Roman" w:cs="Times New Roman"/>
          <w:sz w:val="24"/>
          <w:szCs w:val="24"/>
          <w:lang/>
        </w:rPr>
        <w:tab/>
      </w:r>
      <w:r>
        <w:rPr>
          <w:rFonts w:ascii="Times New Roman" w:hAnsi="Times New Roman" w:cs="Times New Roman"/>
          <w:sz w:val="24"/>
          <w:szCs w:val="24"/>
          <w:lang/>
        </w:rPr>
        <w:t>Дистри</w:t>
      </w:r>
      <w:r w:rsidRPr="00BB312B">
        <w:rPr>
          <w:rFonts w:ascii="Times New Roman" w:hAnsi="Times New Roman" w:cs="Times New Roman"/>
          <w:sz w:val="24"/>
          <w:szCs w:val="24"/>
          <w:lang/>
        </w:rPr>
        <w:t>буције одговора према установа</w:t>
      </w:r>
      <w:r>
        <w:rPr>
          <w:rFonts w:ascii="Times New Roman" w:hAnsi="Times New Roman" w:cs="Times New Roman"/>
          <w:sz w:val="24"/>
          <w:szCs w:val="24"/>
          <w:lang/>
        </w:rPr>
        <w:t>ма</w:t>
      </w:r>
      <w:r w:rsidRPr="00BB312B">
        <w:rPr>
          <w:rFonts w:ascii="Times New Roman" w:hAnsi="Times New Roman" w:cs="Times New Roman"/>
          <w:sz w:val="24"/>
          <w:szCs w:val="24"/>
          <w:lang/>
        </w:rPr>
        <w:t xml:space="preserve"> </w:t>
      </w:r>
      <w:r>
        <w:rPr>
          <w:rFonts w:ascii="Times New Roman" w:hAnsi="Times New Roman" w:cs="Times New Roman"/>
          <w:sz w:val="24"/>
          <w:szCs w:val="24"/>
          <w:lang/>
        </w:rPr>
        <w:t>је</w:t>
      </w:r>
      <w:r w:rsidRPr="00BB312B">
        <w:rPr>
          <w:rFonts w:ascii="Times New Roman" w:hAnsi="Times New Roman" w:cs="Times New Roman"/>
          <w:sz w:val="24"/>
          <w:szCs w:val="24"/>
          <w:lang/>
        </w:rPr>
        <w:t xml:space="preserve"> у готово једнаком распореду као и </w:t>
      </w:r>
      <w:r>
        <w:rPr>
          <w:rFonts w:ascii="Times New Roman" w:hAnsi="Times New Roman" w:cs="Times New Roman"/>
          <w:sz w:val="24"/>
          <w:szCs w:val="24"/>
          <w:lang/>
        </w:rPr>
        <w:t>наведеној Т</w:t>
      </w:r>
      <w:r w:rsidRPr="00BB312B">
        <w:rPr>
          <w:rFonts w:ascii="Times New Roman" w:hAnsi="Times New Roman" w:cs="Times New Roman"/>
          <w:sz w:val="24"/>
          <w:szCs w:val="24"/>
          <w:lang/>
        </w:rPr>
        <w:t>абели</w:t>
      </w:r>
      <w:r>
        <w:rPr>
          <w:rFonts w:ascii="Times New Roman" w:hAnsi="Times New Roman" w:cs="Times New Roman"/>
          <w:sz w:val="24"/>
          <w:szCs w:val="24"/>
          <w:lang/>
        </w:rPr>
        <w:t xml:space="preserve"> 5</w:t>
      </w:r>
      <w:r w:rsidRPr="00BB312B">
        <w:rPr>
          <w:rFonts w:ascii="Times New Roman" w:hAnsi="Times New Roman" w:cs="Times New Roman"/>
          <w:sz w:val="24"/>
          <w:szCs w:val="24"/>
          <w:lang/>
        </w:rPr>
        <w:t xml:space="preserve">, с тим да су </w:t>
      </w:r>
      <w:r w:rsidRPr="004011FA">
        <w:rPr>
          <w:rFonts w:ascii="Times New Roman" w:hAnsi="Times New Roman" w:cs="Times New Roman"/>
          <w:sz w:val="24"/>
          <w:szCs w:val="24"/>
          <w:lang/>
        </w:rPr>
        <w:t>запослени у Библиотеци и Архиву као највећи проблем навели недостатак средстава за реновирање објеката и улагања у инфраструктуру. У Позоришту, Културном центру, Галерији и Музеју је недовољан број кадрова горући проблем,</w:t>
      </w:r>
      <w:r w:rsidRPr="00BB312B">
        <w:rPr>
          <w:rFonts w:ascii="Times New Roman" w:hAnsi="Times New Roman" w:cs="Times New Roman"/>
          <w:sz w:val="24"/>
          <w:szCs w:val="24"/>
          <w:lang/>
        </w:rPr>
        <w:t xml:space="preserve"> према мишљенима запослених радника у стручним и програмским службама.</w:t>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E65E49" w:rsidRDefault="00E65E49" w:rsidP="00E65E49">
      <w:pPr>
        <w:pStyle w:val="Heading2"/>
        <w:spacing w:after="240"/>
        <w:rPr>
          <w:b/>
        </w:rPr>
      </w:pPr>
      <w:bookmarkStart w:id="60" w:name="_Toc27958775"/>
      <w:bookmarkStart w:id="61" w:name="_Toc36072326"/>
      <w:r w:rsidRPr="00E65E49">
        <w:rPr>
          <w:b/>
        </w:rPr>
        <w:t>2.4</w:t>
      </w:r>
      <w:r w:rsidR="0057644C" w:rsidRPr="00E65E49">
        <w:rPr>
          <w:b/>
        </w:rPr>
        <w:t>. Програмска политика установа</w:t>
      </w:r>
      <w:bookmarkEnd w:id="60"/>
      <w:bookmarkEnd w:id="61"/>
    </w:p>
    <w:p w:rsidR="0057644C" w:rsidRPr="00E65E49" w:rsidRDefault="0057644C" w:rsidP="00E65E49">
      <w:pPr>
        <w:pStyle w:val="Heading3"/>
        <w:rPr>
          <w:i/>
        </w:rPr>
      </w:pPr>
      <w:r w:rsidRPr="00E65E49">
        <w:t xml:space="preserve"> </w:t>
      </w:r>
      <w:bookmarkStart w:id="62" w:name="_Toc27958776"/>
      <w:bookmarkStart w:id="63" w:name="_Toc36072327"/>
      <w:r w:rsidR="00E65E49" w:rsidRPr="00E65E49">
        <w:rPr>
          <w:i/>
        </w:rPr>
        <w:t>2.4</w:t>
      </w:r>
      <w:r w:rsidRPr="00E65E49">
        <w:rPr>
          <w:i/>
        </w:rPr>
        <w:t>.1. Прилагођеност програма различитим друштвеним групама</w:t>
      </w:r>
      <w:bookmarkEnd w:id="62"/>
      <w:bookmarkEnd w:id="63"/>
    </w:p>
    <w:p w:rsidR="0057644C" w:rsidRPr="004011FA" w:rsidRDefault="0057644C" w:rsidP="0057644C">
      <w:pPr>
        <w:spacing w:after="0"/>
        <w:rPr>
          <w:lang/>
        </w:rPr>
      </w:pPr>
    </w:p>
    <w:p w:rsidR="0057644C" w:rsidRDefault="0057644C" w:rsidP="0057644C">
      <w:pPr>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З</w:t>
      </w:r>
      <w:r>
        <w:rPr>
          <w:rFonts w:ascii="Times New Roman" w:hAnsi="Times New Roman" w:cs="Times New Roman"/>
          <w:sz w:val="24"/>
          <w:szCs w:val="24"/>
          <w:lang/>
        </w:rPr>
        <w:t xml:space="preserve">апослени су, између осталог, </w:t>
      </w:r>
      <w:r w:rsidRPr="00BB312B">
        <w:rPr>
          <w:rFonts w:ascii="Times New Roman" w:hAnsi="Times New Roman" w:cs="Times New Roman"/>
          <w:sz w:val="24"/>
          <w:szCs w:val="24"/>
          <w:lang/>
        </w:rPr>
        <w:t xml:space="preserve">давали оцене у којој мери су програми установе у којој раде заступљени за различите друштвене групе. </w:t>
      </w:r>
      <w:r w:rsidRPr="004011FA">
        <w:rPr>
          <w:rFonts w:ascii="Times New Roman" w:hAnsi="Times New Roman" w:cs="Times New Roman"/>
          <w:sz w:val="24"/>
          <w:szCs w:val="24"/>
          <w:lang/>
        </w:rPr>
        <w:t>Судећи према одговорима испитаника, програми су у највећој мери заступљени за старије особе, са преко 60 година живота, затим за децу од 8 до 12 година и за женску популацију.</w:t>
      </w:r>
      <w:r>
        <w:rPr>
          <w:rFonts w:ascii="Times New Roman" w:hAnsi="Times New Roman" w:cs="Times New Roman"/>
          <w:sz w:val="24"/>
          <w:szCs w:val="24"/>
          <w:lang/>
        </w:rPr>
        <w:t xml:space="preserve"> </w:t>
      </w:r>
      <w:r w:rsidRPr="004011FA">
        <w:rPr>
          <w:rFonts w:ascii="Times New Roman" w:hAnsi="Times New Roman" w:cs="Times New Roman"/>
          <w:sz w:val="24"/>
          <w:szCs w:val="24"/>
          <w:lang/>
        </w:rPr>
        <w:t>С друге стране, запослени наводе да су програми најмање прилагођени за особе са инвалидитетом, социјално угрожене категорија становништва и тинејџере (адолесценте од 13 до 19 година).</w:t>
      </w:r>
    </w:p>
    <w:p w:rsidR="00E65E49" w:rsidRDefault="00E65E49" w:rsidP="00E65E49">
      <w:pPr>
        <w:spacing w:after="0"/>
        <w:jc w:val="both"/>
        <w:rPr>
          <w:rFonts w:ascii="Times New Roman" w:hAnsi="Times New Roman" w:cs="Times New Roman"/>
          <w:sz w:val="24"/>
          <w:szCs w:val="24"/>
          <w:lang/>
        </w:rPr>
      </w:pPr>
    </w:p>
    <w:p w:rsidR="00E65E49" w:rsidRDefault="00E65E49" w:rsidP="00E65E49">
      <w:pPr>
        <w:spacing w:after="0"/>
        <w:jc w:val="both"/>
        <w:rPr>
          <w:rFonts w:ascii="Times New Roman" w:hAnsi="Times New Roman" w:cs="Times New Roman"/>
          <w:sz w:val="24"/>
          <w:szCs w:val="24"/>
          <w:lang/>
        </w:rPr>
      </w:pPr>
    </w:p>
    <w:p w:rsidR="00E65E49" w:rsidRDefault="00E65E49" w:rsidP="00E65E49">
      <w:pPr>
        <w:spacing w:after="0"/>
        <w:jc w:val="both"/>
        <w:rPr>
          <w:rFonts w:ascii="Times New Roman" w:hAnsi="Times New Roman" w:cs="Times New Roman"/>
          <w:sz w:val="24"/>
          <w:szCs w:val="24"/>
          <w:lang/>
        </w:rPr>
      </w:pPr>
    </w:p>
    <w:p w:rsidR="00E65E49" w:rsidRDefault="00E65E49" w:rsidP="00E65E49">
      <w:pPr>
        <w:spacing w:after="0"/>
        <w:jc w:val="both"/>
        <w:rPr>
          <w:rFonts w:ascii="Times New Roman" w:hAnsi="Times New Roman" w:cs="Times New Roman"/>
          <w:sz w:val="24"/>
          <w:szCs w:val="24"/>
          <w:lang/>
        </w:rPr>
      </w:pPr>
    </w:p>
    <w:p w:rsidR="00E65E49" w:rsidRDefault="00E65E49" w:rsidP="00E65E49">
      <w:pPr>
        <w:spacing w:after="0"/>
        <w:jc w:val="both"/>
        <w:rPr>
          <w:rFonts w:ascii="Times New Roman" w:hAnsi="Times New Roman" w:cs="Times New Roman"/>
          <w:sz w:val="24"/>
          <w:szCs w:val="24"/>
          <w:lang/>
        </w:rPr>
      </w:pPr>
    </w:p>
    <w:p w:rsidR="00E65E49" w:rsidRDefault="00E65E49" w:rsidP="00E65E49">
      <w:pPr>
        <w:spacing w:after="0"/>
        <w:jc w:val="both"/>
        <w:rPr>
          <w:rFonts w:ascii="Times New Roman" w:hAnsi="Times New Roman" w:cs="Times New Roman"/>
          <w:sz w:val="24"/>
          <w:szCs w:val="24"/>
          <w:lang/>
        </w:rPr>
      </w:pPr>
    </w:p>
    <w:tbl>
      <w:tblPr>
        <w:tblStyle w:val="GridTable4-Accent11"/>
        <w:tblpPr w:leftFromText="180" w:rightFromText="180" w:vertAnchor="text" w:horzAnchor="margin" w:tblpY="376"/>
        <w:tblW w:w="9351" w:type="dxa"/>
        <w:tblLook w:val="04A0"/>
      </w:tblPr>
      <w:tblGrid>
        <w:gridCol w:w="8217"/>
        <w:gridCol w:w="1134"/>
      </w:tblGrid>
      <w:tr w:rsidR="00E65E49" w:rsidRPr="00BB312B" w:rsidTr="00E65E49">
        <w:trPr>
          <w:cnfStyle w:val="100000000000"/>
        </w:trPr>
        <w:tc>
          <w:tcPr>
            <w:cnfStyle w:val="001000000000"/>
            <w:tcW w:w="8217" w:type="dxa"/>
          </w:tcPr>
          <w:p w:rsidR="00E65E49" w:rsidRPr="004011FA" w:rsidRDefault="00E65E49" w:rsidP="00E65E49">
            <w:pPr>
              <w:autoSpaceDE w:val="0"/>
              <w:autoSpaceDN w:val="0"/>
              <w:adjustRightInd w:val="0"/>
              <w:spacing w:line="276" w:lineRule="auto"/>
              <w:jc w:val="both"/>
              <w:rPr>
                <w:lang/>
              </w:rPr>
            </w:pPr>
            <w:r w:rsidRPr="004011FA">
              <w:rPr>
                <w:lang/>
              </w:rPr>
              <w:t>Друштвене групе</w:t>
            </w:r>
          </w:p>
        </w:tc>
        <w:tc>
          <w:tcPr>
            <w:tcW w:w="1134" w:type="dxa"/>
          </w:tcPr>
          <w:p w:rsidR="00E65E49" w:rsidRPr="004011FA" w:rsidRDefault="00E65E49" w:rsidP="00E65E49">
            <w:pPr>
              <w:autoSpaceDE w:val="0"/>
              <w:autoSpaceDN w:val="0"/>
              <w:adjustRightInd w:val="0"/>
              <w:spacing w:line="276" w:lineRule="auto"/>
              <w:jc w:val="both"/>
              <w:cnfStyle w:val="100000000000"/>
              <w:rPr>
                <w:lang/>
              </w:rPr>
            </w:pPr>
            <w:r w:rsidRPr="004011FA">
              <w:rPr>
                <w:lang/>
              </w:rPr>
              <w:t>Средња оцена</w:t>
            </w:r>
          </w:p>
        </w:tc>
      </w:tr>
      <w:tr w:rsidR="00E65E49" w:rsidRPr="00BB312B" w:rsidTr="00E65E49">
        <w:trPr>
          <w:cnfStyle w:val="000000100000"/>
        </w:trPr>
        <w:tc>
          <w:tcPr>
            <w:cnfStyle w:val="001000000000"/>
            <w:tcW w:w="8217" w:type="dxa"/>
          </w:tcPr>
          <w:p w:rsidR="00E65E49" w:rsidRPr="004011FA" w:rsidRDefault="00E65E49" w:rsidP="00E65E49">
            <w:pPr>
              <w:autoSpaceDE w:val="0"/>
              <w:autoSpaceDN w:val="0"/>
              <w:adjustRightInd w:val="0"/>
              <w:spacing w:line="276" w:lineRule="auto"/>
              <w:jc w:val="both"/>
            </w:pPr>
            <w:r w:rsidRPr="004011FA">
              <w:t>стари</w:t>
            </w:r>
            <w:r w:rsidRPr="004011FA">
              <w:rPr>
                <w:lang/>
              </w:rPr>
              <w:t>ји</w:t>
            </w:r>
            <w:r w:rsidRPr="004011FA">
              <w:t xml:space="preserve"> (60+)</w:t>
            </w:r>
          </w:p>
        </w:tc>
        <w:tc>
          <w:tcPr>
            <w:tcW w:w="1134" w:type="dxa"/>
          </w:tcPr>
          <w:p w:rsidR="00E65E49" w:rsidRPr="004011FA" w:rsidRDefault="00E65E49" w:rsidP="00E65E49">
            <w:pPr>
              <w:autoSpaceDE w:val="0"/>
              <w:autoSpaceDN w:val="0"/>
              <w:adjustRightInd w:val="0"/>
              <w:spacing w:line="276" w:lineRule="auto"/>
              <w:jc w:val="center"/>
              <w:cnfStyle w:val="000000100000"/>
              <w:rPr>
                <w:lang/>
              </w:rPr>
            </w:pPr>
            <w:r w:rsidRPr="004011FA">
              <w:rPr>
                <w:lang/>
              </w:rPr>
              <w:t>3.77</w:t>
            </w:r>
          </w:p>
        </w:tc>
      </w:tr>
      <w:tr w:rsidR="00E65E49" w:rsidRPr="00BB312B" w:rsidTr="00E65E49">
        <w:trPr>
          <w:trHeight w:val="321"/>
        </w:trPr>
        <w:tc>
          <w:tcPr>
            <w:cnfStyle w:val="001000000000"/>
            <w:tcW w:w="8217" w:type="dxa"/>
          </w:tcPr>
          <w:p w:rsidR="00E65E49" w:rsidRPr="004011FA" w:rsidRDefault="00E65E49" w:rsidP="00E65E49">
            <w:pPr>
              <w:autoSpaceDE w:val="0"/>
              <w:autoSpaceDN w:val="0"/>
              <w:adjustRightInd w:val="0"/>
              <w:spacing w:line="276" w:lineRule="auto"/>
              <w:jc w:val="both"/>
            </w:pPr>
            <w:r w:rsidRPr="004011FA">
              <w:t>деца од 8 до 12 година</w:t>
            </w:r>
          </w:p>
        </w:tc>
        <w:tc>
          <w:tcPr>
            <w:tcW w:w="1134" w:type="dxa"/>
          </w:tcPr>
          <w:p w:rsidR="00E65E49" w:rsidRPr="004011FA" w:rsidRDefault="00E65E49" w:rsidP="00E65E49">
            <w:pPr>
              <w:autoSpaceDE w:val="0"/>
              <w:autoSpaceDN w:val="0"/>
              <w:adjustRightInd w:val="0"/>
              <w:spacing w:line="276" w:lineRule="auto"/>
              <w:jc w:val="center"/>
              <w:cnfStyle w:val="000000000000"/>
            </w:pPr>
            <w:r w:rsidRPr="004011FA">
              <w:t>3.63</w:t>
            </w:r>
          </w:p>
        </w:tc>
      </w:tr>
      <w:tr w:rsidR="00E65E49" w:rsidRPr="00BB312B" w:rsidTr="00E65E49">
        <w:trPr>
          <w:cnfStyle w:val="000000100000"/>
        </w:trPr>
        <w:tc>
          <w:tcPr>
            <w:cnfStyle w:val="001000000000"/>
            <w:tcW w:w="8217" w:type="dxa"/>
          </w:tcPr>
          <w:p w:rsidR="00E65E49" w:rsidRPr="004011FA" w:rsidRDefault="00E65E49" w:rsidP="00E65E49">
            <w:pPr>
              <w:autoSpaceDE w:val="0"/>
              <w:autoSpaceDN w:val="0"/>
              <w:adjustRightInd w:val="0"/>
              <w:spacing w:line="276" w:lineRule="auto"/>
              <w:jc w:val="both"/>
            </w:pPr>
            <w:r w:rsidRPr="004011FA">
              <w:t>Жене</w:t>
            </w:r>
          </w:p>
        </w:tc>
        <w:tc>
          <w:tcPr>
            <w:tcW w:w="1134" w:type="dxa"/>
          </w:tcPr>
          <w:p w:rsidR="00E65E49" w:rsidRPr="004011FA" w:rsidRDefault="00E65E49" w:rsidP="00E65E49">
            <w:pPr>
              <w:autoSpaceDE w:val="0"/>
              <w:autoSpaceDN w:val="0"/>
              <w:adjustRightInd w:val="0"/>
              <w:spacing w:line="276" w:lineRule="auto"/>
              <w:jc w:val="center"/>
              <w:cnfStyle w:val="000000100000"/>
            </w:pPr>
            <w:r w:rsidRPr="004011FA">
              <w:t>3.56</w:t>
            </w:r>
          </w:p>
        </w:tc>
      </w:tr>
      <w:tr w:rsidR="00E65E49" w:rsidRPr="00BB312B" w:rsidTr="00E65E49">
        <w:tc>
          <w:tcPr>
            <w:cnfStyle w:val="001000000000"/>
            <w:tcW w:w="8217" w:type="dxa"/>
          </w:tcPr>
          <w:p w:rsidR="00E65E49" w:rsidRPr="004011FA" w:rsidRDefault="00E65E49" w:rsidP="00E65E49">
            <w:pPr>
              <w:autoSpaceDE w:val="0"/>
              <w:autoSpaceDN w:val="0"/>
              <w:adjustRightInd w:val="0"/>
              <w:spacing w:line="276" w:lineRule="auto"/>
              <w:jc w:val="both"/>
            </w:pPr>
            <w:r w:rsidRPr="004011FA">
              <w:t>млади (20-30 година)</w:t>
            </w:r>
          </w:p>
        </w:tc>
        <w:tc>
          <w:tcPr>
            <w:tcW w:w="1134" w:type="dxa"/>
          </w:tcPr>
          <w:p w:rsidR="00E65E49" w:rsidRPr="004011FA" w:rsidRDefault="00E65E49" w:rsidP="00E65E49">
            <w:pPr>
              <w:autoSpaceDE w:val="0"/>
              <w:autoSpaceDN w:val="0"/>
              <w:adjustRightInd w:val="0"/>
              <w:spacing w:line="276" w:lineRule="auto"/>
              <w:jc w:val="center"/>
              <w:cnfStyle w:val="000000000000"/>
            </w:pPr>
            <w:r w:rsidRPr="004011FA">
              <w:t>3.40</w:t>
            </w:r>
          </w:p>
        </w:tc>
      </w:tr>
      <w:tr w:rsidR="00E65E49" w:rsidRPr="00BB312B" w:rsidTr="00E65E49">
        <w:trPr>
          <w:cnfStyle w:val="000000100000"/>
        </w:trPr>
        <w:tc>
          <w:tcPr>
            <w:cnfStyle w:val="001000000000"/>
            <w:tcW w:w="8217" w:type="dxa"/>
          </w:tcPr>
          <w:p w:rsidR="00E65E49" w:rsidRPr="004011FA" w:rsidRDefault="00E65E49" w:rsidP="00E65E49">
            <w:pPr>
              <w:autoSpaceDE w:val="0"/>
              <w:autoSpaceDN w:val="0"/>
              <w:adjustRightInd w:val="0"/>
              <w:spacing w:line="276" w:lineRule="auto"/>
              <w:jc w:val="both"/>
            </w:pPr>
            <w:r w:rsidRPr="004011FA">
              <w:t>етничке заједнице</w:t>
            </w:r>
          </w:p>
        </w:tc>
        <w:tc>
          <w:tcPr>
            <w:tcW w:w="1134" w:type="dxa"/>
          </w:tcPr>
          <w:p w:rsidR="00E65E49" w:rsidRPr="004011FA" w:rsidRDefault="00E65E49" w:rsidP="00E65E49">
            <w:pPr>
              <w:autoSpaceDE w:val="0"/>
              <w:autoSpaceDN w:val="0"/>
              <w:adjustRightInd w:val="0"/>
              <w:spacing w:line="276" w:lineRule="auto"/>
              <w:jc w:val="center"/>
              <w:cnfStyle w:val="000000100000"/>
            </w:pPr>
            <w:r w:rsidRPr="004011FA">
              <w:t>3.40</w:t>
            </w:r>
          </w:p>
        </w:tc>
      </w:tr>
      <w:tr w:rsidR="00E65E49" w:rsidRPr="00BB312B" w:rsidTr="00E65E49">
        <w:tc>
          <w:tcPr>
            <w:cnfStyle w:val="001000000000"/>
            <w:tcW w:w="8217" w:type="dxa"/>
          </w:tcPr>
          <w:p w:rsidR="00E65E49" w:rsidRPr="004011FA" w:rsidRDefault="00E65E49" w:rsidP="00E65E49">
            <w:pPr>
              <w:autoSpaceDE w:val="0"/>
              <w:autoSpaceDN w:val="0"/>
              <w:adjustRightInd w:val="0"/>
              <w:spacing w:line="276" w:lineRule="auto"/>
              <w:jc w:val="both"/>
            </w:pPr>
            <w:r w:rsidRPr="004011FA">
              <w:t>деца до 7 година</w:t>
            </w:r>
          </w:p>
        </w:tc>
        <w:tc>
          <w:tcPr>
            <w:tcW w:w="1134" w:type="dxa"/>
          </w:tcPr>
          <w:p w:rsidR="00E65E49" w:rsidRPr="004011FA" w:rsidRDefault="00E65E49" w:rsidP="00E65E49">
            <w:pPr>
              <w:autoSpaceDE w:val="0"/>
              <w:autoSpaceDN w:val="0"/>
              <w:adjustRightInd w:val="0"/>
              <w:spacing w:line="276" w:lineRule="auto"/>
              <w:jc w:val="center"/>
              <w:cnfStyle w:val="000000000000"/>
            </w:pPr>
            <w:r w:rsidRPr="004011FA">
              <w:t>3.33</w:t>
            </w:r>
          </w:p>
        </w:tc>
      </w:tr>
      <w:tr w:rsidR="00E65E49" w:rsidRPr="00BB312B" w:rsidTr="00E65E49">
        <w:trPr>
          <w:cnfStyle w:val="000000100000"/>
        </w:trPr>
        <w:tc>
          <w:tcPr>
            <w:cnfStyle w:val="001000000000"/>
            <w:tcW w:w="8217" w:type="dxa"/>
          </w:tcPr>
          <w:p w:rsidR="00E65E49" w:rsidRPr="004011FA" w:rsidRDefault="00E65E49" w:rsidP="00E65E49">
            <w:pPr>
              <w:autoSpaceDE w:val="0"/>
              <w:autoSpaceDN w:val="0"/>
              <w:adjustRightInd w:val="0"/>
              <w:spacing w:line="276" w:lineRule="auto"/>
              <w:jc w:val="both"/>
            </w:pPr>
            <w:r w:rsidRPr="004011FA">
              <w:t>тинејџери (13-19 година)</w:t>
            </w:r>
          </w:p>
        </w:tc>
        <w:tc>
          <w:tcPr>
            <w:tcW w:w="1134" w:type="dxa"/>
          </w:tcPr>
          <w:p w:rsidR="00E65E49" w:rsidRPr="004011FA" w:rsidRDefault="00E65E49" w:rsidP="00E65E49">
            <w:pPr>
              <w:autoSpaceDE w:val="0"/>
              <w:autoSpaceDN w:val="0"/>
              <w:adjustRightInd w:val="0"/>
              <w:spacing w:line="276" w:lineRule="auto"/>
              <w:jc w:val="center"/>
              <w:cnfStyle w:val="000000100000"/>
            </w:pPr>
            <w:r w:rsidRPr="004011FA">
              <w:t>3.30</w:t>
            </w:r>
          </w:p>
        </w:tc>
      </w:tr>
      <w:tr w:rsidR="00E65E49" w:rsidRPr="00BB312B" w:rsidTr="00E65E49">
        <w:tc>
          <w:tcPr>
            <w:cnfStyle w:val="001000000000"/>
            <w:tcW w:w="8217" w:type="dxa"/>
          </w:tcPr>
          <w:p w:rsidR="00E65E49" w:rsidRPr="004011FA" w:rsidRDefault="00E65E49" w:rsidP="00E65E49">
            <w:pPr>
              <w:autoSpaceDE w:val="0"/>
              <w:autoSpaceDN w:val="0"/>
              <w:adjustRightInd w:val="0"/>
              <w:spacing w:line="276" w:lineRule="auto"/>
              <w:jc w:val="both"/>
            </w:pPr>
            <w:r w:rsidRPr="004011FA">
              <w:t>социјално угрожене категорије становништа</w:t>
            </w:r>
          </w:p>
        </w:tc>
        <w:tc>
          <w:tcPr>
            <w:tcW w:w="1134" w:type="dxa"/>
          </w:tcPr>
          <w:p w:rsidR="00E65E49" w:rsidRPr="004011FA" w:rsidRDefault="00E65E49" w:rsidP="00E65E49">
            <w:pPr>
              <w:autoSpaceDE w:val="0"/>
              <w:autoSpaceDN w:val="0"/>
              <w:adjustRightInd w:val="0"/>
              <w:spacing w:line="276" w:lineRule="auto"/>
              <w:jc w:val="center"/>
              <w:cnfStyle w:val="000000000000"/>
            </w:pPr>
            <w:r w:rsidRPr="004011FA">
              <w:t>2.86</w:t>
            </w:r>
          </w:p>
        </w:tc>
      </w:tr>
      <w:tr w:rsidR="00E65E49" w:rsidRPr="00BB312B" w:rsidTr="00E65E49">
        <w:trPr>
          <w:cnfStyle w:val="000000100000"/>
        </w:trPr>
        <w:tc>
          <w:tcPr>
            <w:cnfStyle w:val="001000000000"/>
            <w:tcW w:w="8217" w:type="dxa"/>
          </w:tcPr>
          <w:p w:rsidR="00E65E49" w:rsidRPr="004011FA" w:rsidRDefault="00E65E49" w:rsidP="00E65E49">
            <w:pPr>
              <w:autoSpaceDE w:val="0"/>
              <w:autoSpaceDN w:val="0"/>
              <w:adjustRightInd w:val="0"/>
              <w:spacing w:line="276" w:lineRule="auto"/>
              <w:jc w:val="both"/>
            </w:pPr>
            <w:r w:rsidRPr="004011FA">
              <w:t>особе са инвалидитетом</w:t>
            </w:r>
          </w:p>
        </w:tc>
        <w:tc>
          <w:tcPr>
            <w:tcW w:w="1134" w:type="dxa"/>
          </w:tcPr>
          <w:p w:rsidR="00E65E49" w:rsidRPr="004011FA" w:rsidRDefault="00E65E49" w:rsidP="00E65E49">
            <w:pPr>
              <w:autoSpaceDE w:val="0"/>
              <w:autoSpaceDN w:val="0"/>
              <w:adjustRightInd w:val="0"/>
              <w:spacing w:line="276" w:lineRule="auto"/>
              <w:jc w:val="center"/>
              <w:cnfStyle w:val="000000100000"/>
            </w:pPr>
            <w:r w:rsidRPr="004011FA">
              <w:t>2.67</w:t>
            </w:r>
          </w:p>
        </w:tc>
      </w:tr>
    </w:tbl>
    <w:p w:rsidR="0057644C" w:rsidRPr="004011FA" w:rsidRDefault="00E65E49" w:rsidP="00E65E49">
      <w:pPr>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 Табела 6: </w:t>
      </w:r>
      <w:r w:rsidRPr="00BB312B">
        <w:rPr>
          <w:rFonts w:ascii="Times New Roman" w:hAnsi="Times New Roman" w:cs="Times New Roman"/>
          <w:sz w:val="24"/>
          <w:szCs w:val="24"/>
          <w:lang/>
        </w:rPr>
        <w:t>Оцена заступљености прогр</w:t>
      </w:r>
      <w:r>
        <w:rPr>
          <w:rFonts w:ascii="Times New Roman" w:hAnsi="Times New Roman" w:cs="Times New Roman"/>
          <w:sz w:val="24"/>
          <w:szCs w:val="24"/>
          <w:lang/>
        </w:rPr>
        <w:t>ама за различите друштвене групе</w:t>
      </w:r>
    </w:p>
    <w:p w:rsidR="0057644C" w:rsidRPr="004011FA" w:rsidRDefault="0057644C" w:rsidP="00B03CD2">
      <w:pPr>
        <w:pStyle w:val="ListParagraph"/>
        <w:numPr>
          <w:ilvl w:val="0"/>
          <w:numId w:val="36"/>
        </w:numPr>
        <w:spacing w:before="240" w:after="200" w:line="276" w:lineRule="auto"/>
        <w:jc w:val="both"/>
        <w:rPr>
          <w:rFonts w:ascii="Times New Roman" w:hAnsi="Times New Roman" w:cs="Times New Roman"/>
          <w:sz w:val="24"/>
          <w:szCs w:val="24"/>
          <w:lang/>
        </w:rPr>
      </w:pPr>
      <w:r w:rsidRPr="004011FA">
        <w:rPr>
          <w:rFonts w:ascii="Times New Roman" w:hAnsi="Times New Roman" w:cs="Times New Roman"/>
          <w:sz w:val="24"/>
          <w:szCs w:val="24"/>
          <w:lang/>
        </w:rPr>
        <w:t>У</w:t>
      </w:r>
      <w:r w:rsidRPr="004011FA">
        <w:rPr>
          <w:rFonts w:ascii="Times New Roman" w:hAnsi="Times New Roman" w:cs="Times New Roman"/>
          <w:b/>
          <w:sz w:val="24"/>
          <w:szCs w:val="24"/>
          <w:lang/>
        </w:rPr>
        <w:t xml:space="preserve"> </w:t>
      </w:r>
      <w:r w:rsidRPr="00DE1004">
        <w:rPr>
          <w:rFonts w:ascii="Times New Roman" w:hAnsi="Times New Roman" w:cs="Times New Roman"/>
          <w:sz w:val="24"/>
          <w:szCs w:val="24"/>
          <w:lang/>
        </w:rPr>
        <w:t>Градском музеју Сомбор</w:t>
      </w:r>
      <w:r w:rsidRPr="004011FA">
        <w:rPr>
          <w:rFonts w:ascii="Times New Roman" w:hAnsi="Times New Roman" w:cs="Times New Roman"/>
          <w:b/>
          <w:sz w:val="24"/>
          <w:szCs w:val="24"/>
          <w:lang/>
        </w:rPr>
        <w:t xml:space="preserve"> </w:t>
      </w:r>
      <w:r>
        <w:rPr>
          <w:rFonts w:ascii="Times New Roman" w:hAnsi="Times New Roman" w:cs="Times New Roman"/>
          <w:sz w:val="24"/>
          <w:szCs w:val="24"/>
          <w:lang/>
        </w:rPr>
        <w:t>најниже оц</w:t>
      </w:r>
      <w:r w:rsidRPr="004011FA">
        <w:rPr>
          <w:rFonts w:ascii="Times New Roman" w:hAnsi="Times New Roman" w:cs="Times New Roman"/>
          <w:sz w:val="24"/>
          <w:szCs w:val="24"/>
          <w:lang/>
        </w:rPr>
        <w:t xml:space="preserve">ене су додељене програмској прилагођености за </w:t>
      </w:r>
      <w:r>
        <w:rPr>
          <w:rFonts w:ascii="Times New Roman" w:hAnsi="Times New Roman" w:cs="Times New Roman"/>
          <w:sz w:val="24"/>
          <w:szCs w:val="24"/>
          <w:lang/>
        </w:rPr>
        <w:t>особе са инвалидитетом</w:t>
      </w:r>
      <w:r w:rsidRPr="004011FA">
        <w:rPr>
          <w:rFonts w:ascii="Times New Roman" w:hAnsi="Times New Roman" w:cs="Times New Roman"/>
          <w:sz w:val="24"/>
          <w:szCs w:val="24"/>
          <w:lang/>
        </w:rPr>
        <w:t xml:space="preserve"> (2.50), као и заступљеност програма за социјално угрожене категорије (2.88). Међу нижим оценама </w:t>
      </w:r>
      <w:r>
        <w:rPr>
          <w:rFonts w:ascii="Times New Roman" w:hAnsi="Times New Roman" w:cs="Times New Roman"/>
          <w:sz w:val="24"/>
          <w:szCs w:val="24"/>
          <w:lang/>
        </w:rPr>
        <w:t>је и</w:t>
      </w:r>
      <w:r w:rsidRPr="004011FA">
        <w:rPr>
          <w:rFonts w:ascii="Times New Roman" w:hAnsi="Times New Roman" w:cs="Times New Roman"/>
          <w:sz w:val="24"/>
          <w:szCs w:val="24"/>
          <w:lang/>
        </w:rPr>
        <w:t xml:space="preserve"> заступљеност програма за тинејџере (3.13) и за младе (3.38) док је заступљеност про</w:t>
      </w:r>
      <w:r>
        <w:rPr>
          <w:rFonts w:ascii="Times New Roman" w:hAnsi="Times New Roman" w:cs="Times New Roman"/>
          <w:sz w:val="24"/>
          <w:szCs w:val="24"/>
          <w:lang/>
        </w:rPr>
        <w:t>г</w:t>
      </w:r>
      <w:r w:rsidRPr="004011FA">
        <w:rPr>
          <w:rFonts w:ascii="Times New Roman" w:hAnsi="Times New Roman" w:cs="Times New Roman"/>
          <w:sz w:val="24"/>
          <w:szCs w:val="24"/>
          <w:lang/>
        </w:rPr>
        <w:t xml:space="preserve">рама за децу од  8 до 12 година највише оцењена (4.00). </w:t>
      </w:r>
    </w:p>
    <w:p w:rsidR="0057644C" w:rsidRPr="004011FA" w:rsidRDefault="0057644C" w:rsidP="00B03CD2">
      <w:pPr>
        <w:pStyle w:val="ListParagraph"/>
        <w:numPr>
          <w:ilvl w:val="0"/>
          <w:numId w:val="29"/>
        </w:numPr>
        <w:spacing w:before="240" w:after="200" w:line="276" w:lineRule="auto"/>
        <w:jc w:val="both"/>
        <w:rPr>
          <w:rFonts w:ascii="Times New Roman" w:hAnsi="Times New Roman" w:cs="Times New Roman"/>
          <w:sz w:val="24"/>
          <w:szCs w:val="24"/>
          <w:lang/>
        </w:rPr>
      </w:pPr>
      <w:r w:rsidRPr="00DE1004">
        <w:rPr>
          <w:rFonts w:ascii="Times New Roman" w:hAnsi="Times New Roman" w:cs="Times New Roman"/>
          <w:sz w:val="24"/>
          <w:szCs w:val="24"/>
          <w:lang/>
        </w:rPr>
        <w:t>У Галерији „Милан Коњовић“</w:t>
      </w:r>
      <w:r>
        <w:rPr>
          <w:rFonts w:ascii="Times New Roman" w:hAnsi="Times New Roman" w:cs="Times New Roman"/>
          <w:sz w:val="24"/>
          <w:szCs w:val="24"/>
          <w:lang/>
        </w:rPr>
        <w:t xml:space="preserve"> највиша оцена</w:t>
      </w:r>
      <w:r w:rsidRPr="00BB312B">
        <w:rPr>
          <w:rFonts w:ascii="Times New Roman" w:hAnsi="Times New Roman" w:cs="Times New Roman"/>
          <w:sz w:val="24"/>
          <w:szCs w:val="24"/>
          <w:lang/>
        </w:rPr>
        <w:t xml:space="preserve"> (4.75) је </w:t>
      </w:r>
      <w:r>
        <w:rPr>
          <w:rFonts w:ascii="Times New Roman" w:hAnsi="Times New Roman" w:cs="Times New Roman"/>
          <w:sz w:val="24"/>
          <w:szCs w:val="24"/>
          <w:lang/>
        </w:rPr>
        <w:t xml:space="preserve">додељена заступљености </w:t>
      </w:r>
      <w:r w:rsidRPr="00BB312B">
        <w:rPr>
          <w:rFonts w:ascii="Times New Roman" w:hAnsi="Times New Roman" w:cs="Times New Roman"/>
          <w:sz w:val="24"/>
          <w:szCs w:val="24"/>
          <w:lang/>
        </w:rPr>
        <w:t>програма за децу и младе, док</w:t>
      </w:r>
      <w:r>
        <w:rPr>
          <w:rFonts w:ascii="Times New Roman" w:hAnsi="Times New Roman" w:cs="Times New Roman"/>
          <w:sz w:val="24"/>
          <w:szCs w:val="24"/>
          <w:lang/>
        </w:rPr>
        <w:t xml:space="preserve"> су ниже оцене дате програмима прилагођеним особама са инвалидитетом</w:t>
      </w:r>
      <w:r w:rsidRPr="00BB312B">
        <w:rPr>
          <w:rFonts w:ascii="Times New Roman" w:hAnsi="Times New Roman" w:cs="Times New Roman"/>
          <w:sz w:val="24"/>
          <w:szCs w:val="24"/>
          <w:lang/>
        </w:rPr>
        <w:t xml:space="preserve"> (3.25), </w:t>
      </w:r>
      <w:r>
        <w:rPr>
          <w:rFonts w:ascii="Times New Roman" w:hAnsi="Times New Roman" w:cs="Times New Roman"/>
          <w:sz w:val="24"/>
          <w:szCs w:val="24"/>
          <w:lang/>
        </w:rPr>
        <w:t>програмима</w:t>
      </w:r>
      <w:r w:rsidRPr="00BB312B">
        <w:rPr>
          <w:rFonts w:ascii="Times New Roman" w:hAnsi="Times New Roman" w:cs="Times New Roman"/>
          <w:sz w:val="24"/>
          <w:szCs w:val="24"/>
          <w:lang/>
        </w:rPr>
        <w:t xml:space="preserve"> за различите социјално угрожене групе и за етничке заједница</w:t>
      </w:r>
      <w:r w:rsidRPr="004011FA">
        <w:rPr>
          <w:rFonts w:ascii="Times New Roman" w:hAnsi="Times New Roman" w:cs="Times New Roman"/>
          <w:sz w:val="24"/>
          <w:szCs w:val="24"/>
          <w:lang/>
        </w:rPr>
        <w:t>.</w:t>
      </w:r>
    </w:p>
    <w:p w:rsidR="0057644C" w:rsidRPr="00BB312B" w:rsidRDefault="0057644C" w:rsidP="00B03CD2">
      <w:pPr>
        <w:pStyle w:val="ListParagraph"/>
        <w:numPr>
          <w:ilvl w:val="0"/>
          <w:numId w:val="29"/>
        </w:numPr>
        <w:spacing w:before="240" w:after="200" w:line="276" w:lineRule="auto"/>
        <w:jc w:val="both"/>
        <w:rPr>
          <w:rFonts w:ascii="Times New Roman" w:hAnsi="Times New Roman" w:cs="Times New Roman"/>
          <w:sz w:val="24"/>
          <w:szCs w:val="24"/>
          <w:lang/>
        </w:rPr>
      </w:pPr>
      <w:r w:rsidRPr="00DE1004">
        <w:rPr>
          <w:rFonts w:ascii="Times New Roman" w:hAnsi="Times New Roman" w:cs="Times New Roman"/>
          <w:sz w:val="24"/>
          <w:szCs w:val="24"/>
          <w:lang/>
        </w:rPr>
        <w:t>У Културном центру „Лаза Костић“ најниже</w:t>
      </w:r>
      <w:r w:rsidRPr="00BB312B">
        <w:rPr>
          <w:rFonts w:ascii="Times New Roman" w:hAnsi="Times New Roman" w:cs="Times New Roman"/>
          <w:sz w:val="24"/>
          <w:szCs w:val="24"/>
          <w:lang/>
        </w:rPr>
        <w:t xml:space="preserve"> је оцењена заступљеност програма за </w:t>
      </w:r>
      <w:r>
        <w:rPr>
          <w:rFonts w:ascii="Times New Roman" w:hAnsi="Times New Roman" w:cs="Times New Roman"/>
          <w:sz w:val="24"/>
          <w:szCs w:val="24"/>
          <w:lang/>
        </w:rPr>
        <w:t>особе са инвалидитетом</w:t>
      </w:r>
      <w:r w:rsidRPr="00BB312B">
        <w:rPr>
          <w:rFonts w:ascii="Times New Roman" w:hAnsi="Times New Roman" w:cs="Times New Roman"/>
          <w:sz w:val="24"/>
          <w:szCs w:val="24"/>
          <w:lang/>
        </w:rPr>
        <w:t xml:space="preserve"> (2.25) и социјално угрожене грађане (2.50). Н</w:t>
      </w:r>
      <w:r>
        <w:rPr>
          <w:rFonts w:ascii="Times New Roman" w:hAnsi="Times New Roman" w:cs="Times New Roman"/>
          <w:sz w:val="24"/>
          <w:szCs w:val="24"/>
          <w:lang/>
        </w:rPr>
        <w:t>иже просечне оцене су дате програмима прилагођеним</w:t>
      </w:r>
      <w:r w:rsidRPr="00BB312B">
        <w:rPr>
          <w:rFonts w:ascii="Times New Roman" w:hAnsi="Times New Roman" w:cs="Times New Roman"/>
          <w:sz w:val="24"/>
          <w:szCs w:val="24"/>
          <w:lang/>
        </w:rPr>
        <w:t xml:space="preserve"> за  децу до 7 године (3.00), тинејџере (3.75) и младе (3.00), док су највише оцене додељене заступљености програма за старије грађане и за децу основношколског узраста (3.75).</w:t>
      </w:r>
    </w:p>
    <w:p w:rsidR="0057644C" w:rsidRPr="00BB312B" w:rsidRDefault="0057644C" w:rsidP="00B03CD2">
      <w:pPr>
        <w:pStyle w:val="ListParagraph"/>
        <w:numPr>
          <w:ilvl w:val="0"/>
          <w:numId w:val="29"/>
        </w:numPr>
        <w:spacing w:before="240"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 </w:t>
      </w:r>
      <w:r w:rsidRPr="00FA4CE6">
        <w:rPr>
          <w:rFonts w:ascii="Times New Roman" w:hAnsi="Times New Roman" w:cs="Times New Roman"/>
          <w:sz w:val="24"/>
          <w:szCs w:val="24"/>
          <w:lang/>
        </w:rPr>
        <w:t>У Историјском архиву Сомбор највише је оцењена заступљеност програма за старије (2.63), док су све друге</w:t>
      </w:r>
      <w:r w:rsidRPr="00BB312B">
        <w:rPr>
          <w:rFonts w:ascii="Times New Roman" w:hAnsi="Times New Roman" w:cs="Times New Roman"/>
          <w:sz w:val="24"/>
          <w:szCs w:val="24"/>
          <w:lang/>
        </w:rPr>
        <w:t xml:space="preserve"> области оцењене врло ниско, са оценама испод 2,  а најниж</w:t>
      </w:r>
      <w:r>
        <w:rPr>
          <w:rFonts w:ascii="Times New Roman" w:hAnsi="Times New Roman" w:cs="Times New Roman"/>
          <w:sz w:val="24"/>
          <w:szCs w:val="24"/>
          <w:lang/>
        </w:rPr>
        <w:t>у оцену су добили програми</w:t>
      </w:r>
      <w:r w:rsidRPr="00BB312B">
        <w:rPr>
          <w:rFonts w:ascii="Times New Roman" w:hAnsi="Times New Roman" w:cs="Times New Roman"/>
          <w:sz w:val="24"/>
          <w:szCs w:val="24"/>
          <w:lang/>
        </w:rPr>
        <w:t xml:space="preserve"> за децу предшколског узраста (1.13).</w:t>
      </w:r>
      <w:r w:rsidRPr="00BB312B">
        <w:rPr>
          <w:rFonts w:ascii="Times New Roman" w:hAnsi="Times New Roman" w:cs="Times New Roman"/>
          <w:b/>
          <w:sz w:val="24"/>
          <w:szCs w:val="24"/>
          <w:lang/>
        </w:rPr>
        <w:t xml:space="preserve"> </w:t>
      </w:r>
    </w:p>
    <w:p w:rsidR="0057644C" w:rsidRPr="00BB312B" w:rsidRDefault="0057644C" w:rsidP="00B03CD2">
      <w:pPr>
        <w:pStyle w:val="ListParagraph"/>
        <w:numPr>
          <w:ilvl w:val="0"/>
          <w:numId w:val="29"/>
        </w:numPr>
        <w:spacing w:before="240" w:after="200" w:line="276" w:lineRule="auto"/>
        <w:jc w:val="both"/>
        <w:rPr>
          <w:rFonts w:ascii="Times New Roman" w:hAnsi="Times New Roman" w:cs="Times New Roman"/>
          <w:sz w:val="24"/>
          <w:szCs w:val="24"/>
          <w:lang/>
        </w:rPr>
      </w:pPr>
      <w:r w:rsidRPr="00FA4CE6">
        <w:rPr>
          <w:rFonts w:ascii="Times New Roman" w:hAnsi="Times New Roman" w:cs="Times New Roman"/>
          <w:sz w:val="24"/>
          <w:szCs w:val="24"/>
          <w:lang/>
        </w:rPr>
        <w:t>У Народном позоришту Сомбор је највише оцењена заступљеност програма за старије грађане (4.14), затим</w:t>
      </w:r>
      <w:r w:rsidRPr="00BB312B">
        <w:rPr>
          <w:rFonts w:ascii="Times New Roman" w:hAnsi="Times New Roman" w:cs="Times New Roman"/>
          <w:sz w:val="24"/>
          <w:szCs w:val="24"/>
          <w:lang/>
        </w:rPr>
        <w:t xml:space="preserve"> за жене и младе (4.00), док је најниже оцењена заступљеност програма за децу од 8 до 12 година </w:t>
      </w:r>
      <w:r>
        <w:rPr>
          <w:rFonts w:ascii="Times New Roman" w:hAnsi="Times New Roman" w:cs="Times New Roman"/>
          <w:sz w:val="24"/>
          <w:szCs w:val="24"/>
          <w:lang/>
        </w:rPr>
        <w:t>(2.57) и за децу до 7 година (2.</w:t>
      </w:r>
      <w:r w:rsidRPr="00BB312B">
        <w:rPr>
          <w:rFonts w:ascii="Times New Roman" w:hAnsi="Times New Roman" w:cs="Times New Roman"/>
          <w:sz w:val="24"/>
          <w:szCs w:val="24"/>
          <w:lang/>
        </w:rPr>
        <w:t xml:space="preserve">71). </w:t>
      </w:r>
    </w:p>
    <w:p w:rsidR="0057644C" w:rsidRDefault="0057644C" w:rsidP="00B03CD2">
      <w:pPr>
        <w:pStyle w:val="ListParagraph"/>
        <w:numPr>
          <w:ilvl w:val="0"/>
          <w:numId w:val="29"/>
        </w:numPr>
        <w:spacing w:before="240" w:after="20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Запослени у </w:t>
      </w:r>
      <w:r w:rsidRPr="00FA4CE6">
        <w:rPr>
          <w:rFonts w:ascii="Times New Roman" w:hAnsi="Times New Roman" w:cs="Times New Roman"/>
          <w:sz w:val="24"/>
          <w:szCs w:val="24"/>
          <w:lang/>
        </w:rPr>
        <w:t>Градској библиотеци „Карло Бијелицки“</w:t>
      </w:r>
      <w:r w:rsidRPr="00BB312B">
        <w:rPr>
          <w:rFonts w:ascii="Times New Roman" w:hAnsi="Times New Roman" w:cs="Times New Roman"/>
          <w:sz w:val="24"/>
          <w:szCs w:val="24"/>
          <w:lang/>
        </w:rPr>
        <w:t xml:space="preserve"> су врло високим оценама оценили заступљеност програма за све дечије узрасте (за децу до 7 година са 4.92 и за децу од 8 до 12 са 4.83). Н</w:t>
      </w:r>
      <w:r>
        <w:rPr>
          <w:rFonts w:ascii="Times New Roman" w:hAnsi="Times New Roman" w:cs="Times New Roman"/>
          <w:sz w:val="24"/>
          <w:szCs w:val="24"/>
          <w:lang/>
        </w:rPr>
        <w:t>ајниже је оцењене програмска зас</w:t>
      </w:r>
      <w:r w:rsidRPr="00BB312B">
        <w:rPr>
          <w:rFonts w:ascii="Times New Roman" w:hAnsi="Times New Roman" w:cs="Times New Roman"/>
          <w:sz w:val="24"/>
          <w:szCs w:val="24"/>
          <w:lang/>
        </w:rPr>
        <w:t xml:space="preserve">тупљеност намењена </w:t>
      </w:r>
      <w:r>
        <w:rPr>
          <w:rFonts w:ascii="Times New Roman" w:hAnsi="Times New Roman" w:cs="Times New Roman"/>
          <w:sz w:val="24"/>
          <w:szCs w:val="24"/>
          <w:lang/>
        </w:rPr>
        <w:t>особама са инвалидитетом и социјално угроженима (3.17).</w:t>
      </w:r>
    </w:p>
    <w:p w:rsidR="0057644C" w:rsidRPr="00F10714" w:rsidRDefault="0057644C" w:rsidP="00E65E49">
      <w:pPr>
        <w:spacing w:before="240"/>
        <w:ind w:firstLine="720"/>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Иако су програми за тинејџере и за младе оцењени средњим оценама 3.40, односно 3.30 на фокус групама са запосленима се могло чути да су тинејџери и млади „најпроблематичнија“ публика, која у адолесцентском периоду губи интересовање за културу, због чега је потребно управо ове генерације укључити у креирање програма и сазнати њихове културне потребе. Такође, на основу добијених података о програмима важно је посветити се и креирању програма за све маргинализоване групе и учинити им доступним све програме из културе. </w:t>
      </w:r>
    </w:p>
    <w:p w:rsidR="0057644C" w:rsidRPr="00E65E49" w:rsidRDefault="00E65E49" w:rsidP="00E65E49">
      <w:pPr>
        <w:pStyle w:val="Heading3"/>
        <w:rPr>
          <w:i/>
        </w:rPr>
      </w:pPr>
      <w:bookmarkStart w:id="64" w:name="_Toc27958777"/>
      <w:bookmarkStart w:id="65" w:name="_Toc36072328"/>
      <w:r w:rsidRPr="00E65E49">
        <w:rPr>
          <w:i/>
        </w:rPr>
        <w:t>2.4</w:t>
      </w:r>
      <w:r w:rsidR="0057644C" w:rsidRPr="00E65E49">
        <w:rPr>
          <w:i/>
        </w:rPr>
        <w:t>.2. Унапређење програмске политике</w:t>
      </w:r>
      <w:bookmarkEnd w:id="64"/>
      <w:bookmarkEnd w:id="65"/>
    </w:p>
    <w:p w:rsidR="0057644C" w:rsidRDefault="0057644C" w:rsidP="0057644C">
      <w:pPr>
        <w:spacing w:after="0"/>
        <w:jc w:val="both"/>
        <w:rPr>
          <w:rFonts w:ascii="Times New Roman" w:hAnsi="Times New Roman" w:cs="Times New Roman"/>
          <w:sz w:val="24"/>
          <w:szCs w:val="24"/>
          <w:lang/>
        </w:rPr>
      </w:pPr>
    </w:p>
    <w:p w:rsidR="0057644C" w:rsidRDefault="0057644C" w:rsidP="0057644C">
      <w:pPr>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Када је реч о програмима из културе, од запослених се тражило да наведу </w:t>
      </w:r>
      <w:r w:rsidRPr="00BB312B">
        <w:rPr>
          <w:rFonts w:ascii="Times New Roman" w:hAnsi="Times New Roman" w:cs="Times New Roman"/>
          <w:sz w:val="24"/>
          <w:szCs w:val="24"/>
          <w:lang/>
        </w:rPr>
        <w:t>шта би у програмској политиц</w:t>
      </w:r>
      <w:r>
        <w:rPr>
          <w:rFonts w:ascii="Times New Roman" w:hAnsi="Times New Roman" w:cs="Times New Roman"/>
          <w:sz w:val="24"/>
          <w:szCs w:val="24"/>
          <w:lang/>
        </w:rPr>
        <w:t>и установа у којој су запослени</w:t>
      </w:r>
      <w:r w:rsidRPr="00BB312B">
        <w:rPr>
          <w:rFonts w:ascii="Times New Roman" w:hAnsi="Times New Roman" w:cs="Times New Roman"/>
          <w:sz w:val="24"/>
          <w:szCs w:val="24"/>
          <w:lang/>
        </w:rPr>
        <w:t xml:space="preserve"> најпре требало да унапреди у свом раду. </w:t>
      </w:r>
      <w:r>
        <w:rPr>
          <w:rFonts w:ascii="Times New Roman" w:hAnsi="Times New Roman" w:cs="Times New Roman"/>
          <w:sz w:val="24"/>
          <w:szCs w:val="24"/>
          <w:lang/>
        </w:rPr>
        <w:t xml:space="preserve">Испитаници је требало да се </w:t>
      </w:r>
      <w:r w:rsidRPr="00BB312B">
        <w:rPr>
          <w:rFonts w:ascii="Times New Roman" w:hAnsi="Times New Roman" w:cs="Times New Roman"/>
          <w:sz w:val="24"/>
          <w:szCs w:val="24"/>
          <w:lang/>
        </w:rPr>
        <w:t xml:space="preserve">одлуче за једну приоритетну област.  </w:t>
      </w:r>
    </w:p>
    <w:p w:rsidR="0057644C" w:rsidRPr="00BB312B" w:rsidRDefault="0057644C" w:rsidP="0057644C">
      <w:pPr>
        <w:spacing w:after="0"/>
        <w:ind w:firstLine="720"/>
        <w:jc w:val="both"/>
        <w:rPr>
          <w:rFonts w:ascii="Times New Roman" w:hAnsi="Times New Roman" w:cs="Times New Roman"/>
          <w:sz w:val="24"/>
          <w:szCs w:val="24"/>
          <w:lang/>
        </w:rPr>
      </w:pPr>
    </w:p>
    <w:p w:rsidR="0057644C" w:rsidRPr="00BB312B" w:rsidRDefault="0057644C" w:rsidP="0057644C">
      <w:pPr>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Табела </w:t>
      </w:r>
      <w:r w:rsidRPr="00BB312B">
        <w:rPr>
          <w:rFonts w:ascii="Times New Roman" w:hAnsi="Times New Roman" w:cs="Times New Roman"/>
          <w:sz w:val="24"/>
          <w:szCs w:val="24"/>
          <w:lang/>
        </w:rPr>
        <w:t>7: Приоритет за унапређење у програмској политици</w:t>
      </w:r>
    </w:p>
    <w:tbl>
      <w:tblPr>
        <w:tblStyle w:val="GridTable4-Accent11"/>
        <w:tblW w:w="9351" w:type="dxa"/>
        <w:tblLook w:val="04A0"/>
      </w:tblPr>
      <w:tblGrid>
        <w:gridCol w:w="8217"/>
        <w:gridCol w:w="1134"/>
      </w:tblGrid>
      <w:tr w:rsidR="0057644C" w:rsidRPr="00BB312B" w:rsidTr="000606DF">
        <w:trPr>
          <w:cnfStyle w:val="100000000000"/>
        </w:trPr>
        <w:tc>
          <w:tcPr>
            <w:cnfStyle w:val="001000000000"/>
            <w:tcW w:w="8217" w:type="dxa"/>
          </w:tcPr>
          <w:p w:rsidR="0057644C" w:rsidRPr="00B219A4" w:rsidRDefault="0057644C" w:rsidP="000606DF">
            <w:pPr>
              <w:autoSpaceDE w:val="0"/>
              <w:autoSpaceDN w:val="0"/>
              <w:adjustRightInd w:val="0"/>
              <w:spacing w:line="276" w:lineRule="auto"/>
              <w:jc w:val="both"/>
              <w:rPr>
                <w:b w:val="0"/>
                <w:lang/>
              </w:rPr>
            </w:pPr>
            <w:r w:rsidRPr="00B219A4">
              <w:rPr>
                <w:b w:val="0"/>
                <w:lang/>
              </w:rPr>
              <w:t>Програми</w:t>
            </w:r>
          </w:p>
        </w:tc>
        <w:tc>
          <w:tcPr>
            <w:tcW w:w="1134" w:type="dxa"/>
          </w:tcPr>
          <w:p w:rsidR="0057644C" w:rsidRPr="00B219A4" w:rsidRDefault="0057644C" w:rsidP="000606DF">
            <w:pPr>
              <w:autoSpaceDE w:val="0"/>
              <w:autoSpaceDN w:val="0"/>
              <w:adjustRightInd w:val="0"/>
              <w:spacing w:line="276" w:lineRule="auto"/>
              <w:jc w:val="center"/>
              <w:cnfStyle w:val="100000000000"/>
              <w:rPr>
                <w:lang/>
              </w:rPr>
            </w:pPr>
            <w:r w:rsidRPr="00B219A4">
              <w:rPr>
                <w:lang/>
              </w:rPr>
              <w:t>%</w:t>
            </w:r>
          </w:p>
        </w:tc>
      </w:tr>
      <w:tr w:rsidR="0057644C" w:rsidRPr="00BB312B" w:rsidTr="000606DF">
        <w:trPr>
          <w:cnfStyle w:val="000000100000"/>
        </w:trPr>
        <w:tc>
          <w:tcPr>
            <w:cnfStyle w:val="001000000000"/>
            <w:tcW w:w="8217" w:type="dxa"/>
          </w:tcPr>
          <w:p w:rsidR="0057644C" w:rsidRPr="00B219A4" w:rsidRDefault="0057644C" w:rsidP="000606DF">
            <w:pPr>
              <w:spacing w:line="276" w:lineRule="auto"/>
              <w:jc w:val="both"/>
            </w:pPr>
            <w:r w:rsidRPr="00B219A4">
              <w:t>више програма за младе</w:t>
            </w:r>
          </w:p>
        </w:tc>
        <w:tc>
          <w:tcPr>
            <w:tcW w:w="1134" w:type="dxa"/>
          </w:tcPr>
          <w:p w:rsidR="0057644C" w:rsidRPr="00B219A4" w:rsidRDefault="0057644C" w:rsidP="000606DF">
            <w:pPr>
              <w:spacing w:line="276" w:lineRule="auto"/>
              <w:jc w:val="center"/>
              <w:cnfStyle w:val="000000100000"/>
            </w:pPr>
            <w:r w:rsidRPr="00B219A4">
              <w:t>18.6</w:t>
            </w:r>
          </w:p>
        </w:tc>
      </w:tr>
      <w:tr w:rsidR="0057644C" w:rsidRPr="00BB312B" w:rsidTr="000606DF">
        <w:tc>
          <w:tcPr>
            <w:cnfStyle w:val="001000000000"/>
            <w:tcW w:w="8217" w:type="dxa"/>
          </w:tcPr>
          <w:p w:rsidR="0057644C" w:rsidRPr="00B219A4" w:rsidRDefault="0057644C" w:rsidP="000606DF">
            <w:pPr>
              <w:spacing w:line="276" w:lineRule="auto"/>
              <w:jc w:val="both"/>
            </w:pPr>
            <w:r w:rsidRPr="00B219A4">
              <w:t>континуитет пројеката/програма (стратешка програмска политика)</w:t>
            </w:r>
          </w:p>
        </w:tc>
        <w:tc>
          <w:tcPr>
            <w:tcW w:w="1134" w:type="dxa"/>
          </w:tcPr>
          <w:p w:rsidR="0057644C" w:rsidRPr="00B219A4" w:rsidRDefault="0057644C" w:rsidP="000606DF">
            <w:pPr>
              <w:spacing w:line="276" w:lineRule="auto"/>
              <w:jc w:val="center"/>
              <w:cnfStyle w:val="000000000000"/>
            </w:pPr>
            <w:r w:rsidRPr="00B219A4">
              <w:t>18.6</w:t>
            </w:r>
          </w:p>
        </w:tc>
      </w:tr>
      <w:tr w:rsidR="0057644C" w:rsidRPr="00BB312B" w:rsidTr="000606DF">
        <w:trPr>
          <w:cnfStyle w:val="000000100000"/>
          <w:trHeight w:val="325"/>
        </w:trPr>
        <w:tc>
          <w:tcPr>
            <w:cnfStyle w:val="001000000000"/>
            <w:tcW w:w="8217" w:type="dxa"/>
          </w:tcPr>
          <w:p w:rsidR="0057644C" w:rsidRPr="00B219A4" w:rsidRDefault="0057644C" w:rsidP="000606DF">
            <w:pPr>
              <w:spacing w:line="276" w:lineRule="auto"/>
              <w:jc w:val="both"/>
            </w:pPr>
            <w:r w:rsidRPr="00B219A4">
              <w:t>истраживања мишљења публике</w:t>
            </w:r>
          </w:p>
        </w:tc>
        <w:tc>
          <w:tcPr>
            <w:tcW w:w="1134" w:type="dxa"/>
          </w:tcPr>
          <w:p w:rsidR="0057644C" w:rsidRPr="00B219A4" w:rsidRDefault="0057644C" w:rsidP="000606DF">
            <w:pPr>
              <w:spacing w:line="276" w:lineRule="auto"/>
              <w:jc w:val="center"/>
              <w:cnfStyle w:val="000000100000"/>
            </w:pPr>
            <w:r w:rsidRPr="00B219A4">
              <w:t>14.0</w:t>
            </w:r>
          </w:p>
        </w:tc>
      </w:tr>
      <w:tr w:rsidR="0057644C" w:rsidRPr="00BB312B" w:rsidTr="000606DF">
        <w:tc>
          <w:tcPr>
            <w:cnfStyle w:val="001000000000"/>
            <w:tcW w:w="8217" w:type="dxa"/>
          </w:tcPr>
          <w:p w:rsidR="0057644C" w:rsidRPr="00B219A4" w:rsidRDefault="0057644C" w:rsidP="000606DF">
            <w:pPr>
              <w:spacing w:line="276" w:lineRule="auto"/>
              <w:jc w:val="both"/>
            </w:pPr>
            <w:r w:rsidRPr="00B219A4">
              <w:t>већи број програма генерално</w:t>
            </w:r>
          </w:p>
        </w:tc>
        <w:tc>
          <w:tcPr>
            <w:tcW w:w="1134" w:type="dxa"/>
          </w:tcPr>
          <w:p w:rsidR="0057644C" w:rsidRPr="00B219A4" w:rsidRDefault="0057644C" w:rsidP="000606DF">
            <w:pPr>
              <w:spacing w:line="276" w:lineRule="auto"/>
              <w:jc w:val="center"/>
              <w:cnfStyle w:val="000000000000"/>
            </w:pPr>
            <w:r w:rsidRPr="00B219A4">
              <w:t>11.6</w:t>
            </w:r>
          </w:p>
        </w:tc>
      </w:tr>
      <w:tr w:rsidR="0057644C" w:rsidRPr="00BB312B" w:rsidTr="000606DF">
        <w:trPr>
          <w:cnfStyle w:val="000000100000"/>
        </w:trPr>
        <w:tc>
          <w:tcPr>
            <w:cnfStyle w:val="001000000000"/>
            <w:tcW w:w="8217" w:type="dxa"/>
          </w:tcPr>
          <w:p w:rsidR="0057644C" w:rsidRPr="00B219A4" w:rsidRDefault="0057644C" w:rsidP="000606DF">
            <w:pPr>
              <w:spacing w:line="276" w:lineRule="auto"/>
              <w:jc w:val="both"/>
            </w:pPr>
            <w:r w:rsidRPr="00B219A4">
              <w:t>више иновативних програма</w:t>
            </w:r>
          </w:p>
        </w:tc>
        <w:tc>
          <w:tcPr>
            <w:tcW w:w="1134" w:type="dxa"/>
          </w:tcPr>
          <w:p w:rsidR="0057644C" w:rsidRPr="00B219A4" w:rsidRDefault="0057644C" w:rsidP="000606DF">
            <w:pPr>
              <w:spacing w:line="276" w:lineRule="auto"/>
              <w:jc w:val="center"/>
              <w:cnfStyle w:val="000000100000"/>
            </w:pPr>
            <w:r w:rsidRPr="00B219A4">
              <w:t>11.6</w:t>
            </w:r>
          </w:p>
        </w:tc>
      </w:tr>
      <w:tr w:rsidR="0057644C" w:rsidRPr="00BB312B" w:rsidTr="000606DF">
        <w:tc>
          <w:tcPr>
            <w:cnfStyle w:val="001000000000"/>
            <w:tcW w:w="8217" w:type="dxa"/>
          </w:tcPr>
          <w:p w:rsidR="0057644C" w:rsidRPr="00B219A4" w:rsidRDefault="0057644C" w:rsidP="000606DF">
            <w:pPr>
              <w:spacing w:line="276" w:lineRule="auto"/>
              <w:jc w:val="both"/>
            </w:pPr>
            <w:r w:rsidRPr="00B219A4">
              <w:t>већа доступност садржаја у дигиталном окружењу</w:t>
            </w:r>
          </w:p>
        </w:tc>
        <w:tc>
          <w:tcPr>
            <w:tcW w:w="1134" w:type="dxa"/>
          </w:tcPr>
          <w:p w:rsidR="0057644C" w:rsidRPr="00B219A4" w:rsidRDefault="0057644C" w:rsidP="000606DF">
            <w:pPr>
              <w:spacing w:line="276" w:lineRule="auto"/>
              <w:jc w:val="center"/>
              <w:cnfStyle w:val="000000000000"/>
            </w:pPr>
            <w:r w:rsidRPr="00B219A4">
              <w:t>7.0</w:t>
            </w:r>
          </w:p>
        </w:tc>
      </w:tr>
      <w:tr w:rsidR="0057644C" w:rsidRPr="00BB312B" w:rsidTr="000606DF">
        <w:trPr>
          <w:cnfStyle w:val="000000100000"/>
        </w:trPr>
        <w:tc>
          <w:tcPr>
            <w:cnfStyle w:val="001000000000"/>
            <w:tcW w:w="8217" w:type="dxa"/>
          </w:tcPr>
          <w:p w:rsidR="0057644C" w:rsidRPr="00B219A4" w:rsidRDefault="0057644C" w:rsidP="000606DF">
            <w:pPr>
              <w:spacing w:line="276" w:lineRule="auto"/>
              <w:jc w:val="both"/>
            </w:pPr>
            <w:r w:rsidRPr="00B219A4">
              <w:t>већа програмска разноврсност</w:t>
            </w:r>
          </w:p>
        </w:tc>
        <w:tc>
          <w:tcPr>
            <w:tcW w:w="1134" w:type="dxa"/>
          </w:tcPr>
          <w:p w:rsidR="0057644C" w:rsidRPr="00B219A4" w:rsidRDefault="0057644C" w:rsidP="000606DF">
            <w:pPr>
              <w:spacing w:line="276" w:lineRule="auto"/>
              <w:jc w:val="center"/>
              <w:cnfStyle w:val="000000100000"/>
            </w:pPr>
            <w:r w:rsidRPr="00B219A4">
              <w:t>7.0</w:t>
            </w:r>
          </w:p>
        </w:tc>
      </w:tr>
      <w:tr w:rsidR="0057644C" w:rsidRPr="00BB312B" w:rsidTr="000606DF">
        <w:tc>
          <w:tcPr>
            <w:cnfStyle w:val="001000000000"/>
            <w:tcW w:w="8217" w:type="dxa"/>
          </w:tcPr>
          <w:p w:rsidR="0057644C" w:rsidRPr="00B219A4" w:rsidRDefault="0057644C" w:rsidP="000606DF">
            <w:pPr>
              <w:spacing w:line="276" w:lineRule="auto"/>
              <w:jc w:val="both"/>
            </w:pPr>
            <w:r w:rsidRPr="00B219A4">
              <w:t>излазак са програмима у јавне просторе</w:t>
            </w:r>
          </w:p>
        </w:tc>
        <w:tc>
          <w:tcPr>
            <w:tcW w:w="1134" w:type="dxa"/>
          </w:tcPr>
          <w:p w:rsidR="0057644C" w:rsidRPr="00B219A4" w:rsidRDefault="0057644C" w:rsidP="000606DF">
            <w:pPr>
              <w:spacing w:line="276" w:lineRule="auto"/>
              <w:jc w:val="center"/>
              <w:cnfStyle w:val="000000000000"/>
            </w:pPr>
            <w:r w:rsidRPr="00B219A4">
              <w:t>4.7</w:t>
            </w:r>
          </w:p>
        </w:tc>
      </w:tr>
      <w:tr w:rsidR="0057644C" w:rsidRPr="00BB312B" w:rsidTr="000606DF">
        <w:trPr>
          <w:cnfStyle w:val="000000100000"/>
        </w:trPr>
        <w:tc>
          <w:tcPr>
            <w:cnfStyle w:val="001000000000"/>
            <w:tcW w:w="8217" w:type="dxa"/>
          </w:tcPr>
          <w:p w:rsidR="0057644C" w:rsidRPr="00B219A4" w:rsidRDefault="0057644C" w:rsidP="000606DF">
            <w:pPr>
              <w:spacing w:line="276" w:lineRule="auto"/>
              <w:jc w:val="both"/>
            </w:pPr>
            <w:r w:rsidRPr="00B219A4">
              <w:t>више програма за децу</w:t>
            </w:r>
          </w:p>
        </w:tc>
        <w:tc>
          <w:tcPr>
            <w:tcW w:w="1134" w:type="dxa"/>
          </w:tcPr>
          <w:p w:rsidR="0057644C" w:rsidRPr="00B219A4" w:rsidRDefault="0057644C" w:rsidP="000606DF">
            <w:pPr>
              <w:spacing w:line="276" w:lineRule="auto"/>
              <w:jc w:val="center"/>
              <w:cnfStyle w:val="000000100000"/>
            </w:pPr>
            <w:r w:rsidRPr="00B219A4">
              <w:t>2.3</w:t>
            </w:r>
          </w:p>
        </w:tc>
      </w:tr>
      <w:tr w:rsidR="0057644C" w:rsidRPr="00BB312B" w:rsidTr="000606DF">
        <w:tc>
          <w:tcPr>
            <w:cnfStyle w:val="001000000000"/>
            <w:tcW w:w="8217" w:type="dxa"/>
          </w:tcPr>
          <w:p w:rsidR="0057644C" w:rsidRPr="00B219A4" w:rsidRDefault="0057644C" w:rsidP="000606DF">
            <w:pPr>
              <w:spacing w:line="276" w:lineRule="auto"/>
              <w:jc w:val="both"/>
            </w:pPr>
            <w:r w:rsidRPr="00B219A4">
              <w:t>више едукативних радионица и курсева</w:t>
            </w:r>
          </w:p>
        </w:tc>
        <w:tc>
          <w:tcPr>
            <w:tcW w:w="1134" w:type="dxa"/>
          </w:tcPr>
          <w:p w:rsidR="0057644C" w:rsidRPr="00B219A4" w:rsidRDefault="0057644C" w:rsidP="000606DF">
            <w:pPr>
              <w:spacing w:line="276" w:lineRule="auto"/>
              <w:jc w:val="center"/>
              <w:cnfStyle w:val="000000000000"/>
            </w:pPr>
            <w:r w:rsidRPr="00B219A4">
              <w:t>2.3</w:t>
            </w:r>
          </w:p>
        </w:tc>
      </w:tr>
    </w:tbl>
    <w:p w:rsidR="0057644C" w:rsidRDefault="0057644C" w:rsidP="0057644C">
      <w:pPr>
        <w:spacing w:after="0"/>
        <w:jc w:val="both"/>
        <w:rPr>
          <w:rFonts w:ascii="Times New Roman" w:hAnsi="Times New Roman" w:cs="Times New Roman"/>
          <w:sz w:val="24"/>
          <w:szCs w:val="24"/>
          <w:lang/>
        </w:rPr>
      </w:pPr>
    </w:p>
    <w:p w:rsidR="0057644C" w:rsidRPr="00B219A4" w:rsidRDefault="0057644C" w:rsidP="0057644C">
      <w:pPr>
        <w:ind w:firstLine="720"/>
        <w:jc w:val="both"/>
        <w:rPr>
          <w:rFonts w:ascii="Times New Roman" w:hAnsi="Times New Roman" w:cs="Times New Roman"/>
          <w:sz w:val="24"/>
          <w:szCs w:val="24"/>
          <w:lang/>
        </w:rPr>
      </w:pPr>
      <w:r>
        <w:rPr>
          <w:rFonts w:ascii="Times New Roman" w:hAnsi="Times New Roman" w:cs="Times New Roman"/>
          <w:sz w:val="24"/>
          <w:szCs w:val="24"/>
          <w:lang/>
        </w:rPr>
        <w:t>Као што се</w:t>
      </w:r>
      <w:r w:rsidRPr="00BB312B">
        <w:rPr>
          <w:rFonts w:ascii="Times New Roman" w:hAnsi="Times New Roman" w:cs="Times New Roman"/>
          <w:sz w:val="24"/>
          <w:szCs w:val="24"/>
          <w:lang/>
        </w:rPr>
        <w:t xml:space="preserve"> </w:t>
      </w:r>
      <w:r>
        <w:rPr>
          <w:rFonts w:ascii="Times New Roman" w:hAnsi="Times New Roman" w:cs="Times New Roman"/>
          <w:sz w:val="24"/>
          <w:szCs w:val="24"/>
          <w:lang/>
        </w:rPr>
        <w:t>може видети у Т</w:t>
      </w:r>
      <w:r w:rsidRPr="00BB312B">
        <w:rPr>
          <w:rFonts w:ascii="Times New Roman" w:hAnsi="Times New Roman" w:cs="Times New Roman"/>
          <w:sz w:val="24"/>
          <w:szCs w:val="24"/>
          <w:lang/>
        </w:rPr>
        <w:t>абли</w:t>
      </w:r>
      <w:r>
        <w:rPr>
          <w:rFonts w:ascii="Times New Roman" w:hAnsi="Times New Roman" w:cs="Times New Roman"/>
          <w:sz w:val="24"/>
          <w:szCs w:val="24"/>
          <w:lang/>
        </w:rPr>
        <w:t xml:space="preserve"> 7</w:t>
      </w:r>
      <w:r w:rsidRPr="00BB312B">
        <w:rPr>
          <w:rFonts w:ascii="Times New Roman" w:hAnsi="Times New Roman" w:cs="Times New Roman"/>
          <w:b/>
          <w:sz w:val="24"/>
          <w:szCs w:val="24"/>
          <w:lang/>
        </w:rPr>
        <w:t xml:space="preserve">, </w:t>
      </w:r>
      <w:r w:rsidRPr="00B219A4">
        <w:rPr>
          <w:rFonts w:ascii="Times New Roman" w:hAnsi="Times New Roman" w:cs="Times New Roman"/>
          <w:sz w:val="24"/>
          <w:szCs w:val="24"/>
          <w:lang/>
        </w:rPr>
        <w:t xml:space="preserve">на првом месту су како обезбеђивање континуитета у реализацији одређених програма и пројеката, тако и увођење више програма за младе. На другом месту је унапређење истраживања мишљења публике, док треће место на листи приоритета заузимају увођење више иновативних програма али и већег броја програма генерално.  </w:t>
      </w:r>
      <w:r>
        <w:rPr>
          <w:rFonts w:ascii="Times New Roman" w:hAnsi="Times New Roman" w:cs="Times New Roman"/>
          <w:sz w:val="24"/>
          <w:szCs w:val="24"/>
          <w:lang/>
        </w:rPr>
        <w:t>Најмањи број за</w:t>
      </w:r>
      <w:r w:rsidRPr="00B219A4">
        <w:rPr>
          <w:rFonts w:ascii="Times New Roman" w:hAnsi="Times New Roman" w:cs="Times New Roman"/>
          <w:sz w:val="24"/>
          <w:szCs w:val="24"/>
          <w:lang/>
        </w:rPr>
        <w:t>по</w:t>
      </w:r>
      <w:r>
        <w:rPr>
          <w:rFonts w:ascii="Times New Roman" w:hAnsi="Times New Roman" w:cs="Times New Roman"/>
          <w:sz w:val="24"/>
          <w:szCs w:val="24"/>
          <w:lang/>
        </w:rPr>
        <w:t>с</w:t>
      </w:r>
      <w:r w:rsidRPr="00B219A4">
        <w:rPr>
          <w:rFonts w:ascii="Times New Roman" w:hAnsi="Times New Roman" w:cs="Times New Roman"/>
          <w:sz w:val="24"/>
          <w:szCs w:val="24"/>
          <w:lang/>
        </w:rPr>
        <w:t>лених, по 2.3%, је одабрало више едукативних радионица и курсева и више програма за децу као приоритет број један за унапређење програма.</w:t>
      </w:r>
    </w:p>
    <w:p w:rsidR="0057644C" w:rsidRDefault="0057644C" w:rsidP="0057644C">
      <w:pPr>
        <w:autoSpaceDE w:val="0"/>
        <w:autoSpaceDN w:val="0"/>
        <w:adjustRightInd w:val="0"/>
        <w:spacing w:after="0"/>
        <w:ind w:firstLine="360"/>
        <w:jc w:val="both"/>
        <w:rPr>
          <w:rFonts w:ascii="Times New Roman" w:hAnsi="Times New Roman" w:cs="Times New Roman"/>
          <w:sz w:val="24"/>
          <w:szCs w:val="24"/>
          <w:lang/>
        </w:rPr>
      </w:pPr>
      <w:r>
        <w:rPr>
          <w:rFonts w:ascii="Times New Roman" w:hAnsi="Times New Roman" w:cs="Times New Roman"/>
          <w:sz w:val="24"/>
          <w:szCs w:val="24"/>
          <w:lang/>
        </w:rPr>
        <w:t xml:space="preserve">Када се ови приоритети сагледају према установама културе у Сомбору, примећују се извесне разлике: </w:t>
      </w:r>
    </w:p>
    <w:p w:rsidR="0057644C" w:rsidRPr="00344D21" w:rsidRDefault="0057644C" w:rsidP="00B03CD2">
      <w:pPr>
        <w:pStyle w:val="ListParagraph"/>
        <w:numPr>
          <w:ilvl w:val="0"/>
          <w:numId w:val="37"/>
        </w:numPr>
        <w:autoSpaceDE w:val="0"/>
        <w:autoSpaceDN w:val="0"/>
        <w:adjustRightInd w:val="0"/>
        <w:spacing w:after="0" w:line="276" w:lineRule="auto"/>
        <w:jc w:val="both"/>
        <w:rPr>
          <w:rFonts w:ascii="Times New Roman" w:hAnsi="Times New Roman" w:cs="Times New Roman"/>
          <w:sz w:val="24"/>
          <w:szCs w:val="24"/>
          <w:lang/>
        </w:rPr>
      </w:pPr>
      <w:r w:rsidRPr="00344D21">
        <w:rPr>
          <w:rFonts w:ascii="Times New Roman" w:hAnsi="Times New Roman" w:cs="Times New Roman"/>
          <w:sz w:val="24"/>
          <w:szCs w:val="24"/>
          <w:lang/>
        </w:rPr>
        <w:t>Градски музеј Сомбор – континуитет програма/пројеката, односно стратешка програмска политика</w:t>
      </w:r>
    </w:p>
    <w:p w:rsidR="0057644C" w:rsidRPr="00BB312B" w:rsidRDefault="0057644C" w:rsidP="00B03CD2">
      <w:pPr>
        <w:pStyle w:val="ListParagraph"/>
        <w:numPr>
          <w:ilvl w:val="0"/>
          <w:numId w:val="28"/>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Галерија </w:t>
      </w:r>
      <w:r>
        <w:rPr>
          <w:rFonts w:ascii="Times New Roman" w:hAnsi="Times New Roman" w:cs="Times New Roman"/>
          <w:sz w:val="24"/>
          <w:szCs w:val="24"/>
          <w:lang/>
        </w:rPr>
        <w:t>„</w:t>
      </w:r>
      <w:r w:rsidRPr="00BB312B">
        <w:rPr>
          <w:rFonts w:ascii="Times New Roman" w:hAnsi="Times New Roman" w:cs="Times New Roman"/>
          <w:sz w:val="24"/>
          <w:szCs w:val="24"/>
          <w:lang/>
        </w:rPr>
        <w:t>Милан Коњовић</w:t>
      </w:r>
      <w:r>
        <w:rPr>
          <w:rFonts w:ascii="Times New Roman" w:hAnsi="Times New Roman" w:cs="Times New Roman"/>
          <w:sz w:val="24"/>
          <w:szCs w:val="24"/>
          <w:lang/>
        </w:rPr>
        <w:t>“</w:t>
      </w:r>
      <w:r w:rsidRPr="00BB312B">
        <w:rPr>
          <w:rFonts w:ascii="Times New Roman" w:hAnsi="Times New Roman" w:cs="Times New Roman"/>
          <w:sz w:val="24"/>
          <w:szCs w:val="24"/>
          <w:lang/>
        </w:rPr>
        <w:t xml:space="preserve"> – већа доступност садржаја у дигиталном окружењу</w:t>
      </w:r>
    </w:p>
    <w:p w:rsidR="0057644C" w:rsidRPr="00BB312B" w:rsidRDefault="0057644C" w:rsidP="00B03CD2">
      <w:pPr>
        <w:pStyle w:val="ListParagraph"/>
        <w:numPr>
          <w:ilvl w:val="0"/>
          <w:numId w:val="28"/>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Културни центар </w:t>
      </w:r>
      <w:r>
        <w:rPr>
          <w:rFonts w:ascii="Times New Roman" w:hAnsi="Times New Roman" w:cs="Times New Roman"/>
          <w:sz w:val="24"/>
          <w:szCs w:val="24"/>
          <w:lang/>
        </w:rPr>
        <w:t>„</w:t>
      </w:r>
      <w:r w:rsidRPr="00BB312B">
        <w:rPr>
          <w:rFonts w:ascii="Times New Roman" w:hAnsi="Times New Roman" w:cs="Times New Roman"/>
          <w:sz w:val="24"/>
          <w:szCs w:val="24"/>
          <w:lang/>
        </w:rPr>
        <w:t>Лаза Костић</w:t>
      </w:r>
      <w:r>
        <w:rPr>
          <w:rFonts w:ascii="Times New Roman" w:hAnsi="Times New Roman" w:cs="Times New Roman"/>
          <w:sz w:val="24"/>
          <w:szCs w:val="24"/>
          <w:lang/>
        </w:rPr>
        <w:t>“</w:t>
      </w:r>
      <w:r w:rsidRPr="00BB312B">
        <w:rPr>
          <w:rFonts w:ascii="Times New Roman" w:hAnsi="Times New Roman" w:cs="Times New Roman"/>
          <w:sz w:val="24"/>
          <w:szCs w:val="24"/>
          <w:lang/>
        </w:rPr>
        <w:t xml:space="preserve"> – више програма за младе</w:t>
      </w:r>
    </w:p>
    <w:p w:rsidR="0057644C" w:rsidRPr="00BB312B" w:rsidRDefault="0057644C" w:rsidP="00B03CD2">
      <w:pPr>
        <w:pStyle w:val="ListParagraph"/>
        <w:numPr>
          <w:ilvl w:val="0"/>
          <w:numId w:val="28"/>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Историјски архив Сомбор  - већи број програма генерално</w:t>
      </w:r>
    </w:p>
    <w:p w:rsidR="0057644C" w:rsidRPr="00BB312B" w:rsidRDefault="0057644C" w:rsidP="00B03CD2">
      <w:pPr>
        <w:pStyle w:val="ListParagraph"/>
        <w:numPr>
          <w:ilvl w:val="0"/>
          <w:numId w:val="28"/>
        </w:numPr>
        <w:autoSpaceDE w:val="0"/>
        <w:autoSpaceDN w:val="0"/>
        <w:adjustRightInd w:val="0"/>
        <w:spacing w:after="0" w:line="276" w:lineRule="auto"/>
        <w:jc w:val="both"/>
        <w:rPr>
          <w:rFonts w:ascii="Times New Roman" w:hAnsi="Times New Roman" w:cs="Times New Roman"/>
          <w:sz w:val="24"/>
          <w:szCs w:val="24"/>
          <w:lang/>
        </w:rPr>
      </w:pPr>
      <w:r>
        <w:rPr>
          <w:rFonts w:ascii="Times New Roman" w:hAnsi="Times New Roman" w:cs="Times New Roman"/>
          <w:sz w:val="24"/>
          <w:szCs w:val="24"/>
          <w:lang/>
        </w:rPr>
        <w:t>Народно позориште С</w:t>
      </w:r>
      <w:r w:rsidRPr="00BB312B">
        <w:rPr>
          <w:rFonts w:ascii="Times New Roman" w:hAnsi="Times New Roman" w:cs="Times New Roman"/>
          <w:sz w:val="24"/>
          <w:szCs w:val="24"/>
          <w:lang/>
        </w:rPr>
        <w:t>омбор</w:t>
      </w:r>
      <w:r>
        <w:rPr>
          <w:rFonts w:ascii="Times New Roman" w:hAnsi="Times New Roman" w:cs="Times New Roman"/>
          <w:sz w:val="24"/>
          <w:szCs w:val="24"/>
          <w:lang/>
        </w:rPr>
        <w:t xml:space="preserve"> – </w:t>
      </w:r>
      <w:r w:rsidRPr="00BB312B">
        <w:rPr>
          <w:rFonts w:ascii="Times New Roman" w:hAnsi="Times New Roman" w:cs="Times New Roman"/>
          <w:sz w:val="24"/>
          <w:szCs w:val="24"/>
          <w:lang/>
        </w:rPr>
        <w:t>готово све области подједнако приоритетне</w:t>
      </w:r>
    </w:p>
    <w:p w:rsidR="0057644C" w:rsidRPr="00BB312B" w:rsidRDefault="0057644C" w:rsidP="00B03CD2">
      <w:pPr>
        <w:pStyle w:val="ListParagraph"/>
        <w:numPr>
          <w:ilvl w:val="0"/>
          <w:numId w:val="28"/>
        </w:numPr>
        <w:autoSpaceDE w:val="0"/>
        <w:autoSpaceDN w:val="0"/>
        <w:adjustRightInd w:val="0"/>
        <w:spacing w:after="0" w:line="276" w:lineRule="auto"/>
        <w:jc w:val="both"/>
        <w:rPr>
          <w:rFonts w:ascii="Times New Roman" w:hAnsi="Times New Roman" w:cs="Times New Roman"/>
          <w:sz w:val="24"/>
          <w:szCs w:val="24"/>
          <w:lang/>
        </w:rPr>
      </w:pPr>
      <w:r>
        <w:rPr>
          <w:rFonts w:ascii="Times New Roman" w:hAnsi="Times New Roman" w:cs="Times New Roman"/>
          <w:sz w:val="24"/>
          <w:szCs w:val="24"/>
          <w:lang/>
        </w:rPr>
        <w:t>Градска библиотека „Карло Би</w:t>
      </w:r>
      <w:r w:rsidRPr="00BB312B">
        <w:rPr>
          <w:rFonts w:ascii="Times New Roman" w:hAnsi="Times New Roman" w:cs="Times New Roman"/>
          <w:sz w:val="24"/>
          <w:szCs w:val="24"/>
          <w:lang/>
        </w:rPr>
        <w:t>јелицки</w:t>
      </w:r>
      <w:r>
        <w:rPr>
          <w:rFonts w:ascii="Times New Roman" w:hAnsi="Times New Roman" w:cs="Times New Roman"/>
          <w:sz w:val="24"/>
          <w:szCs w:val="24"/>
          <w:lang/>
        </w:rPr>
        <w:t>“</w:t>
      </w:r>
      <w:r w:rsidRPr="00BB312B">
        <w:rPr>
          <w:rFonts w:ascii="Times New Roman" w:hAnsi="Times New Roman" w:cs="Times New Roman"/>
          <w:sz w:val="24"/>
          <w:szCs w:val="24"/>
          <w:lang/>
        </w:rPr>
        <w:t xml:space="preserve"> – истраживање мишљења публике</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E65E49" w:rsidRDefault="00E65E49" w:rsidP="0057644C">
      <w:pPr>
        <w:autoSpaceDE w:val="0"/>
        <w:autoSpaceDN w:val="0"/>
        <w:adjustRightInd w:val="0"/>
        <w:spacing w:after="0"/>
        <w:jc w:val="both"/>
        <w:rPr>
          <w:rFonts w:ascii="Times New Roman" w:hAnsi="Times New Roman" w:cs="Times New Roman"/>
          <w:sz w:val="24"/>
          <w:szCs w:val="24"/>
          <w:lang/>
        </w:rPr>
      </w:pPr>
    </w:p>
    <w:p w:rsidR="00E65E49" w:rsidRPr="00BB312B" w:rsidRDefault="00E65E49" w:rsidP="0057644C">
      <w:pPr>
        <w:autoSpaceDE w:val="0"/>
        <w:autoSpaceDN w:val="0"/>
        <w:adjustRightInd w:val="0"/>
        <w:spacing w:after="0"/>
        <w:jc w:val="both"/>
        <w:rPr>
          <w:rFonts w:ascii="Times New Roman" w:hAnsi="Times New Roman" w:cs="Times New Roman"/>
          <w:sz w:val="24"/>
          <w:szCs w:val="24"/>
          <w:lang/>
        </w:rPr>
      </w:pPr>
    </w:p>
    <w:p w:rsidR="0057644C" w:rsidRPr="00E65E49" w:rsidRDefault="0057644C" w:rsidP="00E65E49">
      <w:pPr>
        <w:pStyle w:val="Heading3"/>
        <w:rPr>
          <w:i/>
        </w:rPr>
      </w:pPr>
      <w:bookmarkStart w:id="66" w:name="_Toc27958778"/>
      <w:bookmarkStart w:id="67" w:name="_Toc36072329"/>
      <w:r w:rsidRPr="00E65E49">
        <w:rPr>
          <w:i/>
        </w:rPr>
        <w:t>2.</w:t>
      </w:r>
      <w:r w:rsidR="00E65E49">
        <w:rPr>
          <w:i/>
          <w:lang/>
        </w:rPr>
        <w:t>4</w:t>
      </w:r>
      <w:r w:rsidRPr="00E65E49">
        <w:rPr>
          <w:i/>
        </w:rPr>
        <w:t>.3. Одржавање програма ван установе</w:t>
      </w:r>
      <w:bookmarkEnd w:id="66"/>
      <w:bookmarkEnd w:id="67"/>
    </w:p>
    <w:p w:rsidR="0057644C" w:rsidRPr="00BB312B" w:rsidRDefault="0057644C" w:rsidP="0057644C">
      <w:pPr>
        <w:spacing w:after="0"/>
        <w:jc w:val="both"/>
        <w:rPr>
          <w:rFonts w:ascii="Times New Roman" w:hAnsi="Times New Roman" w:cs="Times New Roman"/>
          <w:sz w:val="24"/>
          <w:szCs w:val="24"/>
        </w:rPr>
      </w:pPr>
    </w:p>
    <w:p w:rsidR="0057644C" w:rsidRDefault="0057644C" w:rsidP="0057644C">
      <w:pPr>
        <w:ind w:firstLine="720"/>
        <w:jc w:val="both"/>
        <w:rPr>
          <w:rFonts w:ascii="Times New Roman" w:hAnsi="Times New Roman" w:cs="Times New Roman"/>
          <w:sz w:val="24"/>
          <w:szCs w:val="24"/>
          <w:lang/>
        </w:rPr>
      </w:pPr>
      <w:r w:rsidRPr="00344D21">
        <w:rPr>
          <w:rFonts w:ascii="Times New Roman" w:hAnsi="Times New Roman" w:cs="Times New Roman"/>
          <w:sz w:val="24"/>
          <w:szCs w:val="24"/>
          <w:lang/>
        </w:rPr>
        <w:t>Једно од питања постављено културним посленицима Сомбора се односило и на одржавање културних програма ван простора установа културе. Испитанци су имали могућност вишеструког одговора, односно да об</w:t>
      </w:r>
      <w:r>
        <w:rPr>
          <w:rFonts w:ascii="Times New Roman" w:hAnsi="Times New Roman" w:cs="Times New Roman"/>
          <w:sz w:val="24"/>
          <w:szCs w:val="24"/>
          <w:lang/>
        </w:rPr>
        <w:t>е</w:t>
      </w:r>
      <w:r w:rsidRPr="00344D21">
        <w:rPr>
          <w:rFonts w:ascii="Times New Roman" w:hAnsi="Times New Roman" w:cs="Times New Roman"/>
          <w:sz w:val="24"/>
          <w:szCs w:val="24"/>
          <w:lang/>
        </w:rPr>
        <w:t>леже све наведене понуђене локације/просторе где сматрају да би програми требало да се одржавају. Иако се</w:t>
      </w:r>
      <w:r>
        <w:rPr>
          <w:rFonts w:ascii="Times New Roman" w:hAnsi="Times New Roman" w:cs="Times New Roman"/>
          <w:sz w:val="24"/>
          <w:szCs w:val="24"/>
          <w:lang/>
        </w:rPr>
        <w:t xml:space="preserve"> 23,</w:t>
      </w:r>
      <w:r w:rsidRPr="00344D21">
        <w:rPr>
          <w:rFonts w:ascii="Times New Roman" w:hAnsi="Times New Roman" w:cs="Times New Roman"/>
          <w:sz w:val="24"/>
          <w:szCs w:val="24"/>
          <w:lang/>
        </w:rPr>
        <w:t>8% испитаника изјаснило да програми установа не треба да се одржавају у другим просторима, највећи бр</w:t>
      </w:r>
      <w:r>
        <w:rPr>
          <w:rFonts w:ascii="Times New Roman" w:hAnsi="Times New Roman" w:cs="Times New Roman"/>
          <w:sz w:val="24"/>
          <w:szCs w:val="24"/>
          <w:lang/>
        </w:rPr>
        <w:t>ој испитаника, 40,</w:t>
      </w:r>
      <w:r w:rsidRPr="00344D21">
        <w:rPr>
          <w:rFonts w:ascii="Times New Roman" w:hAnsi="Times New Roman" w:cs="Times New Roman"/>
          <w:sz w:val="24"/>
          <w:szCs w:val="24"/>
          <w:lang/>
        </w:rPr>
        <w:t xml:space="preserve">5% </w:t>
      </w:r>
      <w:r>
        <w:rPr>
          <w:rFonts w:ascii="Times New Roman" w:hAnsi="Times New Roman" w:cs="Times New Roman"/>
          <w:sz w:val="24"/>
          <w:szCs w:val="24"/>
          <w:lang/>
        </w:rPr>
        <w:t>сматра</w:t>
      </w:r>
      <w:r w:rsidRPr="00344D21">
        <w:rPr>
          <w:rFonts w:ascii="Times New Roman" w:hAnsi="Times New Roman" w:cs="Times New Roman"/>
          <w:sz w:val="24"/>
          <w:szCs w:val="24"/>
          <w:lang/>
        </w:rPr>
        <w:t xml:space="preserve"> да би програми требало да се одржавају у објектима културног наслеђа (дворцима, верским објектима и сл.)</w:t>
      </w:r>
      <w:r>
        <w:rPr>
          <w:rFonts w:ascii="Times New Roman" w:hAnsi="Times New Roman" w:cs="Times New Roman"/>
          <w:sz w:val="24"/>
          <w:szCs w:val="24"/>
          <w:lang/>
        </w:rPr>
        <w:t xml:space="preserve">. </w:t>
      </w:r>
      <w:r w:rsidRPr="00344D21">
        <w:rPr>
          <w:rFonts w:ascii="Times New Roman" w:hAnsi="Times New Roman" w:cs="Times New Roman"/>
          <w:sz w:val="24"/>
          <w:szCs w:val="24"/>
          <w:lang/>
        </w:rPr>
        <w:t>На другом месту су школе, а треће место деле улице и паркови и околна насељена места. Зграда Жупаније као простор где би се могли одржавати културни програми такође има висок удео одговора (око четвртина испитаника је одабрало ову опцију)</w:t>
      </w:r>
      <w:r w:rsidR="00296F54">
        <w:rPr>
          <w:rFonts w:ascii="Times New Roman" w:hAnsi="Times New Roman" w:cs="Times New Roman"/>
          <w:sz w:val="24"/>
          <w:szCs w:val="24"/>
          <w:lang/>
        </w:rPr>
        <w:t>.</w:t>
      </w:r>
    </w:p>
    <w:p w:rsidR="0057644C" w:rsidRDefault="0057644C" w:rsidP="0057644C">
      <w:pPr>
        <w:spacing w:after="0"/>
        <w:jc w:val="both"/>
        <w:rPr>
          <w:rFonts w:ascii="Times New Roman" w:hAnsi="Times New Roman" w:cs="Times New Roman"/>
          <w:sz w:val="24"/>
          <w:szCs w:val="24"/>
          <w:lang/>
        </w:rPr>
      </w:pPr>
      <w:r>
        <w:rPr>
          <w:rFonts w:ascii="Times New Roman" w:hAnsi="Times New Roman" w:cs="Times New Roman"/>
          <w:sz w:val="24"/>
          <w:szCs w:val="24"/>
          <w:lang/>
        </w:rPr>
        <w:t>Табела 8: Могућност одржавања културних програма ван простора установа културе</w:t>
      </w:r>
    </w:p>
    <w:tbl>
      <w:tblPr>
        <w:tblStyle w:val="GridTable4-Accent11"/>
        <w:tblW w:w="9260" w:type="dxa"/>
        <w:tblLook w:val="04A0"/>
      </w:tblPr>
      <w:tblGrid>
        <w:gridCol w:w="6614"/>
        <w:gridCol w:w="1323"/>
        <w:gridCol w:w="1323"/>
      </w:tblGrid>
      <w:tr w:rsidR="0057644C" w:rsidRPr="00BB312B" w:rsidTr="000606DF">
        <w:trPr>
          <w:cnfStyle w:val="100000000000"/>
          <w:trHeight w:val="234"/>
        </w:trPr>
        <w:tc>
          <w:tcPr>
            <w:cnfStyle w:val="001000000000"/>
            <w:tcW w:w="6614" w:type="dxa"/>
          </w:tcPr>
          <w:p w:rsidR="0057644C" w:rsidRPr="004011FA" w:rsidRDefault="0057644C" w:rsidP="000606DF">
            <w:pPr>
              <w:spacing w:line="276" w:lineRule="auto"/>
              <w:jc w:val="center"/>
              <w:rPr>
                <w:lang/>
              </w:rPr>
            </w:pPr>
            <w:r>
              <w:rPr>
                <w:lang/>
              </w:rPr>
              <w:t>Други простори за одржавање културних програма</w:t>
            </w:r>
          </w:p>
        </w:tc>
        <w:tc>
          <w:tcPr>
            <w:tcW w:w="1323" w:type="dxa"/>
          </w:tcPr>
          <w:p w:rsidR="0057644C" w:rsidRPr="00B87E3B" w:rsidRDefault="0057644C" w:rsidP="000606DF">
            <w:pPr>
              <w:jc w:val="center"/>
              <w:cnfStyle w:val="100000000000"/>
              <w:rPr>
                <w:lang/>
              </w:rPr>
            </w:pPr>
            <w:r>
              <w:rPr>
                <w:lang/>
              </w:rPr>
              <w:t>%</w:t>
            </w:r>
          </w:p>
        </w:tc>
        <w:tc>
          <w:tcPr>
            <w:tcW w:w="1323" w:type="dxa"/>
          </w:tcPr>
          <w:p w:rsidR="0057644C" w:rsidRPr="00B87E3B" w:rsidRDefault="0057644C" w:rsidP="000606DF">
            <w:pPr>
              <w:spacing w:line="276" w:lineRule="auto"/>
              <w:jc w:val="center"/>
              <w:cnfStyle w:val="100000000000"/>
              <w:rPr>
                <w:lang/>
              </w:rPr>
            </w:pPr>
            <w:r>
              <w:rPr>
                <w:lang/>
              </w:rPr>
              <w:t>% случајева</w:t>
            </w:r>
          </w:p>
        </w:tc>
      </w:tr>
      <w:tr w:rsidR="0057644C" w:rsidRPr="00BB312B" w:rsidTr="000606DF">
        <w:trPr>
          <w:cnfStyle w:val="000000100000"/>
          <w:trHeight w:val="266"/>
        </w:trPr>
        <w:tc>
          <w:tcPr>
            <w:cnfStyle w:val="001000000000"/>
            <w:tcW w:w="6614" w:type="dxa"/>
          </w:tcPr>
          <w:p w:rsidR="0057644C" w:rsidRPr="00EA770A" w:rsidRDefault="0057644C" w:rsidP="000606DF">
            <w:r w:rsidRPr="00EA770A">
              <w:t>објекти културног наслеђа (дворци, верски објекти...)</w:t>
            </w:r>
          </w:p>
        </w:tc>
        <w:tc>
          <w:tcPr>
            <w:tcW w:w="1323" w:type="dxa"/>
          </w:tcPr>
          <w:p w:rsidR="0057644C" w:rsidRPr="001D1E22" w:rsidRDefault="0057644C" w:rsidP="000606DF">
            <w:pPr>
              <w:jc w:val="center"/>
              <w:cnfStyle w:val="000000100000"/>
            </w:pPr>
            <w:r w:rsidRPr="001D1E22">
              <w:t>20.5%</w:t>
            </w:r>
          </w:p>
        </w:tc>
        <w:tc>
          <w:tcPr>
            <w:tcW w:w="1323" w:type="dxa"/>
          </w:tcPr>
          <w:p w:rsidR="0057644C" w:rsidRPr="00AF6A9F" w:rsidRDefault="0057644C" w:rsidP="000606DF">
            <w:pPr>
              <w:jc w:val="center"/>
              <w:cnfStyle w:val="000000100000"/>
            </w:pPr>
            <w:r w:rsidRPr="00AF6A9F">
              <w:t>40.5%</w:t>
            </w:r>
          </w:p>
        </w:tc>
      </w:tr>
      <w:tr w:rsidR="0057644C" w:rsidRPr="00BB312B" w:rsidTr="000606DF">
        <w:trPr>
          <w:trHeight w:val="266"/>
        </w:trPr>
        <w:tc>
          <w:tcPr>
            <w:cnfStyle w:val="001000000000"/>
            <w:tcW w:w="6614" w:type="dxa"/>
          </w:tcPr>
          <w:p w:rsidR="0057644C" w:rsidRPr="00EA770A" w:rsidRDefault="0057644C" w:rsidP="000606DF">
            <w:r>
              <w:t>ш</w:t>
            </w:r>
            <w:r w:rsidRPr="00EA770A">
              <w:t>коле</w:t>
            </w:r>
          </w:p>
        </w:tc>
        <w:tc>
          <w:tcPr>
            <w:tcW w:w="1323" w:type="dxa"/>
          </w:tcPr>
          <w:p w:rsidR="0057644C" w:rsidRPr="001D1E22" w:rsidRDefault="0057644C" w:rsidP="000606DF">
            <w:pPr>
              <w:jc w:val="center"/>
              <w:cnfStyle w:val="000000000000"/>
            </w:pPr>
            <w:r w:rsidRPr="001D1E22">
              <w:t>15.7%</w:t>
            </w:r>
          </w:p>
        </w:tc>
        <w:tc>
          <w:tcPr>
            <w:tcW w:w="1323" w:type="dxa"/>
          </w:tcPr>
          <w:p w:rsidR="0057644C" w:rsidRPr="00AF6A9F" w:rsidRDefault="0057644C" w:rsidP="000606DF">
            <w:pPr>
              <w:jc w:val="center"/>
              <w:cnfStyle w:val="000000000000"/>
            </w:pPr>
            <w:r w:rsidRPr="00AF6A9F">
              <w:t>31.0%</w:t>
            </w:r>
          </w:p>
        </w:tc>
      </w:tr>
      <w:tr w:rsidR="0057644C" w:rsidRPr="00BB312B" w:rsidTr="000606DF">
        <w:trPr>
          <w:cnfStyle w:val="000000100000"/>
          <w:trHeight w:val="282"/>
        </w:trPr>
        <w:tc>
          <w:tcPr>
            <w:cnfStyle w:val="001000000000"/>
            <w:tcW w:w="6614" w:type="dxa"/>
          </w:tcPr>
          <w:p w:rsidR="0057644C" w:rsidRPr="00EA770A" w:rsidRDefault="0057644C" w:rsidP="000606DF">
            <w:r w:rsidRPr="00EA770A">
              <w:t>улице и паркови</w:t>
            </w:r>
          </w:p>
        </w:tc>
        <w:tc>
          <w:tcPr>
            <w:tcW w:w="1323" w:type="dxa"/>
          </w:tcPr>
          <w:p w:rsidR="0057644C" w:rsidRPr="001D1E22" w:rsidRDefault="0057644C" w:rsidP="000606DF">
            <w:pPr>
              <w:jc w:val="center"/>
              <w:cnfStyle w:val="000000100000"/>
            </w:pPr>
            <w:r w:rsidRPr="001D1E22">
              <w:t>14.5%</w:t>
            </w:r>
          </w:p>
        </w:tc>
        <w:tc>
          <w:tcPr>
            <w:tcW w:w="1323" w:type="dxa"/>
          </w:tcPr>
          <w:p w:rsidR="0057644C" w:rsidRPr="00AF6A9F" w:rsidRDefault="0057644C" w:rsidP="000606DF">
            <w:pPr>
              <w:jc w:val="center"/>
              <w:cnfStyle w:val="000000100000"/>
            </w:pPr>
            <w:r w:rsidRPr="00AF6A9F">
              <w:t>28.6%</w:t>
            </w:r>
          </w:p>
        </w:tc>
      </w:tr>
      <w:tr w:rsidR="0057644C" w:rsidRPr="00BB312B" w:rsidTr="000606DF">
        <w:trPr>
          <w:trHeight w:val="266"/>
        </w:trPr>
        <w:tc>
          <w:tcPr>
            <w:cnfStyle w:val="001000000000"/>
            <w:tcW w:w="6614" w:type="dxa"/>
          </w:tcPr>
          <w:p w:rsidR="0057644C" w:rsidRPr="00EA770A" w:rsidRDefault="0057644C" w:rsidP="000606DF">
            <w:r w:rsidRPr="00EA770A">
              <w:t>околна насељена места</w:t>
            </w:r>
          </w:p>
        </w:tc>
        <w:tc>
          <w:tcPr>
            <w:tcW w:w="1323" w:type="dxa"/>
          </w:tcPr>
          <w:p w:rsidR="0057644C" w:rsidRPr="001D1E22" w:rsidRDefault="0057644C" w:rsidP="000606DF">
            <w:pPr>
              <w:jc w:val="center"/>
              <w:cnfStyle w:val="000000000000"/>
            </w:pPr>
            <w:r w:rsidRPr="001D1E22">
              <w:t>14.5%</w:t>
            </w:r>
          </w:p>
        </w:tc>
        <w:tc>
          <w:tcPr>
            <w:tcW w:w="1323" w:type="dxa"/>
          </w:tcPr>
          <w:p w:rsidR="0057644C" w:rsidRPr="00AF6A9F" w:rsidRDefault="0057644C" w:rsidP="000606DF">
            <w:pPr>
              <w:jc w:val="center"/>
              <w:cnfStyle w:val="000000000000"/>
            </w:pPr>
            <w:r w:rsidRPr="00AF6A9F">
              <w:t>28.6%</w:t>
            </w:r>
          </w:p>
        </w:tc>
      </w:tr>
      <w:tr w:rsidR="0057644C" w:rsidRPr="00BB312B" w:rsidTr="000606DF">
        <w:trPr>
          <w:cnfStyle w:val="000000100000"/>
          <w:trHeight w:val="266"/>
        </w:trPr>
        <w:tc>
          <w:tcPr>
            <w:cnfStyle w:val="001000000000"/>
            <w:tcW w:w="6614" w:type="dxa"/>
          </w:tcPr>
          <w:p w:rsidR="0057644C" w:rsidRPr="00EA770A" w:rsidRDefault="0057644C" w:rsidP="000606DF">
            <w:r w:rsidRPr="00EA770A">
              <w:t>зграда Жупаније</w:t>
            </w:r>
          </w:p>
        </w:tc>
        <w:tc>
          <w:tcPr>
            <w:tcW w:w="1323" w:type="dxa"/>
          </w:tcPr>
          <w:p w:rsidR="0057644C" w:rsidRPr="001D1E22" w:rsidRDefault="0057644C" w:rsidP="000606DF">
            <w:pPr>
              <w:jc w:val="center"/>
              <w:cnfStyle w:val="000000100000"/>
            </w:pPr>
            <w:r w:rsidRPr="001D1E22">
              <w:t>12.0%</w:t>
            </w:r>
          </w:p>
        </w:tc>
        <w:tc>
          <w:tcPr>
            <w:tcW w:w="1323" w:type="dxa"/>
          </w:tcPr>
          <w:p w:rsidR="0057644C" w:rsidRPr="00AF6A9F" w:rsidRDefault="0057644C" w:rsidP="000606DF">
            <w:pPr>
              <w:jc w:val="center"/>
              <w:cnfStyle w:val="000000100000"/>
            </w:pPr>
            <w:r w:rsidRPr="00AF6A9F">
              <w:t>23.8%</w:t>
            </w:r>
          </w:p>
        </w:tc>
      </w:tr>
      <w:tr w:rsidR="0057644C" w:rsidRPr="00BB312B" w:rsidTr="000606DF">
        <w:trPr>
          <w:trHeight w:val="282"/>
        </w:trPr>
        <w:tc>
          <w:tcPr>
            <w:cnfStyle w:val="001000000000"/>
            <w:tcW w:w="6614" w:type="dxa"/>
          </w:tcPr>
          <w:p w:rsidR="0057644C" w:rsidRPr="00EA770A" w:rsidRDefault="0057644C" w:rsidP="000606DF">
            <w:r w:rsidRPr="00EA770A">
              <w:t>програми установе не треба да се одржавају у другим просторима</w:t>
            </w:r>
          </w:p>
        </w:tc>
        <w:tc>
          <w:tcPr>
            <w:tcW w:w="1323" w:type="dxa"/>
          </w:tcPr>
          <w:p w:rsidR="0057644C" w:rsidRPr="001D1E22" w:rsidRDefault="0057644C" w:rsidP="000606DF">
            <w:pPr>
              <w:jc w:val="center"/>
              <w:cnfStyle w:val="000000000000"/>
            </w:pPr>
            <w:r w:rsidRPr="001D1E22">
              <w:t>12.0%</w:t>
            </w:r>
          </w:p>
        </w:tc>
        <w:tc>
          <w:tcPr>
            <w:tcW w:w="1323" w:type="dxa"/>
          </w:tcPr>
          <w:p w:rsidR="0057644C" w:rsidRPr="00AF6A9F" w:rsidRDefault="0057644C" w:rsidP="000606DF">
            <w:pPr>
              <w:jc w:val="center"/>
              <w:cnfStyle w:val="000000000000"/>
            </w:pPr>
            <w:r w:rsidRPr="00AF6A9F">
              <w:t>23.8%</w:t>
            </w:r>
          </w:p>
        </w:tc>
      </w:tr>
      <w:tr w:rsidR="0057644C" w:rsidRPr="00BB312B" w:rsidTr="000606DF">
        <w:trPr>
          <w:cnfStyle w:val="000000100000"/>
          <w:trHeight w:val="266"/>
        </w:trPr>
        <w:tc>
          <w:tcPr>
            <w:cnfStyle w:val="001000000000"/>
            <w:tcW w:w="6614" w:type="dxa"/>
          </w:tcPr>
          <w:p w:rsidR="0057644C" w:rsidRPr="00EA770A" w:rsidRDefault="0057644C" w:rsidP="000606DF">
            <w:r>
              <w:t>к</w:t>
            </w:r>
            <w:r w:rsidRPr="00EA770A">
              <w:t>њижаре</w:t>
            </w:r>
          </w:p>
        </w:tc>
        <w:tc>
          <w:tcPr>
            <w:tcW w:w="1323" w:type="dxa"/>
          </w:tcPr>
          <w:p w:rsidR="0057644C" w:rsidRPr="001D1E22" w:rsidRDefault="0057644C" w:rsidP="000606DF">
            <w:pPr>
              <w:jc w:val="center"/>
              <w:cnfStyle w:val="000000100000"/>
            </w:pPr>
            <w:r w:rsidRPr="001D1E22">
              <w:t>4.8%</w:t>
            </w:r>
          </w:p>
        </w:tc>
        <w:tc>
          <w:tcPr>
            <w:tcW w:w="1323" w:type="dxa"/>
          </w:tcPr>
          <w:p w:rsidR="0057644C" w:rsidRPr="00AF6A9F" w:rsidRDefault="0057644C" w:rsidP="000606DF">
            <w:pPr>
              <w:jc w:val="center"/>
              <w:cnfStyle w:val="000000100000"/>
            </w:pPr>
            <w:r w:rsidRPr="00AF6A9F">
              <w:t>9.5%</w:t>
            </w:r>
          </w:p>
        </w:tc>
      </w:tr>
      <w:tr w:rsidR="0057644C" w:rsidRPr="00BB312B" w:rsidTr="000606DF">
        <w:trPr>
          <w:trHeight w:val="266"/>
        </w:trPr>
        <w:tc>
          <w:tcPr>
            <w:cnfStyle w:val="001000000000"/>
            <w:tcW w:w="6614" w:type="dxa"/>
          </w:tcPr>
          <w:p w:rsidR="0057644C" w:rsidRPr="00EA770A" w:rsidRDefault="0057644C" w:rsidP="000606DF">
            <w:r w:rsidRPr="00EA770A">
              <w:t>кафићи и ресторани</w:t>
            </w:r>
          </w:p>
        </w:tc>
        <w:tc>
          <w:tcPr>
            <w:tcW w:w="1323" w:type="dxa"/>
          </w:tcPr>
          <w:p w:rsidR="0057644C" w:rsidRPr="001D1E22" w:rsidRDefault="0057644C" w:rsidP="000606DF">
            <w:pPr>
              <w:jc w:val="center"/>
              <w:cnfStyle w:val="000000000000"/>
            </w:pPr>
            <w:r w:rsidRPr="001D1E22">
              <w:t>3.6%</w:t>
            </w:r>
          </w:p>
        </w:tc>
        <w:tc>
          <w:tcPr>
            <w:tcW w:w="1323" w:type="dxa"/>
          </w:tcPr>
          <w:p w:rsidR="0057644C" w:rsidRPr="00AF6A9F" w:rsidRDefault="0057644C" w:rsidP="000606DF">
            <w:pPr>
              <w:jc w:val="center"/>
              <w:cnfStyle w:val="000000000000"/>
            </w:pPr>
            <w:r w:rsidRPr="00AF6A9F">
              <w:t>7.1%</w:t>
            </w:r>
          </w:p>
        </w:tc>
      </w:tr>
      <w:tr w:rsidR="0057644C" w:rsidRPr="00BB312B" w:rsidTr="000606DF">
        <w:trPr>
          <w:cnfStyle w:val="000000100000"/>
          <w:trHeight w:val="183"/>
        </w:trPr>
        <w:tc>
          <w:tcPr>
            <w:cnfStyle w:val="001000000000"/>
            <w:tcW w:w="6614" w:type="dxa"/>
          </w:tcPr>
          <w:p w:rsidR="0057644C" w:rsidRPr="00EA770A" w:rsidRDefault="0057644C" w:rsidP="000606DF">
            <w:r>
              <w:t>стадиони и спортске хале</w:t>
            </w:r>
          </w:p>
        </w:tc>
        <w:tc>
          <w:tcPr>
            <w:tcW w:w="1323" w:type="dxa"/>
          </w:tcPr>
          <w:p w:rsidR="0057644C" w:rsidRDefault="0057644C" w:rsidP="000606DF">
            <w:pPr>
              <w:jc w:val="center"/>
              <w:cnfStyle w:val="000000100000"/>
            </w:pPr>
            <w:r w:rsidRPr="001D1E22">
              <w:t>1.2%</w:t>
            </w:r>
          </w:p>
        </w:tc>
        <w:tc>
          <w:tcPr>
            <w:tcW w:w="1323" w:type="dxa"/>
          </w:tcPr>
          <w:p w:rsidR="0057644C" w:rsidRDefault="0057644C" w:rsidP="000606DF">
            <w:pPr>
              <w:jc w:val="center"/>
              <w:cnfStyle w:val="000000100000"/>
            </w:pPr>
            <w:r w:rsidRPr="00AF6A9F">
              <w:t>2.4%</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Нема већих варијација у одговорима према установама, већ и појединачно пра</w:t>
      </w:r>
      <w:r>
        <w:rPr>
          <w:rFonts w:ascii="Times New Roman" w:hAnsi="Times New Roman" w:cs="Times New Roman"/>
          <w:sz w:val="24"/>
          <w:szCs w:val="24"/>
          <w:lang/>
        </w:rPr>
        <w:t xml:space="preserve">те горе наведени ранг одговара. </w:t>
      </w:r>
    </w:p>
    <w:p w:rsidR="00040615" w:rsidRPr="00BB312B" w:rsidRDefault="00040615" w:rsidP="0057644C">
      <w:pPr>
        <w:autoSpaceDE w:val="0"/>
        <w:autoSpaceDN w:val="0"/>
        <w:adjustRightInd w:val="0"/>
        <w:spacing w:after="0"/>
        <w:ind w:firstLine="720"/>
        <w:jc w:val="both"/>
        <w:rPr>
          <w:rFonts w:ascii="Times New Roman" w:hAnsi="Times New Roman" w:cs="Times New Roman"/>
          <w:sz w:val="24"/>
          <w:szCs w:val="24"/>
        </w:rPr>
      </w:pPr>
    </w:p>
    <w:p w:rsidR="0057644C" w:rsidRPr="00040615" w:rsidRDefault="0057644C" w:rsidP="00040615">
      <w:pPr>
        <w:pStyle w:val="Heading3"/>
        <w:rPr>
          <w:i/>
        </w:rPr>
      </w:pPr>
      <w:bookmarkStart w:id="68" w:name="_Toc27958779"/>
      <w:bookmarkStart w:id="69" w:name="_Toc36072330"/>
      <w:r w:rsidRPr="00040615">
        <w:rPr>
          <w:i/>
        </w:rPr>
        <w:t>2.</w:t>
      </w:r>
      <w:r w:rsidR="00040615">
        <w:rPr>
          <w:i/>
          <w:lang/>
        </w:rPr>
        <w:t>4</w:t>
      </w:r>
      <w:r w:rsidRPr="00040615">
        <w:rPr>
          <w:i/>
        </w:rPr>
        <w:t>.4 Маркетинг и промоција</w:t>
      </w:r>
      <w:bookmarkEnd w:id="68"/>
      <w:bookmarkEnd w:id="69"/>
      <w:r w:rsidRPr="00040615">
        <w:rPr>
          <w:i/>
        </w:rPr>
        <w:tab/>
      </w:r>
    </w:p>
    <w:p w:rsidR="0057644C" w:rsidRDefault="0057644C" w:rsidP="0057644C">
      <w:pPr>
        <w:spacing w:after="0" w:line="240" w:lineRule="auto"/>
        <w:jc w:val="both"/>
        <w:rPr>
          <w:rFonts w:ascii="Times New Roman" w:hAnsi="Times New Roman" w:cs="Times New Roman"/>
          <w:sz w:val="24"/>
          <w:szCs w:val="24"/>
        </w:rPr>
      </w:pPr>
    </w:p>
    <w:p w:rsidR="0057644C" w:rsidRDefault="0057644C" w:rsidP="0057644C">
      <w:pPr>
        <w:ind w:firstLine="720"/>
        <w:jc w:val="both"/>
        <w:rPr>
          <w:rFonts w:ascii="Times New Roman" w:hAnsi="Times New Roman" w:cs="Times New Roman"/>
          <w:sz w:val="24"/>
          <w:szCs w:val="24"/>
          <w:lang/>
        </w:rPr>
      </w:pPr>
      <w:r>
        <w:rPr>
          <w:rFonts w:ascii="Times New Roman" w:hAnsi="Times New Roman" w:cs="Times New Roman"/>
          <w:sz w:val="24"/>
          <w:szCs w:val="24"/>
          <w:lang/>
        </w:rPr>
        <w:t>Као што је већ напоменуто</w:t>
      </w:r>
      <w:r w:rsidRPr="00BB312B">
        <w:rPr>
          <w:rFonts w:ascii="Times New Roman" w:hAnsi="Times New Roman" w:cs="Times New Roman"/>
          <w:sz w:val="24"/>
          <w:szCs w:val="24"/>
          <w:lang/>
        </w:rPr>
        <w:t xml:space="preserve">, запослени су маркетинг и промоцију својих установа оценили просечном оценом од </w:t>
      </w:r>
      <w:r w:rsidRPr="00BB312B">
        <w:rPr>
          <w:rFonts w:ascii="Times New Roman" w:hAnsi="Times New Roman" w:cs="Times New Roman"/>
          <w:sz w:val="24"/>
          <w:szCs w:val="24"/>
        </w:rPr>
        <w:t xml:space="preserve">3.42, што индикује да </w:t>
      </w:r>
      <w:r>
        <w:rPr>
          <w:rFonts w:ascii="Times New Roman" w:hAnsi="Times New Roman" w:cs="Times New Roman"/>
          <w:sz w:val="24"/>
          <w:szCs w:val="24"/>
          <w:lang/>
        </w:rPr>
        <w:t xml:space="preserve">постоји простор </w:t>
      </w:r>
      <w:r w:rsidRPr="00BB312B">
        <w:rPr>
          <w:rFonts w:ascii="Times New Roman" w:hAnsi="Times New Roman" w:cs="Times New Roman"/>
          <w:sz w:val="24"/>
          <w:szCs w:val="24"/>
        </w:rPr>
        <w:t xml:space="preserve">за унапређење те области </w:t>
      </w:r>
      <w:r>
        <w:rPr>
          <w:rFonts w:ascii="Times New Roman" w:hAnsi="Times New Roman" w:cs="Times New Roman"/>
          <w:sz w:val="24"/>
          <w:szCs w:val="24"/>
          <w:lang/>
        </w:rPr>
        <w:t xml:space="preserve">у </w:t>
      </w:r>
      <w:r w:rsidRPr="00BB312B">
        <w:rPr>
          <w:rFonts w:ascii="Times New Roman" w:hAnsi="Times New Roman" w:cs="Times New Roman"/>
          <w:sz w:val="24"/>
          <w:szCs w:val="24"/>
        </w:rPr>
        <w:t>установа</w:t>
      </w:r>
      <w:r>
        <w:rPr>
          <w:rFonts w:ascii="Times New Roman" w:hAnsi="Times New Roman" w:cs="Times New Roman"/>
          <w:sz w:val="24"/>
          <w:szCs w:val="24"/>
          <w:lang/>
        </w:rPr>
        <w:t>ма</w:t>
      </w:r>
      <w:r w:rsidRPr="00BB312B">
        <w:rPr>
          <w:rFonts w:ascii="Times New Roman" w:hAnsi="Times New Roman" w:cs="Times New Roman"/>
          <w:sz w:val="24"/>
          <w:szCs w:val="24"/>
        </w:rPr>
        <w:t xml:space="preserve"> културе. </w:t>
      </w:r>
      <w:r w:rsidRPr="00BB312B">
        <w:rPr>
          <w:rFonts w:ascii="Times New Roman" w:hAnsi="Times New Roman" w:cs="Times New Roman"/>
          <w:sz w:val="24"/>
          <w:szCs w:val="24"/>
          <w:lang/>
        </w:rPr>
        <w:t xml:space="preserve">Стога </w:t>
      </w:r>
      <w:r>
        <w:rPr>
          <w:rFonts w:ascii="Times New Roman" w:hAnsi="Times New Roman" w:cs="Times New Roman"/>
          <w:sz w:val="24"/>
          <w:szCs w:val="24"/>
          <w:lang/>
        </w:rPr>
        <w:t>је запосленима постављено</w:t>
      </w:r>
      <w:r w:rsidRPr="00BB312B">
        <w:rPr>
          <w:rFonts w:ascii="Times New Roman" w:hAnsi="Times New Roman" w:cs="Times New Roman"/>
          <w:sz w:val="24"/>
          <w:szCs w:val="24"/>
          <w:lang/>
        </w:rPr>
        <w:t xml:space="preserve"> питање које врсте реклама/промоција највише недостају у промотивним активностима установа</w:t>
      </w:r>
      <w:r>
        <w:rPr>
          <w:rFonts w:ascii="Times New Roman" w:hAnsi="Times New Roman" w:cs="Times New Roman"/>
          <w:sz w:val="24"/>
          <w:szCs w:val="24"/>
          <w:lang/>
        </w:rPr>
        <w:t xml:space="preserve"> културе</w:t>
      </w:r>
      <w:r w:rsidRPr="00BB312B">
        <w:rPr>
          <w:rFonts w:ascii="Times New Roman" w:hAnsi="Times New Roman" w:cs="Times New Roman"/>
          <w:sz w:val="24"/>
          <w:szCs w:val="24"/>
          <w:lang/>
        </w:rPr>
        <w:t xml:space="preserve">. </w:t>
      </w:r>
      <w:r w:rsidRPr="00660BAF">
        <w:rPr>
          <w:rFonts w:ascii="Times New Roman" w:hAnsi="Times New Roman" w:cs="Times New Roman"/>
          <w:sz w:val="24"/>
          <w:szCs w:val="24"/>
          <w:lang/>
        </w:rPr>
        <w:t>На првом месту су апликација</w:t>
      </w:r>
      <w:r>
        <w:rPr>
          <w:rFonts w:ascii="Times New Roman" w:hAnsi="Times New Roman" w:cs="Times New Roman"/>
          <w:sz w:val="24"/>
          <w:szCs w:val="24"/>
          <w:lang/>
        </w:rPr>
        <w:t xml:space="preserve"> о култури за мобилне телефоне, </w:t>
      </w:r>
      <w:r w:rsidRPr="00660BAF">
        <w:rPr>
          <w:rFonts w:ascii="Times New Roman" w:hAnsi="Times New Roman" w:cs="Times New Roman"/>
          <w:sz w:val="24"/>
          <w:szCs w:val="24"/>
          <w:lang/>
        </w:rPr>
        <w:t>следе најаве на националном и покрајинском телевизијском јавном сервису,</w:t>
      </w:r>
      <w:r>
        <w:rPr>
          <w:rFonts w:ascii="Times New Roman" w:hAnsi="Times New Roman" w:cs="Times New Roman"/>
          <w:sz w:val="24"/>
          <w:szCs w:val="24"/>
          <w:lang/>
        </w:rPr>
        <w:t xml:space="preserve"> </w:t>
      </w:r>
      <w:r w:rsidRPr="00660BAF">
        <w:rPr>
          <w:rFonts w:ascii="Times New Roman" w:hAnsi="Times New Roman" w:cs="Times New Roman"/>
          <w:sz w:val="24"/>
          <w:szCs w:val="24"/>
          <w:lang/>
        </w:rPr>
        <w:t>у штампаним медијима који се читају широм земље. Поред конкретних предлога, висок удео има о</w:t>
      </w:r>
      <w:r>
        <w:rPr>
          <w:rFonts w:ascii="Times New Roman" w:hAnsi="Times New Roman" w:cs="Times New Roman"/>
          <w:sz w:val="24"/>
          <w:szCs w:val="24"/>
          <w:lang/>
        </w:rPr>
        <w:t>дговор да је тренутна промоци</w:t>
      </w:r>
      <w:r w:rsidRPr="00660BAF">
        <w:rPr>
          <w:rFonts w:ascii="Times New Roman" w:hAnsi="Times New Roman" w:cs="Times New Roman"/>
          <w:sz w:val="24"/>
          <w:szCs w:val="24"/>
          <w:lang/>
        </w:rPr>
        <w:t>ја сасвим одговарајућа, са ч</w:t>
      </w:r>
      <w:r>
        <w:rPr>
          <w:rFonts w:ascii="Times New Roman" w:hAnsi="Times New Roman" w:cs="Times New Roman"/>
          <w:sz w:val="24"/>
          <w:szCs w:val="24"/>
          <w:lang/>
        </w:rPr>
        <w:t>им се сложило 25,</w:t>
      </w:r>
      <w:r w:rsidRPr="00660BAF">
        <w:rPr>
          <w:rFonts w:ascii="Times New Roman" w:hAnsi="Times New Roman" w:cs="Times New Roman"/>
          <w:sz w:val="24"/>
          <w:szCs w:val="24"/>
          <w:lang/>
        </w:rPr>
        <w:t xml:space="preserve">6% испитаника. </w:t>
      </w:r>
    </w:p>
    <w:p w:rsidR="00D33C02" w:rsidRDefault="00D33C02" w:rsidP="0057644C">
      <w:pPr>
        <w:spacing w:after="0"/>
        <w:jc w:val="both"/>
        <w:rPr>
          <w:rFonts w:ascii="Times New Roman" w:hAnsi="Times New Roman" w:cs="Times New Roman"/>
          <w:sz w:val="24"/>
          <w:szCs w:val="24"/>
          <w:lang/>
        </w:rPr>
      </w:pPr>
    </w:p>
    <w:p w:rsidR="00D33C02" w:rsidRDefault="00D33C02" w:rsidP="0057644C">
      <w:pPr>
        <w:spacing w:after="0"/>
        <w:jc w:val="both"/>
        <w:rPr>
          <w:rFonts w:ascii="Times New Roman" w:hAnsi="Times New Roman" w:cs="Times New Roman"/>
          <w:sz w:val="24"/>
          <w:szCs w:val="24"/>
          <w:lang/>
        </w:rPr>
      </w:pPr>
    </w:p>
    <w:p w:rsidR="00D33C02" w:rsidRDefault="00D33C02" w:rsidP="0057644C">
      <w:pPr>
        <w:spacing w:after="0"/>
        <w:jc w:val="both"/>
        <w:rPr>
          <w:rFonts w:ascii="Times New Roman" w:hAnsi="Times New Roman" w:cs="Times New Roman"/>
          <w:sz w:val="24"/>
          <w:szCs w:val="24"/>
          <w:lang/>
        </w:rPr>
      </w:pPr>
    </w:p>
    <w:p w:rsidR="00D33C02" w:rsidRDefault="00D33C02" w:rsidP="0057644C">
      <w:pPr>
        <w:spacing w:after="0"/>
        <w:jc w:val="both"/>
        <w:rPr>
          <w:rFonts w:ascii="Times New Roman" w:hAnsi="Times New Roman" w:cs="Times New Roman"/>
          <w:sz w:val="24"/>
          <w:szCs w:val="24"/>
          <w:lang/>
        </w:rPr>
      </w:pPr>
    </w:p>
    <w:p w:rsidR="00D33C02" w:rsidRDefault="00D33C02" w:rsidP="0057644C">
      <w:pPr>
        <w:spacing w:after="0"/>
        <w:jc w:val="both"/>
        <w:rPr>
          <w:rFonts w:ascii="Times New Roman" w:hAnsi="Times New Roman" w:cs="Times New Roman"/>
          <w:sz w:val="24"/>
          <w:szCs w:val="24"/>
          <w:lang/>
        </w:rPr>
      </w:pPr>
    </w:p>
    <w:p w:rsidR="0057644C" w:rsidRDefault="0057644C" w:rsidP="0057644C">
      <w:pPr>
        <w:spacing w:after="0"/>
        <w:jc w:val="both"/>
        <w:rPr>
          <w:rFonts w:ascii="Times New Roman" w:hAnsi="Times New Roman" w:cs="Times New Roman"/>
          <w:sz w:val="24"/>
          <w:szCs w:val="24"/>
          <w:lang/>
        </w:rPr>
      </w:pPr>
      <w:r>
        <w:rPr>
          <w:rFonts w:ascii="Times New Roman" w:hAnsi="Times New Roman" w:cs="Times New Roman"/>
          <w:sz w:val="24"/>
          <w:szCs w:val="24"/>
          <w:lang/>
        </w:rPr>
        <w:t>Табела 9: Које врсте промоције недостају у промотивним активностима установа културе</w:t>
      </w:r>
    </w:p>
    <w:tbl>
      <w:tblPr>
        <w:tblStyle w:val="GridTable4-Accent11"/>
        <w:tblW w:w="9260" w:type="dxa"/>
        <w:tblLook w:val="04A0"/>
      </w:tblPr>
      <w:tblGrid>
        <w:gridCol w:w="7083"/>
        <w:gridCol w:w="854"/>
        <w:gridCol w:w="1323"/>
      </w:tblGrid>
      <w:tr w:rsidR="0057644C" w:rsidRPr="00BB312B" w:rsidTr="000606DF">
        <w:trPr>
          <w:cnfStyle w:val="100000000000"/>
          <w:trHeight w:val="329"/>
        </w:trPr>
        <w:tc>
          <w:tcPr>
            <w:cnfStyle w:val="001000000000"/>
            <w:tcW w:w="7083" w:type="dxa"/>
            <w:vAlign w:val="center"/>
          </w:tcPr>
          <w:p w:rsidR="0057644C" w:rsidRPr="004011FA" w:rsidRDefault="0057644C" w:rsidP="000606DF">
            <w:pPr>
              <w:spacing w:line="276" w:lineRule="auto"/>
              <w:jc w:val="center"/>
              <w:rPr>
                <w:lang/>
              </w:rPr>
            </w:pPr>
            <w:r>
              <w:rPr>
                <w:lang/>
              </w:rPr>
              <w:t>Начин промоције</w:t>
            </w:r>
          </w:p>
        </w:tc>
        <w:tc>
          <w:tcPr>
            <w:tcW w:w="854" w:type="dxa"/>
            <w:vAlign w:val="center"/>
          </w:tcPr>
          <w:p w:rsidR="0057644C" w:rsidRPr="00B87E3B" w:rsidRDefault="0057644C" w:rsidP="000606DF">
            <w:pPr>
              <w:jc w:val="center"/>
              <w:cnfStyle w:val="100000000000"/>
              <w:rPr>
                <w:lang/>
              </w:rPr>
            </w:pPr>
            <w:r>
              <w:rPr>
                <w:lang/>
              </w:rPr>
              <w:t>%</w:t>
            </w:r>
          </w:p>
        </w:tc>
        <w:tc>
          <w:tcPr>
            <w:tcW w:w="1323" w:type="dxa"/>
            <w:vAlign w:val="center"/>
          </w:tcPr>
          <w:p w:rsidR="0057644C" w:rsidRPr="00B87E3B" w:rsidRDefault="0057644C" w:rsidP="000606DF">
            <w:pPr>
              <w:spacing w:line="276" w:lineRule="auto"/>
              <w:jc w:val="center"/>
              <w:cnfStyle w:val="100000000000"/>
              <w:rPr>
                <w:lang/>
              </w:rPr>
            </w:pPr>
            <w:r>
              <w:rPr>
                <w:lang/>
              </w:rPr>
              <w:t>% случајева</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апликација о култури за мобилне телефоне</w:t>
            </w:r>
          </w:p>
        </w:tc>
        <w:tc>
          <w:tcPr>
            <w:tcW w:w="854" w:type="dxa"/>
          </w:tcPr>
          <w:p w:rsidR="0057644C" w:rsidRPr="00430FAE" w:rsidRDefault="0057644C" w:rsidP="000606DF">
            <w:pPr>
              <w:jc w:val="center"/>
              <w:cnfStyle w:val="000000100000"/>
            </w:pPr>
            <w:r w:rsidRPr="00430FAE">
              <w:t>14.4%</w:t>
            </w:r>
          </w:p>
        </w:tc>
        <w:tc>
          <w:tcPr>
            <w:tcW w:w="1323" w:type="dxa"/>
          </w:tcPr>
          <w:p w:rsidR="0057644C" w:rsidRPr="002667ED" w:rsidRDefault="0057644C" w:rsidP="000606DF">
            <w:pPr>
              <w:jc w:val="center"/>
              <w:cnfStyle w:val="000000100000"/>
            </w:pPr>
            <w:r w:rsidRPr="002667ED">
              <w:t>32.6%</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мислим да је тренутна промоција сасвим одговарајућа</w:t>
            </w:r>
          </w:p>
        </w:tc>
        <w:tc>
          <w:tcPr>
            <w:tcW w:w="854" w:type="dxa"/>
          </w:tcPr>
          <w:p w:rsidR="0057644C" w:rsidRPr="00430FAE" w:rsidRDefault="0057644C" w:rsidP="000606DF">
            <w:pPr>
              <w:jc w:val="center"/>
              <w:cnfStyle w:val="000000000000"/>
            </w:pPr>
            <w:r w:rsidRPr="00430FAE">
              <w:t>11.3%</w:t>
            </w:r>
          </w:p>
        </w:tc>
        <w:tc>
          <w:tcPr>
            <w:tcW w:w="1323" w:type="dxa"/>
          </w:tcPr>
          <w:p w:rsidR="0057644C" w:rsidRPr="002667ED" w:rsidRDefault="0057644C" w:rsidP="000606DF">
            <w:pPr>
              <w:jc w:val="center"/>
              <w:cnfStyle w:val="000000000000"/>
            </w:pPr>
            <w:r w:rsidRPr="002667ED">
              <w:t>25.6%</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рекламе/најаве на Радио-телевизији Србије</w:t>
            </w:r>
          </w:p>
        </w:tc>
        <w:tc>
          <w:tcPr>
            <w:tcW w:w="854" w:type="dxa"/>
          </w:tcPr>
          <w:p w:rsidR="0057644C" w:rsidRPr="00430FAE" w:rsidRDefault="0057644C" w:rsidP="000606DF">
            <w:pPr>
              <w:jc w:val="center"/>
              <w:cnfStyle w:val="000000100000"/>
            </w:pPr>
            <w:r w:rsidRPr="00430FAE">
              <w:t>10.3%</w:t>
            </w:r>
          </w:p>
        </w:tc>
        <w:tc>
          <w:tcPr>
            <w:tcW w:w="1323" w:type="dxa"/>
          </w:tcPr>
          <w:p w:rsidR="0057644C" w:rsidRPr="002667ED" w:rsidRDefault="0057644C" w:rsidP="000606DF">
            <w:pPr>
              <w:jc w:val="center"/>
              <w:cnfStyle w:val="000000100000"/>
            </w:pPr>
            <w:r w:rsidRPr="002667ED">
              <w:t>23.3%</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рекламе/најаве на Радио-телевизији Војводине</w:t>
            </w:r>
          </w:p>
        </w:tc>
        <w:tc>
          <w:tcPr>
            <w:tcW w:w="854" w:type="dxa"/>
          </w:tcPr>
          <w:p w:rsidR="0057644C" w:rsidRPr="00430FAE" w:rsidRDefault="0057644C" w:rsidP="000606DF">
            <w:pPr>
              <w:jc w:val="center"/>
              <w:cnfStyle w:val="000000000000"/>
            </w:pPr>
            <w:r w:rsidRPr="00430FAE">
              <w:t>8.2%</w:t>
            </w:r>
          </w:p>
        </w:tc>
        <w:tc>
          <w:tcPr>
            <w:tcW w:w="1323" w:type="dxa"/>
          </w:tcPr>
          <w:p w:rsidR="0057644C" w:rsidRPr="002667ED" w:rsidRDefault="0057644C" w:rsidP="000606DF">
            <w:pPr>
              <w:jc w:val="center"/>
              <w:cnfStyle w:val="000000000000"/>
            </w:pPr>
            <w:r w:rsidRPr="002667ED">
              <w:t>18.6%</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рекламе/најаве у националним штампаним медијима</w:t>
            </w:r>
          </w:p>
        </w:tc>
        <w:tc>
          <w:tcPr>
            <w:tcW w:w="854" w:type="dxa"/>
          </w:tcPr>
          <w:p w:rsidR="0057644C" w:rsidRPr="00430FAE" w:rsidRDefault="0057644C" w:rsidP="000606DF">
            <w:pPr>
              <w:jc w:val="center"/>
              <w:cnfStyle w:val="000000100000"/>
            </w:pPr>
            <w:r w:rsidRPr="00430FAE">
              <w:t>7.2%</w:t>
            </w:r>
          </w:p>
        </w:tc>
        <w:tc>
          <w:tcPr>
            <w:tcW w:w="1323" w:type="dxa"/>
          </w:tcPr>
          <w:p w:rsidR="0057644C" w:rsidRPr="002667ED" w:rsidRDefault="0057644C" w:rsidP="000606DF">
            <w:pPr>
              <w:jc w:val="center"/>
              <w:cnfStyle w:val="000000100000"/>
            </w:pPr>
            <w:r w:rsidRPr="002667ED">
              <w:t>16.3%</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објаве на сајтовима установа/организација у култури</w:t>
            </w:r>
          </w:p>
        </w:tc>
        <w:tc>
          <w:tcPr>
            <w:tcW w:w="854" w:type="dxa"/>
          </w:tcPr>
          <w:p w:rsidR="0057644C" w:rsidRPr="00430FAE" w:rsidRDefault="0057644C" w:rsidP="000606DF">
            <w:pPr>
              <w:jc w:val="center"/>
              <w:cnfStyle w:val="000000000000"/>
            </w:pPr>
            <w:r w:rsidRPr="00430FAE">
              <w:t>6.2%</w:t>
            </w:r>
          </w:p>
        </w:tc>
        <w:tc>
          <w:tcPr>
            <w:tcW w:w="1323" w:type="dxa"/>
          </w:tcPr>
          <w:p w:rsidR="0057644C" w:rsidRPr="002667ED" w:rsidRDefault="0057644C" w:rsidP="000606DF">
            <w:pPr>
              <w:jc w:val="center"/>
              <w:cnfStyle w:val="000000000000"/>
            </w:pPr>
            <w:r w:rsidRPr="002667ED">
              <w:t>14.0%</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рекламе/најаве у локалним штампаним медијима</w:t>
            </w:r>
          </w:p>
        </w:tc>
        <w:tc>
          <w:tcPr>
            <w:tcW w:w="854" w:type="dxa"/>
          </w:tcPr>
          <w:p w:rsidR="0057644C" w:rsidRPr="00430FAE" w:rsidRDefault="0057644C" w:rsidP="000606DF">
            <w:pPr>
              <w:jc w:val="center"/>
              <w:cnfStyle w:val="000000100000"/>
            </w:pPr>
            <w:r w:rsidRPr="00430FAE">
              <w:t>6.2%</w:t>
            </w:r>
          </w:p>
        </w:tc>
        <w:tc>
          <w:tcPr>
            <w:tcW w:w="1323" w:type="dxa"/>
          </w:tcPr>
          <w:p w:rsidR="0057644C" w:rsidRPr="002667ED" w:rsidRDefault="0057644C" w:rsidP="000606DF">
            <w:pPr>
              <w:jc w:val="center"/>
              <w:cnfStyle w:val="000000100000"/>
            </w:pPr>
            <w:r w:rsidRPr="002667ED">
              <w:t>14.0%</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рекламе/најаве на локалној телевизији</w:t>
            </w:r>
          </w:p>
        </w:tc>
        <w:tc>
          <w:tcPr>
            <w:tcW w:w="854" w:type="dxa"/>
          </w:tcPr>
          <w:p w:rsidR="0057644C" w:rsidRPr="00430FAE" w:rsidRDefault="0057644C" w:rsidP="000606DF">
            <w:pPr>
              <w:jc w:val="center"/>
              <w:cnfStyle w:val="000000000000"/>
            </w:pPr>
            <w:r w:rsidRPr="00430FAE">
              <w:t>5.2%</w:t>
            </w:r>
          </w:p>
        </w:tc>
        <w:tc>
          <w:tcPr>
            <w:tcW w:w="1323" w:type="dxa"/>
          </w:tcPr>
          <w:p w:rsidR="0057644C" w:rsidRPr="002667ED" w:rsidRDefault="0057644C" w:rsidP="000606DF">
            <w:pPr>
              <w:jc w:val="center"/>
              <w:cnfStyle w:val="000000000000"/>
            </w:pPr>
            <w:r w:rsidRPr="002667ED">
              <w:t>11.6%</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туристичке брошуре и флајери</w:t>
            </w:r>
          </w:p>
        </w:tc>
        <w:tc>
          <w:tcPr>
            <w:tcW w:w="854" w:type="dxa"/>
          </w:tcPr>
          <w:p w:rsidR="0057644C" w:rsidRPr="00430FAE" w:rsidRDefault="0057644C" w:rsidP="000606DF">
            <w:pPr>
              <w:jc w:val="center"/>
              <w:cnfStyle w:val="000000100000"/>
            </w:pPr>
            <w:r w:rsidRPr="00430FAE">
              <w:t>5.2%</w:t>
            </w:r>
          </w:p>
        </w:tc>
        <w:tc>
          <w:tcPr>
            <w:tcW w:w="1323" w:type="dxa"/>
          </w:tcPr>
          <w:p w:rsidR="0057644C" w:rsidRPr="002667ED" w:rsidRDefault="0057644C" w:rsidP="000606DF">
            <w:pPr>
              <w:jc w:val="center"/>
              <w:cnfStyle w:val="000000100000"/>
            </w:pPr>
            <w:r w:rsidRPr="002667ED">
              <w:t>11.6%</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објаве на друштвеним мрежама</w:t>
            </w:r>
          </w:p>
        </w:tc>
        <w:tc>
          <w:tcPr>
            <w:tcW w:w="854" w:type="dxa"/>
          </w:tcPr>
          <w:p w:rsidR="0057644C" w:rsidRPr="00430FAE" w:rsidRDefault="0057644C" w:rsidP="000606DF">
            <w:pPr>
              <w:jc w:val="center"/>
              <w:cnfStyle w:val="000000000000"/>
            </w:pPr>
            <w:r w:rsidRPr="00430FAE">
              <w:t>4.1%</w:t>
            </w:r>
          </w:p>
        </w:tc>
        <w:tc>
          <w:tcPr>
            <w:tcW w:w="1323" w:type="dxa"/>
          </w:tcPr>
          <w:p w:rsidR="0057644C" w:rsidRPr="002667ED" w:rsidRDefault="0057644C" w:rsidP="000606DF">
            <w:pPr>
              <w:jc w:val="center"/>
              <w:cnfStyle w:val="000000000000"/>
            </w:pPr>
            <w:r w:rsidRPr="002667ED">
              <w:t>9.3%</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поруке на мобилним телефонима</w:t>
            </w:r>
          </w:p>
        </w:tc>
        <w:tc>
          <w:tcPr>
            <w:tcW w:w="854" w:type="dxa"/>
          </w:tcPr>
          <w:p w:rsidR="0057644C" w:rsidRPr="00430FAE" w:rsidRDefault="0057644C" w:rsidP="000606DF">
            <w:pPr>
              <w:jc w:val="center"/>
              <w:cnfStyle w:val="000000100000"/>
            </w:pPr>
            <w:r w:rsidRPr="00430FAE">
              <w:t>4.1%</w:t>
            </w:r>
          </w:p>
        </w:tc>
        <w:tc>
          <w:tcPr>
            <w:tcW w:w="1323" w:type="dxa"/>
          </w:tcPr>
          <w:p w:rsidR="0057644C" w:rsidRPr="002667ED" w:rsidRDefault="0057644C" w:rsidP="000606DF">
            <w:pPr>
              <w:jc w:val="center"/>
              <w:cnfStyle w:val="000000100000"/>
            </w:pPr>
            <w:r w:rsidRPr="002667ED">
              <w:t>9.3%</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већи број плаката у граду</w:t>
            </w:r>
          </w:p>
        </w:tc>
        <w:tc>
          <w:tcPr>
            <w:tcW w:w="854" w:type="dxa"/>
          </w:tcPr>
          <w:p w:rsidR="0057644C" w:rsidRPr="00430FAE" w:rsidRDefault="0057644C" w:rsidP="000606DF">
            <w:pPr>
              <w:jc w:val="center"/>
              <w:cnfStyle w:val="000000000000"/>
            </w:pPr>
            <w:r w:rsidRPr="00430FAE">
              <w:t>4.1%</w:t>
            </w:r>
          </w:p>
        </w:tc>
        <w:tc>
          <w:tcPr>
            <w:tcW w:w="1323" w:type="dxa"/>
          </w:tcPr>
          <w:p w:rsidR="0057644C" w:rsidRPr="002667ED" w:rsidRDefault="0057644C" w:rsidP="000606DF">
            <w:pPr>
              <w:jc w:val="center"/>
              <w:cnfStyle w:val="000000000000"/>
            </w:pPr>
            <w:r w:rsidRPr="002667ED">
              <w:t>9.3%</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иновативни начини промоције (јавна читања, перформанси на отвореном)</w:t>
            </w:r>
          </w:p>
        </w:tc>
        <w:tc>
          <w:tcPr>
            <w:tcW w:w="854" w:type="dxa"/>
          </w:tcPr>
          <w:p w:rsidR="0057644C" w:rsidRPr="00430FAE" w:rsidRDefault="0057644C" w:rsidP="000606DF">
            <w:pPr>
              <w:jc w:val="center"/>
              <w:cnfStyle w:val="000000100000"/>
            </w:pPr>
            <w:r w:rsidRPr="00430FAE">
              <w:t>4.1%</w:t>
            </w:r>
          </w:p>
        </w:tc>
        <w:tc>
          <w:tcPr>
            <w:tcW w:w="1323" w:type="dxa"/>
          </w:tcPr>
          <w:p w:rsidR="0057644C" w:rsidRPr="002667ED" w:rsidRDefault="0057644C" w:rsidP="000606DF">
            <w:pPr>
              <w:jc w:val="center"/>
              <w:cnfStyle w:val="000000100000"/>
            </w:pPr>
            <w:r w:rsidRPr="002667ED">
              <w:t>9.3%</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рекламе у јавном превозу</w:t>
            </w:r>
          </w:p>
        </w:tc>
        <w:tc>
          <w:tcPr>
            <w:tcW w:w="854" w:type="dxa"/>
          </w:tcPr>
          <w:p w:rsidR="0057644C" w:rsidRPr="00430FAE" w:rsidRDefault="0057644C" w:rsidP="000606DF">
            <w:pPr>
              <w:jc w:val="center"/>
              <w:cnfStyle w:val="000000000000"/>
            </w:pPr>
            <w:r w:rsidRPr="00430FAE">
              <w:t>3.1%</w:t>
            </w:r>
          </w:p>
        </w:tc>
        <w:tc>
          <w:tcPr>
            <w:tcW w:w="1323" w:type="dxa"/>
          </w:tcPr>
          <w:p w:rsidR="0057644C" w:rsidRPr="002667ED" w:rsidRDefault="0057644C" w:rsidP="000606DF">
            <w:pPr>
              <w:jc w:val="center"/>
              <w:cnfStyle w:val="000000000000"/>
            </w:pPr>
            <w:r w:rsidRPr="002667ED">
              <w:t>7.0%</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флајери у поштанском сандучету</w:t>
            </w:r>
          </w:p>
        </w:tc>
        <w:tc>
          <w:tcPr>
            <w:tcW w:w="854" w:type="dxa"/>
          </w:tcPr>
          <w:p w:rsidR="0057644C" w:rsidRPr="00430FAE" w:rsidRDefault="0057644C" w:rsidP="000606DF">
            <w:pPr>
              <w:jc w:val="center"/>
              <w:cnfStyle w:val="000000100000"/>
            </w:pPr>
            <w:r w:rsidRPr="00430FAE">
              <w:t>3.1%</w:t>
            </w:r>
          </w:p>
        </w:tc>
        <w:tc>
          <w:tcPr>
            <w:tcW w:w="1323" w:type="dxa"/>
          </w:tcPr>
          <w:p w:rsidR="0057644C" w:rsidRPr="002667ED" w:rsidRDefault="0057644C" w:rsidP="000606DF">
            <w:pPr>
              <w:jc w:val="center"/>
              <w:cnfStyle w:val="000000100000"/>
            </w:pPr>
            <w:r w:rsidRPr="002667ED">
              <w:t>7.0%</w:t>
            </w:r>
          </w:p>
        </w:tc>
      </w:tr>
      <w:tr w:rsidR="0057644C" w:rsidRPr="00BB312B" w:rsidTr="000606DF">
        <w:trPr>
          <w:trHeight w:val="227"/>
        </w:trPr>
        <w:tc>
          <w:tcPr>
            <w:cnfStyle w:val="001000000000"/>
            <w:tcW w:w="7083" w:type="dxa"/>
          </w:tcPr>
          <w:p w:rsidR="0057644C" w:rsidRPr="006D253B" w:rsidRDefault="0057644C" w:rsidP="000606DF">
            <w:pPr>
              <w:rPr>
                <w:lang/>
              </w:rPr>
            </w:pPr>
            <w:r w:rsidRPr="006D253B">
              <w:rPr>
                <w:lang/>
              </w:rPr>
              <w:t>рекламе/најаве на локалним радио станицама</w:t>
            </w:r>
          </w:p>
        </w:tc>
        <w:tc>
          <w:tcPr>
            <w:tcW w:w="854" w:type="dxa"/>
          </w:tcPr>
          <w:p w:rsidR="0057644C" w:rsidRPr="00430FAE" w:rsidRDefault="0057644C" w:rsidP="000606DF">
            <w:pPr>
              <w:jc w:val="center"/>
              <w:cnfStyle w:val="000000000000"/>
            </w:pPr>
            <w:r w:rsidRPr="00430FAE">
              <w:t>2.1%</w:t>
            </w:r>
          </w:p>
        </w:tc>
        <w:tc>
          <w:tcPr>
            <w:tcW w:w="1323" w:type="dxa"/>
          </w:tcPr>
          <w:p w:rsidR="0057644C" w:rsidRPr="002667ED" w:rsidRDefault="0057644C" w:rsidP="000606DF">
            <w:pPr>
              <w:jc w:val="center"/>
              <w:cnfStyle w:val="000000000000"/>
            </w:pPr>
            <w:r w:rsidRPr="002667ED">
              <w:t>4.7%</w:t>
            </w:r>
          </w:p>
        </w:tc>
      </w:tr>
      <w:tr w:rsidR="0057644C" w:rsidRPr="00BB312B" w:rsidTr="000606DF">
        <w:trPr>
          <w:cnfStyle w:val="000000100000"/>
          <w:trHeight w:val="227"/>
        </w:trPr>
        <w:tc>
          <w:tcPr>
            <w:cnfStyle w:val="001000000000"/>
            <w:tcW w:w="7083" w:type="dxa"/>
          </w:tcPr>
          <w:p w:rsidR="0057644C" w:rsidRPr="006D253B" w:rsidRDefault="0057644C" w:rsidP="000606DF">
            <w:pPr>
              <w:rPr>
                <w:lang/>
              </w:rPr>
            </w:pPr>
            <w:r w:rsidRPr="006D253B">
              <w:rPr>
                <w:lang/>
              </w:rPr>
              <w:t>обавештавања кроз мејлинг листе</w:t>
            </w:r>
          </w:p>
        </w:tc>
        <w:tc>
          <w:tcPr>
            <w:tcW w:w="854" w:type="dxa"/>
          </w:tcPr>
          <w:p w:rsidR="0057644C" w:rsidRDefault="0057644C" w:rsidP="000606DF">
            <w:pPr>
              <w:jc w:val="center"/>
              <w:cnfStyle w:val="000000100000"/>
            </w:pPr>
            <w:r w:rsidRPr="00430FAE">
              <w:t>1.0%</w:t>
            </w:r>
          </w:p>
        </w:tc>
        <w:tc>
          <w:tcPr>
            <w:tcW w:w="1323" w:type="dxa"/>
          </w:tcPr>
          <w:p w:rsidR="0057644C" w:rsidRDefault="0057644C" w:rsidP="000606DF">
            <w:pPr>
              <w:jc w:val="center"/>
              <w:cnfStyle w:val="000000100000"/>
            </w:pPr>
            <w:r w:rsidRPr="002667ED">
              <w:t>2.3%</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Појединачно за сваку установу гледано, све установе имају готово идентичну расподелу одговора када је реч </w:t>
      </w:r>
      <w:r>
        <w:rPr>
          <w:rFonts w:ascii="Times New Roman" w:hAnsi="Times New Roman" w:cs="Times New Roman"/>
          <w:sz w:val="24"/>
          <w:szCs w:val="24"/>
          <w:lang/>
        </w:rPr>
        <w:t>о прва три места, оси</w:t>
      </w:r>
      <w:r w:rsidRPr="00BB312B">
        <w:rPr>
          <w:rFonts w:ascii="Times New Roman" w:hAnsi="Times New Roman" w:cs="Times New Roman"/>
          <w:sz w:val="24"/>
          <w:szCs w:val="24"/>
          <w:lang/>
        </w:rPr>
        <w:t>м Историјског архива</w:t>
      </w:r>
      <w:r>
        <w:rPr>
          <w:rFonts w:ascii="Times New Roman" w:hAnsi="Times New Roman" w:cs="Times New Roman"/>
          <w:sz w:val="24"/>
          <w:szCs w:val="24"/>
          <w:lang/>
        </w:rPr>
        <w:t xml:space="preserve"> Сомбор</w:t>
      </w:r>
      <w:r w:rsidRPr="00BB312B">
        <w:rPr>
          <w:rFonts w:ascii="Times New Roman" w:hAnsi="Times New Roman" w:cs="Times New Roman"/>
          <w:sz w:val="24"/>
          <w:szCs w:val="24"/>
          <w:lang/>
        </w:rPr>
        <w:t xml:space="preserve"> чији запослени см</w:t>
      </w:r>
      <w:r>
        <w:rPr>
          <w:rFonts w:ascii="Times New Roman" w:hAnsi="Times New Roman" w:cs="Times New Roman"/>
          <w:sz w:val="24"/>
          <w:szCs w:val="24"/>
          <w:lang/>
        </w:rPr>
        <w:t>ат</w:t>
      </w:r>
      <w:r w:rsidRPr="00BB312B">
        <w:rPr>
          <w:rFonts w:ascii="Times New Roman" w:hAnsi="Times New Roman" w:cs="Times New Roman"/>
          <w:sz w:val="24"/>
          <w:szCs w:val="24"/>
          <w:lang/>
        </w:rPr>
        <w:t xml:space="preserve">рају да би првенствено требало појачати промоцију на друштвеним мрежама и сајтовима установа. </w:t>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На основу добијених података током анкетирања запослених, али и током фокус група може се закључити да би у промоцији програма требало што више користити дигиталне технологије. </w:t>
      </w:r>
    </w:p>
    <w:p w:rsidR="0057644C" w:rsidRPr="00BB312B" w:rsidRDefault="0057644C" w:rsidP="0057644C">
      <w:pPr>
        <w:autoSpaceDE w:val="0"/>
        <w:autoSpaceDN w:val="0"/>
        <w:adjustRightInd w:val="0"/>
        <w:spacing w:after="0" w:line="240" w:lineRule="auto"/>
        <w:ind w:firstLine="720"/>
        <w:jc w:val="both"/>
        <w:rPr>
          <w:rFonts w:ascii="Times New Roman" w:hAnsi="Times New Roman" w:cs="Times New Roman"/>
          <w:sz w:val="24"/>
          <w:szCs w:val="24"/>
          <w:lang/>
        </w:rPr>
      </w:pPr>
    </w:p>
    <w:p w:rsidR="0057644C" w:rsidRPr="00040615" w:rsidRDefault="0057644C" w:rsidP="00040615">
      <w:pPr>
        <w:pStyle w:val="Heading1"/>
        <w:spacing w:before="0"/>
        <w:rPr>
          <w:b/>
          <w:lang/>
        </w:rPr>
      </w:pPr>
      <w:bookmarkStart w:id="70" w:name="_Toc27958780"/>
      <w:bookmarkStart w:id="71" w:name="_Toc36072331"/>
      <w:r w:rsidRPr="00040615">
        <w:rPr>
          <w:b/>
          <w:lang/>
        </w:rPr>
        <w:t>3. Оцена културне понуде града Сомбора</w:t>
      </w:r>
      <w:bookmarkEnd w:id="70"/>
      <w:bookmarkEnd w:id="71"/>
    </w:p>
    <w:p w:rsidR="0057644C" w:rsidRPr="00BB312B" w:rsidRDefault="0057644C" w:rsidP="0057644C">
      <w:pPr>
        <w:autoSpaceDE w:val="0"/>
        <w:autoSpaceDN w:val="0"/>
        <w:adjustRightInd w:val="0"/>
        <w:spacing w:after="0" w:line="240" w:lineRule="auto"/>
        <w:jc w:val="both"/>
        <w:rPr>
          <w:rFonts w:ascii="Times New Roman" w:hAnsi="Times New Roman" w:cs="Times New Roman"/>
          <w:sz w:val="24"/>
          <w:szCs w:val="24"/>
        </w:rPr>
      </w:pPr>
    </w:p>
    <w:p w:rsidR="0057644C" w:rsidRPr="00040615" w:rsidRDefault="0057644C" w:rsidP="00040615">
      <w:pPr>
        <w:pStyle w:val="Heading2"/>
        <w:rPr>
          <w:b/>
        </w:rPr>
      </w:pPr>
      <w:bookmarkStart w:id="72" w:name="_Toc27958781"/>
      <w:bookmarkStart w:id="73" w:name="_Toc36072332"/>
      <w:r w:rsidRPr="00040615">
        <w:rPr>
          <w:b/>
        </w:rPr>
        <w:t>3.1. Препознатљивост и брендирање града Сомбора кроз културу</w:t>
      </w:r>
      <w:bookmarkEnd w:id="72"/>
      <w:bookmarkEnd w:id="73"/>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Важна тема о којој се разговарало током фокус група је и начин брендирања Сомбора као града културе, </w:t>
      </w:r>
      <w:r w:rsidRPr="00BB312B">
        <w:rPr>
          <w:rFonts w:ascii="Times New Roman" w:hAnsi="Times New Roman" w:cs="Times New Roman"/>
          <w:sz w:val="24"/>
          <w:szCs w:val="24"/>
          <w:lang/>
        </w:rPr>
        <w:t>не само за локално становништво већ и шире</w:t>
      </w:r>
      <w:r>
        <w:rPr>
          <w:rFonts w:ascii="Times New Roman" w:hAnsi="Times New Roman" w:cs="Times New Roman"/>
          <w:sz w:val="24"/>
          <w:szCs w:val="24"/>
          <w:lang/>
        </w:rPr>
        <w:t xml:space="preserve">, због чега је запосленима у установама културе у Сомбору постављено питање о </w:t>
      </w:r>
      <w:r w:rsidRPr="00BB312B">
        <w:rPr>
          <w:rFonts w:ascii="Times New Roman" w:hAnsi="Times New Roman" w:cs="Times New Roman"/>
          <w:sz w:val="24"/>
          <w:szCs w:val="24"/>
          <w:lang/>
        </w:rPr>
        <w:t>особености</w:t>
      </w:r>
      <w:r>
        <w:rPr>
          <w:rFonts w:ascii="Times New Roman" w:hAnsi="Times New Roman" w:cs="Times New Roman"/>
          <w:sz w:val="24"/>
          <w:szCs w:val="24"/>
          <w:lang/>
        </w:rPr>
        <w:t>ма</w:t>
      </w:r>
      <w:r w:rsidRPr="00BB312B">
        <w:rPr>
          <w:rFonts w:ascii="Times New Roman" w:hAnsi="Times New Roman" w:cs="Times New Roman"/>
          <w:sz w:val="24"/>
          <w:szCs w:val="24"/>
          <w:lang/>
        </w:rPr>
        <w:t>, знаменитости</w:t>
      </w:r>
      <w:r>
        <w:rPr>
          <w:rFonts w:ascii="Times New Roman" w:hAnsi="Times New Roman" w:cs="Times New Roman"/>
          <w:sz w:val="24"/>
          <w:szCs w:val="24"/>
          <w:lang/>
        </w:rPr>
        <w:t>ма</w:t>
      </w:r>
      <w:r w:rsidRPr="00BB312B">
        <w:rPr>
          <w:rFonts w:ascii="Times New Roman" w:hAnsi="Times New Roman" w:cs="Times New Roman"/>
          <w:sz w:val="24"/>
          <w:szCs w:val="24"/>
          <w:lang/>
        </w:rPr>
        <w:t xml:space="preserve"> и личности</w:t>
      </w:r>
      <w:r>
        <w:rPr>
          <w:rFonts w:ascii="Times New Roman" w:hAnsi="Times New Roman" w:cs="Times New Roman"/>
          <w:sz w:val="24"/>
          <w:szCs w:val="24"/>
          <w:lang/>
        </w:rPr>
        <w:t>ма</w:t>
      </w:r>
      <w:r w:rsidRPr="00BB312B">
        <w:rPr>
          <w:rFonts w:ascii="Times New Roman" w:hAnsi="Times New Roman" w:cs="Times New Roman"/>
          <w:sz w:val="24"/>
          <w:szCs w:val="24"/>
          <w:lang/>
        </w:rPr>
        <w:t xml:space="preserve"> преко којих би се градио културни идентитет и имиџ града.</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Сва питања и теме у овом делу упитника односе се на стање на градском нивоу у </w:t>
      </w:r>
      <w:r>
        <w:rPr>
          <w:rFonts w:ascii="Times New Roman" w:hAnsi="Times New Roman" w:cs="Times New Roman"/>
          <w:sz w:val="24"/>
          <w:szCs w:val="24"/>
          <w:lang/>
        </w:rPr>
        <w:t xml:space="preserve">целини, а не на ниову установа. </w:t>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Прво питање односило се на процену</w:t>
      </w:r>
      <w:r w:rsidRPr="00BB312B">
        <w:rPr>
          <w:rFonts w:ascii="Times New Roman" w:hAnsi="Times New Roman" w:cs="Times New Roman"/>
          <w:sz w:val="24"/>
          <w:szCs w:val="24"/>
          <w:lang/>
        </w:rPr>
        <w:t xml:space="preserve"> колико је културна понуда града Сомбора заправо видљима грађанима у самом граду и шире. </w:t>
      </w:r>
      <w:r w:rsidRPr="00837CF2">
        <w:rPr>
          <w:rFonts w:ascii="Times New Roman" w:hAnsi="Times New Roman" w:cs="Times New Roman"/>
          <w:sz w:val="24"/>
          <w:szCs w:val="24"/>
          <w:lang/>
        </w:rPr>
        <w:t>Највећу препознатљивост културна понуда Сомбора има на међу локалним становништвом, судећи по одгов</w:t>
      </w:r>
      <w:r>
        <w:rPr>
          <w:rFonts w:ascii="Times New Roman" w:hAnsi="Times New Roman" w:cs="Times New Roman"/>
          <w:sz w:val="24"/>
          <w:szCs w:val="24"/>
          <w:lang/>
        </w:rPr>
        <w:t>о</w:t>
      </w:r>
      <w:r w:rsidRPr="00837CF2">
        <w:rPr>
          <w:rFonts w:ascii="Times New Roman" w:hAnsi="Times New Roman" w:cs="Times New Roman"/>
          <w:sz w:val="24"/>
          <w:szCs w:val="24"/>
          <w:lang/>
        </w:rPr>
        <w:t>рима испитаника, при чему скоро трећина сматра да је она веома препо</w:t>
      </w:r>
      <w:r w:rsidRPr="00BB312B">
        <w:rPr>
          <w:rFonts w:ascii="Times New Roman" w:hAnsi="Times New Roman" w:cs="Times New Roman"/>
          <w:sz w:val="24"/>
          <w:szCs w:val="24"/>
          <w:lang/>
        </w:rPr>
        <w:t xml:space="preserve">знатљива, док више од </w:t>
      </w:r>
      <w:r w:rsidRPr="00BB312B">
        <w:rPr>
          <w:rFonts w:ascii="Times New Roman" w:hAnsi="Times New Roman" w:cs="Times New Roman"/>
          <w:sz w:val="24"/>
          <w:szCs w:val="24"/>
          <w:lang/>
        </w:rPr>
        <w:lastRenderedPageBreak/>
        <w:t xml:space="preserve">половине сматра да је та препознатњивост на осредњем нивоу. Када је реч  о </w:t>
      </w:r>
      <w:r>
        <w:rPr>
          <w:rFonts w:ascii="Times New Roman" w:hAnsi="Times New Roman" w:cs="Times New Roman"/>
          <w:sz w:val="24"/>
          <w:szCs w:val="24"/>
          <w:lang/>
        </w:rPr>
        <w:t>препознатљивости у Аутономној покријини  Војводини, тек 2</w:t>
      </w:r>
      <w:r w:rsidRPr="00BB312B">
        <w:rPr>
          <w:rFonts w:ascii="Times New Roman" w:hAnsi="Times New Roman" w:cs="Times New Roman"/>
          <w:sz w:val="24"/>
          <w:szCs w:val="24"/>
          <w:lang/>
        </w:rPr>
        <w:t>% сматра да је</w:t>
      </w:r>
      <w:r>
        <w:rPr>
          <w:rFonts w:ascii="Times New Roman" w:hAnsi="Times New Roman" w:cs="Times New Roman"/>
          <w:sz w:val="24"/>
          <w:szCs w:val="24"/>
          <w:lang/>
        </w:rPr>
        <w:t xml:space="preserve"> </w:t>
      </w:r>
      <w:r w:rsidRPr="00BB312B">
        <w:rPr>
          <w:rFonts w:ascii="Times New Roman" w:hAnsi="Times New Roman" w:cs="Times New Roman"/>
          <w:sz w:val="24"/>
          <w:szCs w:val="24"/>
          <w:lang/>
        </w:rPr>
        <w:t xml:space="preserve">понуда Сомбора  </w:t>
      </w:r>
      <w:r>
        <w:rPr>
          <w:rFonts w:ascii="Times New Roman" w:hAnsi="Times New Roman" w:cs="Times New Roman"/>
          <w:sz w:val="24"/>
          <w:szCs w:val="24"/>
          <w:lang/>
        </w:rPr>
        <w:t xml:space="preserve">веома препознатљива и међу другим становницима АП Војводине, </w:t>
      </w:r>
      <w:r w:rsidRPr="00BB312B">
        <w:rPr>
          <w:rFonts w:ascii="Times New Roman" w:hAnsi="Times New Roman" w:cs="Times New Roman"/>
          <w:sz w:val="24"/>
          <w:szCs w:val="24"/>
          <w:lang/>
        </w:rPr>
        <w:t>при чему једна половина сматра да је она осредње пре</w:t>
      </w:r>
      <w:r>
        <w:rPr>
          <w:rFonts w:ascii="Times New Roman" w:hAnsi="Times New Roman" w:cs="Times New Roman"/>
          <w:sz w:val="24"/>
          <w:szCs w:val="24"/>
          <w:lang/>
        </w:rPr>
        <w:t>п</w:t>
      </w:r>
      <w:r w:rsidRPr="00BB312B">
        <w:rPr>
          <w:rFonts w:ascii="Times New Roman" w:hAnsi="Times New Roman" w:cs="Times New Roman"/>
          <w:sz w:val="24"/>
          <w:szCs w:val="24"/>
          <w:lang/>
        </w:rPr>
        <w:t xml:space="preserve">ознатљива на покајинском нивоу а друга да је слабо или није уопште препознатљива. </w:t>
      </w:r>
      <w:r>
        <w:rPr>
          <w:rFonts w:ascii="Times New Roman" w:hAnsi="Times New Roman" w:cs="Times New Roman"/>
          <w:sz w:val="24"/>
          <w:szCs w:val="24"/>
          <w:lang/>
        </w:rPr>
        <w:t xml:space="preserve">Поред тога, анкетирани запослени у установама културе сматрају </w:t>
      </w:r>
      <w:r w:rsidRPr="00837CF2">
        <w:rPr>
          <w:rFonts w:ascii="Times New Roman" w:hAnsi="Times New Roman" w:cs="Times New Roman"/>
          <w:sz w:val="24"/>
          <w:szCs w:val="24"/>
          <w:lang/>
        </w:rPr>
        <w:t>да је култура Сомбора слабо или није ни мало препознаљива на нивоу</w:t>
      </w:r>
      <w:r>
        <w:rPr>
          <w:rFonts w:ascii="Times New Roman" w:hAnsi="Times New Roman" w:cs="Times New Roman"/>
          <w:sz w:val="24"/>
          <w:szCs w:val="24"/>
          <w:lang/>
        </w:rPr>
        <w:t xml:space="preserve"> Републике</w:t>
      </w:r>
      <w:r w:rsidRPr="00837CF2">
        <w:rPr>
          <w:rFonts w:ascii="Times New Roman" w:hAnsi="Times New Roman" w:cs="Times New Roman"/>
          <w:sz w:val="24"/>
          <w:szCs w:val="24"/>
          <w:lang/>
        </w:rPr>
        <w:t xml:space="preserve"> Србије, као и у сус</w:t>
      </w:r>
      <w:r>
        <w:rPr>
          <w:rFonts w:ascii="Times New Roman" w:hAnsi="Times New Roman" w:cs="Times New Roman"/>
          <w:sz w:val="24"/>
          <w:szCs w:val="24"/>
          <w:lang/>
        </w:rPr>
        <w:t xml:space="preserve">еденим земљама. </w:t>
      </w:r>
      <w:r w:rsidRPr="00BB312B">
        <w:rPr>
          <w:rFonts w:ascii="Times New Roman" w:hAnsi="Times New Roman" w:cs="Times New Roman"/>
          <w:sz w:val="24"/>
          <w:szCs w:val="24"/>
          <w:lang/>
        </w:rPr>
        <w:t xml:space="preserve">Треба нагласити још да </w:t>
      </w:r>
      <w:r>
        <w:rPr>
          <w:rFonts w:ascii="Times New Roman" w:hAnsi="Times New Roman" w:cs="Times New Roman"/>
          <w:sz w:val="24"/>
          <w:szCs w:val="24"/>
          <w:lang/>
        </w:rPr>
        <w:t xml:space="preserve"> 33%  испитаних мисли да </w:t>
      </w:r>
      <w:r w:rsidRPr="00BB312B">
        <w:rPr>
          <w:rFonts w:ascii="Times New Roman" w:hAnsi="Times New Roman" w:cs="Times New Roman"/>
          <w:sz w:val="24"/>
          <w:szCs w:val="24"/>
          <w:lang/>
        </w:rPr>
        <w:t>култура Сомбора уопште није нити видљива нити препознатљива у региону</w:t>
      </w:r>
      <w:r>
        <w:rPr>
          <w:rFonts w:ascii="Times New Roman" w:hAnsi="Times New Roman" w:cs="Times New Roman"/>
          <w:sz w:val="24"/>
          <w:szCs w:val="24"/>
          <w:lang/>
        </w:rPr>
        <w:t>, а 19% то</w:t>
      </w:r>
      <w:r w:rsidRPr="00BB312B">
        <w:rPr>
          <w:rFonts w:ascii="Times New Roman" w:hAnsi="Times New Roman" w:cs="Times New Roman"/>
          <w:sz w:val="24"/>
          <w:szCs w:val="24"/>
          <w:lang/>
        </w:rPr>
        <w:t xml:space="preserve"> сматра за ниво</w:t>
      </w:r>
      <w:r>
        <w:rPr>
          <w:rFonts w:ascii="Times New Roman" w:hAnsi="Times New Roman" w:cs="Times New Roman"/>
          <w:sz w:val="24"/>
          <w:szCs w:val="24"/>
          <w:lang/>
        </w:rPr>
        <w:t xml:space="preserve"> Републике Србије (Графикон 6). </w:t>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Графикон 6: Видљивост и препознатљивост културне понуде Сомбора</w:t>
      </w:r>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rPr>
        <w:t xml:space="preserve"> </w:t>
      </w:r>
      <w:r w:rsidRPr="00A97465">
        <w:rPr>
          <w:rFonts w:ascii="Times New Roman" w:hAnsi="Times New Roman" w:cs="Times New Roman"/>
          <w:b/>
          <w:noProof/>
          <w:sz w:val="24"/>
          <w:szCs w:val="24"/>
        </w:rPr>
        <w:drawing>
          <wp:inline distT="0" distB="0" distL="0" distR="0">
            <wp:extent cx="5876925" cy="173355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Према мишљењу запослених у установама културе у Сомбору аутентичност (потенцијални бренд) Сомбора је заштићено градско језгро (Венац), </w:t>
      </w:r>
      <w:r w:rsidRPr="00A97465">
        <w:rPr>
          <w:rFonts w:ascii="Times New Roman" w:hAnsi="Times New Roman" w:cs="Times New Roman"/>
          <w:sz w:val="24"/>
          <w:szCs w:val="24"/>
          <w:lang/>
        </w:rPr>
        <w:t xml:space="preserve">као културно историјска целина са свим објектима и споменицима, као и манифестација Позоришни маратон; затим зграда Жупаније, Народно позориште, али и установе културе у целини са својим програмима, као и према објектима у којима се налазе, и Галерија </w:t>
      </w:r>
      <w:r>
        <w:rPr>
          <w:rFonts w:ascii="Times New Roman" w:hAnsi="Times New Roman" w:cs="Times New Roman"/>
          <w:sz w:val="24"/>
          <w:szCs w:val="24"/>
          <w:lang/>
        </w:rPr>
        <w:t>„</w:t>
      </w:r>
      <w:r w:rsidRPr="00A97465">
        <w:rPr>
          <w:rFonts w:ascii="Times New Roman" w:hAnsi="Times New Roman" w:cs="Times New Roman"/>
          <w:sz w:val="24"/>
          <w:szCs w:val="24"/>
          <w:lang/>
        </w:rPr>
        <w:t>Милан Коњовић</w:t>
      </w:r>
      <w:r>
        <w:rPr>
          <w:rFonts w:ascii="Times New Roman" w:hAnsi="Times New Roman" w:cs="Times New Roman"/>
          <w:sz w:val="24"/>
          <w:szCs w:val="24"/>
          <w:lang/>
        </w:rPr>
        <w:t xml:space="preserve">“. </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Табела 10: Аутентичности Сомбора</w:t>
      </w:r>
    </w:p>
    <w:tbl>
      <w:tblPr>
        <w:tblStyle w:val="GridTable4-Accent11"/>
        <w:tblW w:w="9351" w:type="dxa"/>
        <w:tblLook w:val="04A0"/>
      </w:tblPr>
      <w:tblGrid>
        <w:gridCol w:w="8642"/>
        <w:gridCol w:w="709"/>
      </w:tblGrid>
      <w:tr w:rsidR="0057644C" w:rsidRPr="00B0554F" w:rsidTr="000606DF">
        <w:trPr>
          <w:cnfStyle w:val="100000000000"/>
        </w:trPr>
        <w:tc>
          <w:tcPr>
            <w:cnfStyle w:val="001000000000"/>
            <w:tcW w:w="8642" w:type="dxa"/>
            <w:vAlign w:val="center"/>
          </w:tcPr>
          <w:p w:rsidR="0057644C" w:rsidRPr="00B0554F" w:rsidRDefault="0057644C" w:rsidP="000606DF">
            <w:pPr>
              <w:autoSpaceDE w:val="0"/>
              <w:autoSpaceDN w:val="0"/>
              <w:adjustRightInd w:val="0"/>
              <w:spacing w:line="276" w:lineRule="auto"/>
              <w:jc w:val="both"/>
              <w:rPr>
                <w:b w:val="0"/>
                <w:lang/>
              </w:rPr>
            </w:pPr>
            <w:r w:rsidRPr="00B0554F">
              <w:rPr>
                <w:b w:val="0"/>
                <w:lang/>
              </w:rPr>
              <w:t>Аутентичности Сомбора</w:t>
            </w:r>
          </w:p>
        </w:tc>
        <w:tc>
          <w:tcPr>
            <w:tcW w:w="709" w:type="dxa"/>
            <w:vAlign w:val="center"/>
          </w:tcPr>
          <w:p w:rsidR="0057644C" w:rsidRPr="00B0554F" w:rsidRDefault="0057644C" w:rsidP="000606DF">
            <w:pPr>
              <w:autoSpaceDE w:val="0"/>
              <w:autoSpaceDN w:val="0"/>
              <w:adjustRightInd w:val="0"/>
              <w:spacing w:line="276" w:lineRule="auto"/>
              <w:jc w:val="center"/>
              <w:cnfStyle w:val="100000000000"/>
              <w:rPr>
                <w:lang/>
              </w:rPr>
            </w:pPr>
            <w:r w:rsidRPr="00B0554F">
              <w:rPr>
                <w:lang/>
              </w:rPr>
              <w:t>%</w:t>
            </w:r>
          </w:p>
        </w:tc>
      </w:tr>
      <w:tr w:rsidR="0057644C" w:rsidRPr="00B0554F" w:rsidTr="000606DF">
        <w:trPr>
          <w:cnfStyle w:val="000000100000"/>
        </w:trPr>
        <w:tc>
          <w:tcPr>
            <w:cnfStyle w:val="001000000000"/>
            <w:tcW w:w="8642" w:type="dxa"/>
            <w:vAlign w:val="center"/>
          </w:tcPr>
          <w:p w:rsidR="0057644C" w:rsidRPr="00B0554F" w:rsidRDefault="0057644C" w:rsidP="000606DF">
            <w:pPr>
              <w:rPr>
                <w:lang/>
              </w:rPr>
            </w:pPr>
            <w:r w:rsidRPr="00B0554F">
              <w:rPr>
                <w:lang/>
              </w:rPr>
              <w:t>Заштићено језгро града (Венац) као културно-историјска целина са објектима и споменицима</w:t>
            </w:r>
          </w:p>
        </w:tc>
        <w:tc>
          <w:tcPr>
            <w:tcW w:w="709" w:type="dxa"/>
            <w:vAlign w:val="center"/>
          </w:tcPr>
          <w:p w:rsidR="0057644C" w:rsidRPr="00B0554F" w:rsidRDefault="0057644C" w:rsidP="000606DF">
            <w:pPr>
              <w:jc w:val="center"/>
              <w:cnfStyle w:val="000000100000"/>
              <w:rPr>
                <w:lang/>
              </w:rPr>
            </w:pPr>
            <w:r w:rsidRPr="00B0554F">
              <w:rPr>
                <w:lang/>
              </w:rPr>
              <w:t>22.5</w:t>
            </w:r>
          </w:p>
        </w:tc>
      </w:tr>
      <w:tr w:rsidR="0057644C" w:rsidRPr="00B0554F" w:rsidTr="000606DF">
        <w:tc>
          <w:tcPr>
            <w:cnfStyle w:val="001000000000"/>
            <w:tcW w:w="8642" w:type="dxa"/>
            <w:vAlign w:val="center"/>
          </w:tcPr>
          <w:p w:rsidR="0057644C" w:rsidRPr="00B0554F" w:rsidRDefault="0057644C" w:rsidP="000606DF">
            <w:pPr>
              <w:rPr>
                <w:lang/>
              </w:rPr>
            </w:pPr>
            <w:r w:rsidRPr="00B0554F">
              <w:rPr>
                <w:lang/>
              </w:rPr>
              <w:t>Позоришни маратон</w:t>
            </w:r>
          </w:p>
        </w:tc>
        <w:tc>
          <w:tcPr>
            <w:tcW w:w="709" w:type="dxa"/>
            <w:vAlign w:val="center"/>
          </w:tcPr>
          <w:p w:rsidR="0057644C" w:rsidRPr="00B0554F" w:rsidRDefault="0057644C" w:rsidP="000606DF">
            <w:pPr>
              <w:jc w:val="center"/>
              <w:cnfStyle w:val="000000000000"/>
              <w:rPr>
                <w:lang/>
              </w:rPr>
            </w:pPr>
            <w:r w:rsidRPr="00B0554F">
              <w:rPr>
                <w:lang/>
              </w:rPr>
              <w:t>22.5</w:t>
            </w:r>
          </w:p>
        </w:tc>
      </w:tr>
      <w:tr w:rsidR="0057644C" w:rsidRPr="00B0554F" w:rsidTr="000606DF">
        <w:trPr>
          <w:cnfStyle w:val="000000100000"/>
          <w:trHeight w:val="325"/>
        </w:trPr>
        <w:tc>
          <w:tcPr>
            <w:cnfStyle w:val="001000000000"/>
            <w:tcW w:w="8642" w:type="dxa"/>
            <w:vAlign w:val="center"/>
          </w:tcPr>
          <w:p w:rsidR="0057644C" w:rsidRPr="00B0554F" w:rsidRDefault="0057644C" w:rsidP="000606DF">
            <w:pPr>
              <w:rPr>
                <w:lang/>
              </w:rPr>
            </w:pPr>
            <w:r w:rsidRPr="00B0554F">
              <w:rPr>
                <w:lang/>
              </w:rPr>
              <w:t>Зграда Жупаније</w:t>
            </w:r>
          </w:p>
        </w:tc>
        <w:tc>
          <w:tcPr>
            <w:tcW w:w="709" w:type="dxa"/>
            <w:vAlign w:val="center"/>
          </w:tcPr>
          <w:p w:rsidR="0057644C" w:rsidRPr="00B0554F" w:rsidRDefault="0057644C" w:rsidP="000606DF">
            <w:pPr>
              <w:jc w:val="center"/>
              <w:cnfStyle w:val="000000100000"/>
              <w:rPr>
                <w:lang/>
              </w:rPr>
            </w:pPr>
            <w:r w:rsidRPr="00B0554F">
              <w:rPr>
                <w:lang/>
              </w:rPr>
              <w:t>20.0</w:t>
            </w:r>
          </w:p>
        </w:tc>
      </w:tr>
      <w:tr w:rsidR="0057644C" w:rsidRPr="00B0554F" w:rsidTr="000606DF">
        <w:tc>
          <w:tcPr>
            <w:cnfStyle w:val="001000000000"/>
            <w:tcW w:w="8642" w:type="dxa"/>
            <w:vAlign w:val="center"/>
          </w:tcPr>
          <w:p w:rsidR="0057644C" w:rsidRPr="00B0554F" w:rsidRDefault="0057644C" w:rsidP="000606DF">
            <w:pPr>
              <w:rPr>
                <w:lang/>
              </w:rPr>
            </w:pPr>
            <w:r w:rsidRPr="00B0554F">
              <w:rPr>
                <w:lang/>
              </w:rPr>
              <w:t>Народно позориште Сомбор</w:t>
            </w:r>
          </w:p>
        </w:tc>
        <w:tc>
          <w:tcPr>
            <w:tcW w:w="709" w:type="dxa"/>
            <w:vAlign w:val="center"/>
          </w:tcPr>
          <w:p w:rsidR="0057644C" w:rsidRPr="00B0554F" w:rsidRDefault="0057644C" w:rsidP="000606DF">
            <w:pPr>
              <w:jc w:val="center"/>
              <w:cnfStyle w:val="000000000000"/>
              <w:rPr>
                <w:lang/>
              </w:rPr>
            </w:pPr>
            <w:r w:rsidRPr="00B0554F">
              <w:rPr>
                <w:lang/>
              </w:rPr>
              <w:t>15.0</w:t>
            </w:r>
          </w:p>
        </w:tc>
      </w:tr>
      <w:tr w:rsidR="0057644C" w:rsidRPr="00B0554F" w:rsidTr="000606DF">
        <w:trPr>
          <w:cnfStyle w:val="000000100000"/>
        </w:trPr>
        <w:tc>
          <w:tcPr>
            <w:cnfStyle w:val="001000000000"/>
            <w:tcW w:w="8642" w:type="dxa"/>
            <w:vAlign w:val="center"/>
          </w:tcPr>
          <w:p w:rsidR="0057644C" w:rsidRPr="00B0554F" w:rsidRDefault="0057644C" w:rsidP="000606DF">
            <w:pPr>
              <w:rPr>
                <w:lang/>
              </w:rPr>
            </w:pPr>
            <w:r w:rsidRPr="00B0554F">
              <w:rPr>
                <w:lang/>
              </w:rPr>
              <w:t>Установе културе</w:t>
            </w:r>
          </w:p>
        </w:tc>
        <w:tc>
          <w:tcPr>
            <w:tcW w:w="709" w:type="dxa"/>
            <w:vAlign w:val="center"/>
          </w:tcPr>
          <w:p w:rsidR="0057644C" w:rsidRPr="00B0554F" w:rsidRDefault="0057644C" w:rsidP="000606DF">
            <w:pPr>
              <w:jc w:val="center"/>
              <w:cnfStyle w:val="000000100000"/>
              <w:rPr>
                <w:lang/>
              </w:rPr>
            </w:pPr>
            <w:r w:rsidRPr="00B0554F">
              <w:rPr>
                <w:lang/>
              </w:rPr>
              <w:t>12.5</w:t>
            </w:r>
          </w:p>
        </w:tc>
      </w:tr>
      <w:tr w:rsidR="0057644C" w:rsidRPr="00B0554F" w:rsidTr="000606DF">
        <w:tc>
          <w:tcPr>
            <w:cnfStyle w:val="001000000000"/>
            <w:tcW w:w="8642" w:type="dxa"/>
            <w:vAlign w:val="center"/>
          </w:tcPr>
          <w:p w:rsidR="0057644C" w:rsidRPr="00B0554F" w:rsidRDefault="0057644C" w:rsidP="000606DF">
            <w:pPr>
              <w:rPr>
                <w:lang/>
              </w:rPr>
            </w:pPr>
            <w:r w:rsidRPr="00B0554F">
              <w:rPr>
                <w:lang/>
              </w:rPr>
              <w:t>Галерија „Милан Коњовић“</w:t>
            </w:r>
          </w:p>
        </w:tc>
        <w:tc>
          <w:tcPr>
            <w:tcW w:w="709" w:type="dxa"/>
            <w:vAlign w:val="center"/>
          </w:tcPr>
          <w:p w:rsidR="0057644C" w:rsidRPr="00B0554F" w:rsidRDefault="0057644C" w:rsidP="000606DF">
            <w:pPr>
              <w:jc w:val="center"/>
              <w:cnfStyle w:val="000000000000"/>
              <w:rPr>
                <w:lang/>
              </w:rPr>
            </w:pPr>
            <w:r w:rsidRPr="00B0554F">
              <w:rPr>
                <w:lang/>
              </w:rPr>
              <w:t>10.0</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r w:rsidRPr="00BB312B">
        <w:rPr>
          <w:rFonts w:ascii="Times New Roman" w:hAnsi="Times New Roman" w:cs="Times New Roman"/>
          <w:sz w:val="24"/>
          <w:szCs w:val="24"/>
        </w:rPr>
        <w:t>Остали одговори имају мањи бро</w:t>
      </w:r>
      <w:r>
        <w:rPr>
          <w:rFonts w:ascii="Times New Roman" w:hAnsi="Times New Roman" w:cs="Times New Roman"/>
          <w:sz w:val="24"/>
          <w:szCs w:val="24"/>
        </w:rPr>
        <w:t xml:space="preserve">ј предлагача, </w:t>
      </w:r>
      <w:r>
        <w:rPr>
          <w:rFonts w:ascii="Times New Roman" w:hAnsi="Times New Roman" w:cs="Times New Roman"/>
          <w:sz w:val="24"/>
          <w:szCs w:val="24"/>
          <w:lang/>
        </w:rPr>
        <w:t>и то су</w:t>
      </w:r>
      <w:r w:rsidRPr="00BB312B">
        <w:rPr>
          <w:rFonts w:ascii="Times New Roman" w:hAnsi="Times New Roman" w:cs="Times New Roman"/>
          <w:sz w:val="24"/>
          <w:szCs w:val="24"/>
        </w:rPr>
        <w:t>:</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lang/>
        </w:rPr>
        <w:t xml:space="preserve">Стари занати </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lang/>
        </w:rPr>
        <w:t>Етно садржаји (салаши, чарде и сл,)</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Слика "Битка код Сенте"</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Повеља Слободног краљевског града Сомбора</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lastRenderedPageBreak/>
        <w:t>Грашалковићева палата</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lang/>
        </w:rPr>
        <w:t>Специјални резерват природе Горње Подунавље</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lang/>
        </w:rPr>
        <w:t>Фијакер</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lang/>
        </w:rPr>
        <w:t>Зеленило Сомбора</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Некадашњи космополитизам и филантропија грађана Сомбора</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Богата и разноврсна архитектура</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lang/>
        </w:rPr>
        <w:t>Сунчани сат</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Медоколачарство</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Скулптура Лаза Костић</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Сомус</w:t>
      </w:r>
    </w:p>
    <w:p w:rsidR="0057644C" w:rsidRPr="00BB312B" w:rsidRDefault="0057644C" w:rsidP="00B03CD2">
      <w:pPr>
        <w:pStyle w:val="ListParagraph"/>
        <w:numPr>
          <w:ilvl w:val="0"/>
          <w:numId w:val="31"/>
        </w:numPr>
        <w:spacing w:after="200" w:line="276" w:lineRule="auto"/>
        <w:jc w:val="both"/>
        <w:rPr>
          <w:rFonts w:ascii="Times New Roman" w:hAnsi="Times New Roman" w:cs="Times New Roman"/>
          <w:sz w:val="24"/>
          <w:szCs w:val="24"/>
        </w:rPr>
      </w:pPr>
      <w:r w:rsidRPr="00BB312B">
        <w:rPr>
          <w:rFonts w:ascii="Times New Roman" w:hAnsi="Times New Roman" w:cs="Times New Roman"/>
          <w:sz w:val="24"/>
          <w:szCs w:val="24"/>
        </w:rPr>
        <w:t>Терминал фест</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Ликовна јесен</w:t>
      </w:r>
    </w:p>
    <w:p w:rsidR="0057644C" w:rsidRPr="00BB312B" w:rsidRDefault="0057644C" w:rsidP="00B03CD2">
      <w:pPr>
        <w:pStyle w:val="ListParagraph"/>
        <w:numPr>
          <w:ilvl w:val="0"/>
          <w:numId w:val="31"/>
        </w:numPr>
        <w:autoSpaceDE w:val="0"/>
        <w:autoSpaceDN w:val="0"/>
        <w:adjustRightInd w:val="0"/>
        <w:spacing w:after="0" w:line="276" w:lineRule="auto"/>
        <w:jc w:val="both"/>
        <w:rPr>
          <w:rFonts w:ascii="Times New Roman" w:hAnsi="Times New Roman" w:cs="Times New Roman"/>
          <w:sz w:val="24"/>
          <w:szCs w:val="24"/>
        </w:rPr>
      </w:pPr>
      <w:r w:rsidRPr="00BB312B">
        <w:rPr>
          <w:rFonts w:ascii="Times New Roman" w:hAnsi="Times New Roman" w:cs="Times New Roman"/>
          <w:sz w:val="24"/>
          <w:szCs w:val="24"/>
        </w:rPr>
        <w:t>Вељкови дани</w:t>
      </w:r>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040615">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У </w:t>
      </w:r>
      <w:r w:rsidRPr="00AC0FF1">
        <w:rPr>
          <w:rFonts w:ascii="Times New Roman" w:hAnsi="Times New Roman" w:cs="Times New Roman"/>
          <w:sz w:val="24"/>
          <w:szCs w:val="24"/>
          <w:lang/>
        </w:rPr>
        <w:t>циљу развоја културне препознатљивости и културно-туристичке понуде града</w:t>
      </w:r>
      <w:r>
        <w:rPr>
          <w:rFonts w:ascii="Times New Roman" w:hAnsi="Times New Roman" w:cs="Times New Roman"/>
          <w:sz w:val="24"/>
          <w:szCs w:val="24"/>
          <w:lang/>
        </w:rPr>
        <w:t xml:space="preserve"> према мишљењу запослених у установама културе, Град би посебно требало да подржи </w:t>
      </w:r>
      <w:r w:rsidRPr="00AC0FF1">
        <w:rPr>
          <w:rFonts w:ascii="Times New Roman" w:hAnsi="Times New Roman" w:cs="Times New Roman"/>
          <w:sz w:val="24"/>
          <w:szCs w:val="24"/>
          <w:lang/>
        </w:rPr>
        <w:t>дворце у околини Сомбора</w:t>
      </w:r>
      <w:r>
        <w:rPr>
          <w:rFonts w:ascii="Times New Roman" w:hAnsi="Times New Roman" w:cs="Times New Roman"/>
          <w:sz w:val="24"/>
          <w:szCs w:val="24"/>
          <w:lang/>
        </w:rPr>
        <w:t xml:space="preserve">, </w:t>
      </w:r>
      <w:r w:rsidRPr="00AC0FF1">
        <w:rPr>
          <w:rFonts w:ascii="Times New Roman" w:hAnsi="Times New Roman" w:cs="Times New Roman"/>
          <w:sz w:val="24"/>
          <w:szCs w:val="24"/>
          <w:lang/>
        </w:rPr>
        <w:t>обј</w:t>
      </w:r>
      <w:r>
        <w:rPr>
          <w:rFonts w:ascii="Times New Roman" w:hAnsi="Times New Roman" w:cs="Times New Roman"/>
          <w:sz w:val="24"/>
          <w:szCs w:val="24"/>
          <w:lang/>
        </w:rPr>
        <w:t>екте</w:t>
      </w:r>
      <w:r w:rsidRPr="00AC0FF1">
        <w:rPr>
          <w:rFonts w:ascii="Times New Roman" w:hAnsi="Times New Roman" w:cs="Times New Roman"/>
          <w:sz w:val="24"/>
          <w:szCs w:val="24"/>
          <w:lang/>
        </w:rPr>
        <w:t xml:space="preserve"> и простор старог градског језгра</w:t>
      </w:r>
      <w:r>
        <w:rPr>
          <w:rFonts w:ascii="Times New Roman" w:hAnsi="Times New Roman" w:cs="Times New Roman"/>
          <w:sz w:val="24"/>
          <w:szCs w:val="24"/>
          <w:lang/>
        </w:rPr>
        <w:t xml:space="preserve">, нематеријално културно наслеђе </w:t>
      </w:r>
      <w:r w:rsidRPr="00AC0FF1">
        <w:rPr>
          <w:rFonts w:ascii="Times New Roman" w:hAnsi="Times New Roman" w:cs="Times New Roman"/>
          <w:sz w:val="24"/>
          <w:szCs w:val="24"/>
          <w:lang/>
        </w:rPr>
        <w:t>и савр</w:t>
      </w:r>
      <w:r>
        <w:rPr>
          <w:rFonts w:ascii="Times New Roman" w:hAnsi="Times New Roman" w:cs="Times New Roman"/>
          <w:sz w:val="24"/>
          <w:szCs w:val="24"/>
          <w:lang/>
        </w:rPr>
        <w:t>емно стваралаштво, односно старе занате Сомбора и фестивале</w:t>
      </w:r>
      <w:r w:rsidRPr="00AC0FF1">
        <w:rPr>
          <w:rFonts w:ascii="Times New Roman" w:hAnsi="Times New Roman" w:cs="Times New Roman"/>
          <w:sz w:val="24"/>
          <w:szCs w:val="24"/>
          <w:lang/>
        </w:rPr>
        <w:t>.</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lang/>
        </w:rPr>
        <w:t xml:space="preserve">Табела 11: </w:t>
      </w:r>
      <w:r w:rsidRPr="00992F08">
        <w:rPr>
          <w:rFonts w:ascii="Times New Roman" w:hAnsi="Times New Roman" w:cs="Times New Roman"/>
          <w:sz w:val="24"/>
          <w:szCs w:val="24"/>
          <w:lang/>
        </w:rPr>
        <w:t>Објекти и особености које би требало посебно подржати</w:t>
      </w:r>
      <w:r w:rsidRPr="00AC0FF1">
        <w:rPr>
          <w:rFonts w:ascii="Times New Roman" w:hAnsi="Times New Roman" w:cs="Times New Roman"/>
          <w:sz w:val="24"/>
          <w:szCs w:val="24"/>
          <w:lang/>
        </w:rPr>
        <w:t xml:space="preserve"> </w:t>
      </w:r>
    </w:p>
    <w:tbl>
      <w:tblPr>
        <w:tblStyle w:val="GridTable4-Accent11"/>
        <w:tblW w:w="0" w:type="auto"/>
        <w:tblLook w:val="04A0"/>
      </w:tblPr>
      <w:tblGrid>
        <w:gridCol w:w="8217"/>
        <w:gridCol w:w="1106"/>
      </w:tblGrid>
      <w:tr w:rsidR="0057644C" w:rsidRPr="00B0554F" w:rsidTr="000606DF">
        <w:trPr>
          <w:cnfStyle w:val="100000000000"/>
        </w:trPr>
        <w:tc>
          <w:tcPr>
            <w:cnfStyle w:val="001000000000"/>
            <w:tcW w:w="8217" w:type="dxa"/>
            <w:vAlign w:val="center"/>
          </w:tcPr>
          <w:p w:rsidR="0057644C" w:rsidRPr="00B0554F" w:rsidRDefault="0057644C" w:rsidP="000606DF">
            <w:pPr>
              <w:spacing w:line="276" w:lineRule="auto"/>
              <w:jc w:val="both"/>
              <w:rPr>
                <w:b w:val="0"/>
                <w:lang/>
              </w:rPr>
            </w:pPr>
            <w:r w:rsidRPr="00B0554F">
              <w:rPr>
                <w:b w:val="0"/>
                <w:lang/>
              </w:rPr>
              <w:t>Објекти и особености које би требало посебно подржати</w:t>
            </w:r>
          </w:p>
        </w:tc>
        <w:tc>
          <w:tcPr>
            <w:tcW w:w="1106" w:type="dxa"/>
            <w:vAlign w:val="center"/>
          </w:tcPr>
          <w:p w:rsidR="0057644C" w:rsidRPr="00B0554F" w:rsidRDefault="0057644C" w:rsidP="000606DF">
            <w:pPr>
              <w:spacing w:line="276" w:lineRule="auto"/>
              <w:jc w:val="center"/>
              <w:cnfStyle w:val="100000000000"/>
              <w:rPr>
                <w:sz w:val="24"/>
                <w:szCs w:val="24"/>
                <w:lang/>
              </w:rPr>
            </w:pPr>
            <w:r w:rsidRPr="00B0554F">
              <w:rPr>
                <w:sz w:val="24"/>
                <w:szCs w:val="24"/>
                <w:lang/>
              </w:rPr>
              <w:t>%</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Дворци у околини Сомбора</w:t>
            </w:r>
          </w:p>
        </w:tc>
        <w:tc>
          <w:tcPr>
            <w:tcW w:w="1106" w:type="dxa"/>
            <w:vAlign w:val="center"/>
          </w:tcPr>
          <w:p w:rsidR="0057644C" w:rsidRPr="00B0554F" w:rsidRDefault="0057644C" w:rsidP="000606DF">
            <w:pPr>
              <w:jc w:val="center"/>
              <w:cnfStyle w:val="000000100000"/>
              <w:rPr>
                <w:lang/>
              </w:rPr>
            </w:pPr>
            <w:r w:rsidRPr="00B0554F">
              <w:rPr>
                <w:lang/>
              </w:rPr>
              <w:t>41.9%</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Објекти и простор старог градског језгра</w:t>
            </w:r>
          </w:p>
        </w:tc>
        <w:tc>
          <w:tcPr>
            <w:tcW w:w="1106" w:type="dxa"/>
            <w:vAlign w:val="center"/>
          </w:tcPr>
          <w:p w:rsidR="0057644C" w:rsidRPr="00B0554F" w:rsidRDefault="0057644C" w:rsidP="000606DF">
            <w:pPr>
              <w:jc w:val="center"/>
              <w:cnfStyle w:val="000000000000"/>
              <w:rPr>
                <w:lang/>
              </w:rPr>
            </w:pPr>
            <w:r w:rsidRPr="00B0554F">
              <w:rPr>
                <w:lang/>
              </w:rPr>
              <w:t>30.2%</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 xml:space="preserve">Стари занати Сомбора (стапарски ћилим, бездански дамаст, </w:t>
            </w:r>
            <w:r>
              <w:rPr>
                <w:lang/>
              </w:rPr>
              <w:t>сомборски сир</w:t>
            </w:r>
            <w:r w:rsidRPr="00B0554F">
              <w:rPr>
                <w:lang/>
              </w:rPr>
              <w:t xml:space="preserve"> и сл.)</w:t>
            </w:r>
          </w:p>
        </w:tc>
        <w:tc>
          <w:tcPr>
            <w:tcW w:w="1106" w:type="dxa"/>
            <w:vAlign w:val="center"/>
          </w:tcPr>
          <w:p w:rsidR="0057644C" w:rsidRPr="00B0554F" w:rsidRDefault="0057644C" w:rsidP="000606DF">
            <w:pPr>
              <w:jc w:val="center"/>
              <w:cnfStyle w:val="000000100000"/>
              <w:rPr>
                <w:lang/>
              </w:rPr>
            </w:pPr>
            <w:r w:rsidRPr="00B0554F">
              <w:rPr>
                <w:lang/>
              </w:rPr>
              <w:t>27.9%</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Фестивали</w:t>
            </w:r>
          </w:p>
        </w:tc>
        <w:tc>
          <w:tcPr>
            <w:tcW w:w="1106" w:type="dxa"/>
            <w:vAlign w:val="center"/>
          </w:tcPr>
          <w:p w:rsidR="0057644C" w:rsidRPr="00B0554F" w:rsidRDefault="0057644C" w:rsidP="000606DF">
            <w:pPr>
              <w:jc w:val="center"/>
              <w:cnfStyle w:val="000000000000"/>
              <w:rPr>
                <w:lang/>
              </w:rPr>
            </w:pPr>
            <w:r w:rsidRPr="00B0554F">
              <w:rPr>
                <w:lang/>
              </w:rPr>
              <w:t>27.9%</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Резерват биосфере Бачко Подунавље</w:t>
            </w:r>
          </w:p>
        </w:tc>
        <w:tc>
          <w:tcPr>
            <w:tcW w:w="1106" w:type="dxa"/>
            <w:vAlign w:val="center"/>
          </w:tcPr>
          <w:p w:rsidR="0057644C" w:rsidRPr="00B0554F" w:rsidRDefault="0057644C" w:rsidP="000606DF">
            <w:pPr>
              <w:jc w:val="center"/>
              <w:cnfStyle w:val="000000100000"/>
              <w:rPr>
                <w:lang/>
              </w:rPr>
            </w:pPr>
            <w:r w:rsidRPr="00B0554F">
              <w:rPr>
                <w:lang/>
              </w:rPr>
              <w:t>25.6%</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Градски музеј Сомбор</w:t>
            </w:r>
          </w:p>
        </w:tc>
        <w:tc>
          <w:tcPr>
            <w:tcW w:w="1106" w:type="dxa"/>
            <w:vAlign w:val="center"/>
          </w:tcPr>
          <w:p w:rsidR="0057644C" w:rsidRPr="00B0554F" w:rsidRDefault="0057644C" w:rsidP="000606DF">
            <w:pPr>
              <w:jc w:val="center"/>
              <w:cnfStyle w:val="000000000000"/>
              <w:rPr>
                <w:lang/>
              </w:rPr>
            </w:pPr>
            <w:r w:rsidRPr="00B0554F">
              <w:rPr>
                <w:lang/>
              </w:rPr>
              <w:t>23.3%</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Мултикултурни карактер</w:t>
            </w:r>
          </w:p>
        </w:tc>
        <w:tc>
          <w:tcPr>
            <w:tcW w:w="1106" w:type="dxa"/>
            <w:vAlign w:val="center"/>
          </w:tcPr>
          <w:p w:rsidR="0057644C" w:rsidRPr="00B0554F" w:rsidRDefault="0057644C" w:rsidP="000606DF">
            <w:pPr>
              <w:jc w:val="center"/>
              <w:cnfStyle w:val="000000100000"/>
              <w:rPr>
                <w:lang/>
              </w:rPr>
            </w:pPr>
            <w:r w:rsidRPr="00B0554F">
              <w:rPr>
                <w:lang/>
              </w:rPr>
              <w:t>18.6%</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Позоришно стваралаштво</w:t>
            </w:r>
          </w:p>
        </w:tc>
        <w:tc>
          <w:tcPr>
            <w:tcW w:w="1106" w:type="dxa"/>
            <w:vAlign w:val="center"/>
          </w:tcPr>
          <w:p w:rsidR="0057644C" w:rsidRPr="00B0554F" w:rsidRDefault="0057644C" w:rsidP="000606DF">
            <w:pPr>
              <w:jc w:val="center"/>
              <w:cnfStyle w:val="000000000000"/>
              <w:rPr>
                <w:lang/>
              </w:rPr>
            </w:pPr>
            <w:r w:rsidRPr="00B0554F">
              <w:rPr>
                <w:lang/>
              </w:rPr>
              <w:t>14.0%</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Књижевна традиција и стваралаштво</w:t>
            </w:r>
          </w:p>
        </w:tc>
        <w:tc>
          <w:tcPr>
            <w:tcW w:w="1106" w:type="dxa"/>
            <w:vAlign w:val="center"/>
          </w:tcPr>
          <w:p w:rsidR="0057644C" w:rsidRPr="00B0554F" w:rsidRDefault="0057644C" w:rsidP="000606DF">
            <w:pPr>
              <w:jc w:val="center"/>
              <w:cnfStyle w:val="000000100000"/>
              <w:rPr>
                <w:lang/>
              </w:rPr>
            </w:pPr>
            <w:r w:rsidRPr="00B0554F">
              <w:rPr>
                <w:lang/>
              </w:rPr>
              <w:t>14.0%</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Сликарска традиција и Галерија „Милан Коњовић“</w:t>
            </w:r>
          </w:p>
        </w:tc>
        <w:tc>
          <w:tcPr>
            <w:tcW w:w="1106" w:type="dxa"/>
            <w:vAlign w:val="center"/>
          </w:tcPr>
          <w:p w:rsidR="0057644C" w:rsidRPr="00B0554F" w:rsidRDefault="0057644C" w:rsidP="000606DF">
            <w:pPr>
              <w:jc w:val="center"/>
              <w:cnfStyle w:val="000000000000"/>
              <w:rPr>
                <w:lang/>
              </w:rPr>
            </w:pPr>
            <w:r w:rsidRPr="00B0554F">
              <w:rPr>
                <w:lang/>
              </w:rPr>
              <w:t>11.6%</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Манастири (Манастир Светог архиђакона Стевана, Фрањевачки манастир и Кармелићански манастир</w:t>
            </w:r>
          </w:p>
        </w:tc>
        <w:tc>
          <w:tcPr>
            <w:tcW w:w="1106" w:type="dxa"/>
            <w:vAlign w:val="center"/>
          </w:tcPr>
          <w:p w:rsidR="0057644C" w:rsidRPr="00B0554F" w:rsidRDefault="0057644C" w:rsidP="000606DF">
            <w:pPr>
              <w:jc w:val="center"/>
              <w:cnfStyle w:val="000000100000"/>
              <w:rPr>
                <w:lang/>
              </w:rPr>
            </w:pPr>
            <w:r w:rsidRPr="00B0554F">
              <w:rPr>
                <w:lang/>
              </w:rPr>
              <w:t>9.3%</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Филмска традиција и стваралаштво</w:t>
            </w:r>
          </w:p>
        </w:tc>
        <w:tc>
          <w:tcPr>
            <w:tcW w:w="1106" w:type="dxa"/>
            <w:vAlign w:val="center"/>
          </w:tcPr>
          <w:p w:rsidR="0057644C" w:rsidRPr="00B0554F" w:rsidRDefault="0057644C" w:rsidP="000606DF">
            <w:pPr>
              <w:jc w:val="center"/>
              <w:cnfStyle w:val="000000000000"/>
              <w:rPr>
                <w:lang/>
              </w:rPr>
            </w:pPr>
            <w:r w:rsidRPr="00B0554F">
              <w:rPr>
                <w:lang/>
              </w:rPr>
              <w:t>9.3%</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Споменици индустријске архитектуре (преводница код Бездана и сл.)</w:t>
            </w:r>
          </w:p>
        </w:tc>
        <w:tc>
          <w:tcPr>
            <w:tcW w:w="1106" w:type="dxa"/>
            <w:vAlign w:val="center"/>
          </w:tcPr>
          <w:p w:rsidR="0057644C" w:rsidRPr="00B0554F" w:rsidRDefault="0057644C" w:rsidP="000606DF">
            <w:pPr>
              <w:jc w:val="center"/>
              <w:cnfStyle w:val="000000100000"/>
              <w:rPr>
                <w:lang/>
              </w:rPr>
            </w:pPr>
            <w:r w:rsidRPr="00B0554F">
              <w:rPr>
                <w:lang/>
              </w:rPr>
              <w:t>7.0%</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Цркве – барокне грађевине</w:t>
            </w:r>
          </w:p>
        </w:tc>
        <w:tc>
          <w:tcPr>
            <w:tcW w:w="1106" w:type="dxa"/>
            <w:vAlign w:val="center"/>
          </w:tcPr>
          <w:p w:rsidR="0057644C" w:rsidRPr="00B0554F" w:rsidRDefault="0057644C" w:rsidP="000606DF">
            <w:pPr>
              <w:jc w:val="center"/>
              <w:cnfStyle w:val="000000000000"/>
              <w:rPr>
                <w:lang/>
              </w:rPr>
            </w:pPr>
            <w:r w:rsidRPr="00B0554F">
              <w:rPr>
                <w:lang/>
              </w:rPr>
              <w:t>4.7%</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Стратишта Подунавских Немаца (Гаково, Крушевље, Кронић палата)</w:t>
            </w:r>
          </w:p>
        </w:tc>
        <w:tc>
          <w:tcPr>
            <w:tcW w:w="1106" w:type="dxa"/>
            <w:vAlign w:val="center"/>
          </w:tcPr>
          <w:p w:rsidR="0057644C" w:rsidRPr="00B0554F" w:rsidRDefault="0057644C" w:rsidP="000606DF">
            <w:pPr>
              <w:jc w:val="center"/>
              <w:cnfStyle w:val="000000100000"/>
              <w:rPr>
                <w:lang/>
              </w:rPr>
            </w:pPr>
            <w:r w:rsidRPr="00B0554F">
              <w:rPr>
                <w:lang/>
              </w:rPr>
              <w:t>4.7%</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Музеј Батинске битке</w:t>
            </w:r>
          </w:p>
        </w:tc>
        <w:tc>
          <w:tcPr>
            <w:tcW w:w="1106" w:type="dxa"/>
            <w:vAlign w:val="center"/>
          </w:tcPr>
          <w:p w:rsidR="0057644C" w:rsidRPr="00B0554F" w:rsidRDefault="0057644C" w:rsidP="000606DF">
            <w:pPr>
              <w:jc w:val="center"/>
              <w:cnfStyle w:val="000000000000"/>
              <w:rPr>
                <w:lang/>
              </w:rPr>
            </w:pPr>
            <w:r w:rsidRPr="00B0554F">
              <w:rPr>
                <w:lang/>
              </w:rPr>
              <w:t>4.7%</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Ликовно стваралаштво</w:t>
            </w:r>
          </w:p>
        </w:tc>
        <w:tc>
          <w:tcPr>
            <w:tcW w:w="1106" w:type="dxa"/>
            <w:vAlign w:val="center"/>
          </w:tcPr>
          <w:p w:rsidR="0057644C" w:rsidRPr="00B0554F" w:rsidRDefault="0057644C" w:rsidP="000606DF">
            <w:pPr>
              <w:jc w:val="center"/>
              <w:cnfStyle w:val="000000100000"/>
              <w:rPr>
                <w:lang/>
              </w:rPr>
            </w:pPr>
            <w:r w:rsidRPr="00B0554F">
              <w:rPr>
                <w:lang/>
              </w:rPr>
              <w:t>4.7%</w:t>
            </w:r>
          </w:p>
        </w:tc>
      </w:tr>
      <w:tr w:rsidR="0057644C" w:rsidRPr="00B0554F" w:rsidTr="000606DF">
        <w:tc>
          <w:tcPr>
            <w:cnfStyle w:val="001000000000"/>
            <w:tcW w:w="8217" w:type="dxa"/>
            <w:vAlign w:val="center"/>
          </w:tcPr>
          <w:p w:rsidR="0057644C" w:rsidRPr="00B0554F" w:rsidRDefault="0057644C" w:rsidP="000606DF">
            <w:pPr>
              <w:rPr>
                <w:lang/>
              </w:rPr>
            </w:pPr>
            <w:r w:rsidRPr="00B0554F">
              <w:rPr>
                <w:lang/>
              </w:rPr>
              <w:t>Винске руте Сомбора</w:t>
            </w:r>
          </w:p>
        </w:tc>
        <w:tc>
          <w:tcPr>
            <w:tcW w:w="1106" w:type="dxa"/>
            <w:vAlign w:val="center"/>
          </w:tcPr>
          <w:p w:rsidR="0057644C" w:rsidRPr="00B0554F" w:rsidRDefault="0057644C" w:rsidP="000606DF">
            <w:pPr>
              <w:jc w:val="center"/>
              <w:cnfStyle w:val="000000000000"/>
              <w:rPr>
                <w:lang/>
              </w:rPr>
            </w:pPr>
            <w:r w:rsidRPr="00B0554F">
              <w:rPr>
                <w:lang/>
              </w:rPr>
              <w:t>2.3%</w:t>
            </w:r>
          </w:p>
        </w:tc>
      </w:tr>
      <w:tr w:rsidR="0057644C" w:rsidRPr="00B0554F" w:rsidTr="000606DF">
        <w:trPr>
          <w:cnfStyle w:val="000000100000"/>
        </w:trPr>
        <w:tc>
          <w:tcPr>
            <w:cnfStyle w:val="001000000000"/>
            <w:tcW w:w="8217" w:type="dxa"/>
            <w:vAlign w:val="center"/>
          </w:tcPr>
          <w:p w:rsidR="0057644C" w:rsidRPr="00B0554F" w:rsidRDefault="0057644C" w:rsidP="000606DF">
            <w:pPr>
              <w:rPr>
                <w:lang/>
              </w:rPr>
            </w:pPr>
            <w:r w:rsidRPr="00B0554F">
              <w:rPr>
                <w:lang/>
              </w:rPr>
              <w:t>Друго</w:t>
            </w:r>
          </w:p>
        </w:tc>
        <w:tc>
          <w:tcPr>
            <w:tcW w:w="1106" w:type="dxa"/>
            <w:vAlign w:val="center"/>
          </w:tcPr>
          <w:p w:rsidR="0057644C" w:rsidRPr="00B0554F" w:rsidRDefault="0057644C" w:rsidP="000606DF">
            <w:pPr>
              <w:jc w:val="center"/>
              <w:cnfStyle w:val="000000100000"/>
              <w:rPr>
                <w:lang/>
              </w:rPr>
            </w:pPr>
            <w:r w:rsidRPr="00B0554F">
              <w:rPr>
                <w:lang/>
              </w:rPr>
              <w:t>9.3%</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Када је реч о знаменитим личностима испитанивци у овој анкети сматрају да је то, првенствено, </w:t>
      </w:r>
      <w:r w:rsidRPr="00992F08">
        <w:rPr>
          <w:rFonts w:ascii="Times New Roman" w:hAnsi="Times New Roman" w:cs="Times New Roman"/>
          <w:sz w:val="24"/>
          <w:szCs w:val="24"/>
          <w:lang/>
        </w:rPr>
        <w:t>Милан Коњовић</w:t>
      </w:r>
      <w:r w:rsidRPr="00BB312B">
        <w:rPr>
          <w:rFonts w:ascii="Times New Roman" w:hAnsi="Times New Roman" w:cs="Times New Roman"/>
          <w:sz w:val="24"/>
          <w:szCs w:val="24"/>
          <w:lang/>
        </w:rPr>
        <w:t xml:space="preserve">, </w:t>
      </w:r>
      <w:r w:rsidRPr="00992F08">
        <w:rPr>
          <w:rFonts w:ascii="Times New Roman" w:hAnsi="Times New Roman" w:cs="Times New Roman"/>
          <w:sz w:val="24"/>
          <w:szCs w:val="24"/>
          <w:lang/>
        </w:rPr>
        <w:t>затим Лаза Костић и Вељко Петровић.</w:t>
      </w:r>
      <w:r w:rsidRPr="00BB312B">
        <w:rPr>
          <w:rFonts w:ascii="Times New Roman" w:hAnsi="Times New Roman" w:cs="Times New Roman"/>
          <w:sz w:val="24"/>
          <w:szCs w:val="24"/>
          <w:lang/>
        </w:rPr>
        <w:t xml:space="preserve"> </w:t>
      </w:r>
      <w:r>
        <w:rPr>
          <w:rFonts w:ascii="Times New Roman" w:hAnsi="Times New Roman" w:cs="Times New Roman"/>
          <w:sz w:val="24"/>
          <w:szCs w:val="24"/>
          <w:lang/>
        </w:rPr>
        <w:t xml:space="preserve">Поред њих, навођени су </w:t>
      </w:r>
      <w:r w:rsidRPr="00992F08">
        <w:rPr>
          <w:rFonts w:ascii="Times New Roman" w:hAnsi="Times New Roman" w:cs="Times New Roman"/>
          <w:sz w:val="24"/>
          <w:szCs w:val="24"/>
          <w:lang/>
        </w:rPr>
        <w:t>и Ернест Бошњак и Чихаш Бене</w:t>
      </w:r>
      <w:r>
        <w:rPr>
          <w:rFonts w:ascii="Times New Roman" w:hAnsi="Times New Roman" w:cs="Times New Roman"/>
          <w:sz w:val="24"/>
          <w:szCs w:val="24"/>
          <w:lang/>
        </w:rPr>
        <w:t xml:space="preserve">. </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992F08"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Табела 12: Знамените личности Сомбора, према мишљењу запослених у установама културе у Сомбору</w:t>
      </w:r>
    </w:p>
    <w:tbl>
      <w:tblPr>
        <w:tblStyle w:val="GridTable4-Accent11"/>
        <w:tblW w:w="0" w:type="auto"/>
        <w:tblLook w:val="04A0"/>
      </w:tblPr>
      <w:tblGrid>
        <w:gridCol w:w="4135"/>
        <w:gridCol w:w="2080"/>
        <w:gridCol w:w="3108"/>
      </w:tblGrid>
      <w:tr w:rsidR="0057644C" w:rsidRPr="00BB312B" w:rsidTr="000606DF">
        <w:trPr>
          <w:cnfStyle w:val="100000000000"/>
        </w:trPr>
        <w:tc>
          <w:tcPr>
            <w:cnfStyle w:val="001000000000"/>
            <w:tcW w:w="4135" w:type="dxa"/>
          </w:tcPr>
          <w:p w:rsidR="0057644C" w:rsidRPr="00992F08" w:rsidRDefault="0057644C" w:rsidP="000606DF">
            <w:pPr>
              <w:spacing w:line="276" w:lineRule="auto"/>
              <w:jc w:val="both"/>
              <w:rPr>
                <w:lang/>
              </w:rPr>
            </w:pPr>
            <w:r>
              <w:rPr>
                <w:lang/>
              </w:rPr>
              <w:t>Знамените личности Сомбора</w:t>
            </w:r>
          </w:p>
        </w:tc>
        <w:tc>
          <w:tcPr>
            <w:tcW w:w="2080" w:type="dxa"/>
          </w:tcPr>
          <w:p w:rsidR="0057644C" w:rsidRPr="00992F08" w:rsidRDefault="0057644C" w:rsidP="000606DF">
            <w:pPr>
              <w:spacing w:line="276" w:lineRule="auto"/>
              <w:jc w:val="center"/>
              <w:cnfStyle w:val="100000000000"/>
              <w:rPr>
                <w:lang/>
              </w:rPr>
            </w:pPr>
            <w:r>
              <w:rPr>
                <w:lang/>
              </w:rPr>
              <w:t>%</w:t>
            </w:r>
          </w:p>
        </w:tc>
        <w:tc>
          <w:tcPr>
            <w:tcW w:w="3108" w:type="dxa"/>
          </w:tcPr>
          <w:p w:rsidR="0057644C" w:rsidRPr="00992F08" w:rsidRDefault="0057644C" w:rsidP="000606DF">
            <w:pPr>
              <w:spacing w:line="276" w:lineRule="auto"/>
              <w:jc w:val="center"/>
              <w:cnfStyle w:val="100000000000"/>
              <w:rPr>
                <w:lang/>
              </w:rPr>
            </w:pPr>
            <w:r>
              <w:rPr>
                <w:lang/>
              </w:rPr>
              <w:t>% случајева</w:t>
            </w:r>
          </w:p>
        </w:tc>
      </w:tr>
      <w:tr w:rsidR="0057644C" w:rsidRPr="00BB312B" w:rsidTr="000606DF">
        <w:trPr>
          <w:cnfStyle w:val="000000100000"/>
        </w:trPr>
        <w:tc>
          <w:tcPr>
            <w:cnfStyle w:val="001000000000"/>
            <w:tcW w:w="4135" w:type="dxa"/>
          </w:tcPr>
          <w:p w:rsidR="0057644C" w:rsidRPr="00B0554F" w:rsidRDefault="0057644C" w:rsidP="000606DF">
            <w:pPr>
              <w:spacing w:line="276" w:lineRule="auto"/>
              <w:jc w:val="both"/>
              <w:rPr>
                <w:lang/>
              </w:rPr>
            </w:pPr>
            <w:r w:rsidRPr="00B0554F">
              <w:rPr>
                <w:lang/>
              </w:rPr>
              <w:t>Милан Коњовић</w:t>
            </w:r>
          </w:p>
        </w:tc>
        <w:tc>
          <w:tcPr>
            <w:tcW w:w="2080" w:type="dxa"/>
          </w:tcPr>
          <w:p w:rsidR="0057644C" w:rsidRPr="00992F08" w:rsidRDefault="0057644C" w:rsidP="000606DF">
            <w:pPr>
              <w:spacing w:line="276" w:lineRule="auto"/>
              <w:jc w:val="center"/>
              <w:cnfStyle w:val="000000100000"/>
            </w:pPr>
            <w:r w:rsidRPr="00992F08">
              <w:t>36.4%</w:t>
            </w:r>
          </w:p>
        </w:tc>
        <w:tc>
          <w:tcPr>
            <w:tcW w:w="3108" w:type="dxa"/>
          </w:tcPr>
          <w:p w:rsidR="0057644C" w:rsidRPr="00992F08" w:rsidRDefault="0057644C" w:rsidP="000606DF">
            <w:pPr>
              <w:spacing w:line="276" w:lineRule="auto"/>
              <w:jc w:val="center"/>
              <w:cnfStyle w:val="000000100000"/>
            </w:pPr>
            <w:r w:rsidRPr="00992F08">
              <w:t>71.8%</w:t>
            </w:r>
          </w:p>
        </w:tc>
      </w:tr>
      <w:tr w:rsidR="0057644C" w:rsidRPr="00BB312B" w:rsidTr="000606DF">
        <w:tc>
          <w:tcPr>
            <w:cnfStyle w:val="001000000000"/>
            <w:tcW w:w="4135" w:type="dxa"/>
          </w:tcPr>
          <w:p w:rsidR="0057644C" w:rsidRPr="00B0554F" w:rsidRDefault="0057644C" w:rsidP="000606DF">
            <w:pPr>
              <w:spacing w:line="276" w:lineRule="auto"/>
              <w:jc w:val="both"/>
              <w:rPr>
                <w:lang/>
              </w:rPr>
            </w:pPr>
            <w:r w:rsidRPr="00B0554F">
              <w:rPr>
                <w:lang/>
              </w:rPr>
              <w:t>Лаза Костић</w:t>
            </w:r>
          </w:p>
        </w:tc>
        <w:tc>
          <w:tcPr>
            <w:tcW w:w="2080" w:type="dxa"/>
          </w:tcPr>
          <w:p w:rsidR="0057644C" w:rsidRPr="00992F08" w:rsidRDefault="0057644C" w:rsidP="000606DF">
            <w:pPr>
              <w:spacing w:line="276" w:lineRule="auto"/>
              <w:jc w:val="center"/>
              <w:cnfStyle w:val="000000000000"/>
            </w:pPr>
            <w:r w:rsidRPr="00992F08">
              <w:t>18.2%</w:t>
            </w:r>
          </w:p>
        </w:tc>
        <w:tc>
          <w:tcPr>
            <w:tcW w:w="3108" w:type="dxa"/>
          </w:tcPr>
          <w:p w:rsidR="0057644C" w:rsidRPr="00992F08" w:rsidRDefault="0057644C" w:rsidP="000606DF">
            <w:pPr>
              <w:spacing w:line="276" w:lineRule="auto"/>
              <w:jc w:val="center"/>
              <w:cnfStyle w:val="000000000000"/>
            </w:pPr>
            <w:r w:rsidRPr="00992F08">
              <w:t>35.9%</w:t>
            </w:r>
          </w:p>
        </w:tc>
      </w:tr>
      <w:tr w:rsidR="0057644C" w:rsidRPr="00BB312B" w:rsidTr="000606DF">
        <w:trPr>
          <w:cnfStyle w:val="000000100000"/>
        </w:trPr>
        <w:tc>
          <w:tcPr>
            <w:cnfStyle w:val="001000000000"/>
            <w:tcW w:w="4135" w:type="dxa"/>
          </w:tcPr>
          <w:p w:rsidR="0057644C" w:rsidRPr="00B0554F" w:rsidRDefault="0057644C" w:rsidP="000606DF">
            <w:pPr>
              <w:spacing w:line="276" w:lineRule="auto"/>
              <w:jc w:val="both"/>
              <w:rPr>
                <w:lang/>
              </w:rPr>
            </w:pPr>
            <w:r w:rsidRPr="00B0554F">
              <w:rPr>
                <w:lang/>
              </w:rPr>
              <w:t>Вељко Петровић</w:t>
            </w:r>
          </w:p>
        </w:tc>
        <w:tc>
          <w:tcPr>
            <w:tcW w:w="2080" w:type="dxa"/>
          </w:tcPr>
          <w:p w:rsidR="0057644C" w:rsidRPr="00992F08" w:rsidRDefault="0057644C" w:rsidP="000606DF">
            <w:pPr>
              <w:spacing w:line="276" w:lineRule="auto"/>
              <w:jc w:val="center"/>
              <w:cnfStyle w:val="000000100000"/>
            </w:pPr>
            <w:r w:rsidRPr="00992F08">
              <w:t>16.9%</w:t>
            </w:r>
          </w:p>
        </w:tc>
        <w:tc>
          <w:tcPr>
            <w:tcW w:w="3108" w:type="dxa"/>
          </w:tcPr>
          <w:p w:rsidR="0057644C" w:rsidRPr="00992F08" w:rsidRDefault="0057644C" w:rsidP="000606DF">
            <w:pPr>
              <w:spacing w:line="276" w:lineRule="auto"/>
              <w:jc w:val="center"/>
              <w:cnfStyle w:val="000000100000"/>
            </w:pPr>
            <w:r w:rsidRPr="00992F08">
              <w:t>33.3%</w:t>
            </w:r>
          </w:p>
        </w:tc>
      </w:tr>
      <w:tr w:rsidR="0057644C" w:rsidRPr="00BB312B" w:rsidTr="000606DF">
        <w:tc>
          <w:tcPr>
            <w:cnfStyle w:val="001000000000"/>
            <w:tcW w:w="4135" w:type="dxa"/>
          </w:tcPr>
          <w:p w:rsidR="0057644C" w:rsidRPr="00B0554F" w:rsidRDefault="0057644C" w:rsidP="000606DF">
            <w:pPr>
              <w:spacing w:line="276" w:lineRule="auto"/>
              <w:jc w:val="both"/>
              <w:rPr>
                <w:lang/>
              </w:rPr>
            </w:pPr>
            <w:r w:rsidRPr="00B0554F">
              <w:rPr>
                <w:lang/>
              </w:rPr>
              <w:t>Ернест Бошњак</w:t>
            </w:r>
          </w:p>
        </w:tc>
        <w:tc>
          <w:tcPr>
            <w:tcW w:w="2080" w:type="dxa"/>
          </w:tcPr>
          <w:p w:rsidR="0057644C" w:rsidRPr="00992F08" w:rsidRDefault="0057644C" w:rsidP="000606DF">
            <w:pPr>
              <w:spacing w:line="276" w:lineRule="auto"/>
              <w:jc w:val="center"/>
              <w:cnfStyle w:val="000000000000"/>
            </w:pPr>
            <w:r w:rsidRPr="00992F08">
              <w:t>7.8%</w:t>
            </w:r>
          </w:p>
        </w:tc>
        <w:tc>
          <w:tcPr>
            <w:tcW w:w="3108" w:type="dxa"/>
          </w:tcPr>
          <w:p w:rsidR="0057644C" w:rsidRPr="00992F08" w:rsidRDefault="0057644C" w:rsidP="000606DF">
            <w:pPr>
              <w:spacing w:line="276" w:lineRule="auto"/>
              <w:jc w:val="center"/>
              <w:cnfStyle w:val="000000000000"/>
            </w:pPr>
            <w:r w:rsidRPr="00992F08">
              <w:t>15.4%</w:t>
            </w:r>
          </w:p>
        </w:tc>
      </w:tr>
      <w:tr w:rsidR="0057644C" w:rsidRPr="00BB312B" w:rsidTr="000606DF">
        <w:trPr>
          <w:cnfStyle w:val="000000100000"/>
        </w:trPr>
        <w:tc>
          <w:tcPr>
            <w:cnfStyle w:val="001000000000"/>
            <w:tcW w:w="4135" w:type="dxa"/>
          </w:tcPr>
          <w:p w:rsidR="0057644C" w:rsidRPr="00B0554F" w:rsidRDefault="0057644C" w:rsidP="000606DF">
            <w:pPr>
              <w:spacing w:line="276" w:lineRule="auto"/>
              <w:jc w:val="both"/>
              <w:rPr>
                <w:lang/>
              </w:rPr>
            </w:pPr>
            <w:r w:rsidRPr="00B0554F">
              <w:rPr>
                <w:lang/>
              </w:rPr>
              <w:t>Чихаш Бене</w:t>
            </w:r>
          </w:p>
        </w:tc>
        <w:tc>
          <w:tcPr>
            <w:tcW w:w="2080" w:type="dxa"/>
          </w:tcPr>
          <w:p w:rsidR="0057644C" w:rsidRPr="00992F08" w:rsidRDefault="0057644C" w:rsidP="000606DF">
            <w:pPr>
              <w:spacing w:line="276" w:lineRule="auto"/>
              <w:jc w:val="center"/>
              <w:cnfStyle w:val="000000100000"/>
            </w:pPr>
            <w:r w:rsidRPr="00992F08">
              <w:t>5.2%</w:t>
            </w:r>
          </w:p>
        </w:tc>
        <w:tc>
          <w:tcPr>
            <w:tcW w:w="3108" w:type="dxa"/>
          </w:tcPr>
          <w:p w:rsidR="0057644C" w:rsidRPr="00992F08" w:rsidRDefault="0057644C" w:rsidP="000606DF">
            <w:pPr>
              <w:spacing w:line="276" w:lineRule="auto"/>
              <w:jc w:val="center"/>
              <w:cnfStyle w:val="000000100000"/>
            </w:pPr>
            <w:r w:rsidRPr="00992F08">
              <w:t>10.3%</w:t>
            </w:r>
          </w:p>
        </w:tc>
      </w:tr>
      <w:tr w:rsidR="0057644C" w:rsidRPr="00BB312B" w:rsidTr="000606DF">
        <w:tc>
          <w:tcPr>
            <w:cnfStyle w:val="001000000000"/>
            <w:tcW w:w="4135" w:type="dxa"/>
          </w:tcPr>
          <w:p w:rsidR="0057644C" w:rsidRPr="00B0554F" w:rsidRDefault="0057644C" w:rsidP="000606DF">
            <w:pPr>
              <w:spacing w:line="276" w:lineRule="auto"/>
              <w:jc w:val="both"/>
              <w:rPr>
                <w:lang/>
              </w:rPr>
            </w:pPr>
            <w:r w:rsidRPr="00B0554F">
              <w:rPr>
                <w:lang/>
              </w:rPr>
              <w:t>Аврам Мразовић</w:t>
            </w:r>
          </w:p>
        </w:tc>
        <w:tc>
          <w:tcPr>
            <w:tcW w:w="2080" w:type="dxa"/>
          </w:tcPr>
          <w:p w:rsidR="0057644C" w:rsidRPr="00992F08" w:rsidRDefault="0057644C" w:rsidP="000606DF">
            <w:pPr>
              <w:spacing w:line="276" w:lineRule="auto"/>
              <w:jc w:val="center"/>
              <w:cnfStyle w:val="000000000000"/>
            </w:pPr>
            <w:r w:rsidRPr="00992F08">
              <w:t>3.9%</w:t>
            </w:r>
          </w:p>
        </w:tc>
        <w:tc>
          <w:tcPr>
            <w:tcW w:w="3108" w:type="dxa"/>
          </w:tcPr>
          <w:p w:rsidR="0057644C" w:rsidRPr="00992F08" w:rsidRDefault="0057644C" w:rsidP="000606DF">
            <w:pPr>
              <w:spacing w:line="276" w:lineRule="auto"/>
              <w:jc w:val="center"/>
              <w:cnfStyle w:val="000000000000"/>
            </w:pPr>
            <w:r w:rsidRPr="00992F08">
              <w:t>7.7%</w:t>
            </w:r>
          </w:p>
        </w:tc>
      </w:tr>
      <w:tr w:rsidR="0057644C" w:rsidRPr="00BB312B" w:rsidTr="000606DF">
        <w:trPr>
          <w:cnfStyle w:val="000000100000"/>
        </w:trPr>
        <w:tc>
          <w:tcPr>
            <w:cnfStyle w:val="001000000000"/>
            <w:tcW w:w="4135" w:type="dxa"/>
          </w:tcPr>
          <w:p w:rsidR="0057644C" w:rsidRPr="00B0554F" w:rsidRDefault="0057644C" w:rsidP="000606DF">
            <w:pPr>
              <w:spacing w:line="276" w:lineRule="auto"/>
              <w:jc w:val="both"/>
              <w:rPr>
                <w:lang/>
              </w:rPr>
            </w:pPr>
            <w:r w:rsidRPr="00B0554F">
              <w:rPr>
                <w:lang/>
              </w:rPr>
              <w:t>Никола Максимовић</w:t>
            </w:r>
          </w:p>
        </w:tc>
        <w:tc>
          <w:tcPr>
            <w:tcW w:w="2080" w:type="dxa"/>
          </w:tcPr>
          <w:p w:rsidR="0057644C" w:rsidRPr="00992F08" w:rsidRDefault="0057644C" w:rsidP="000606DF">
            <w:pPr>
              <w:spacing w:line="276" w:lineRule="auto"/>
              <w:jc w:val="center"/>
              <w:cnfStyle w:val="000000100000"/>
            </w:pPr>
            <w:r w:rsidRPr="00992F08">
              <w:t>2.6%</w:t>
            </w:r>
          </w:p>
        </w:tc>
        <w:tc>
          <w:tcPr>
            <w:tcW w:w="3108" w:type="dxa"/>
          </w:tcPr>
          <w:p w:rsidR="0057644C" w:rsidRPr="00992F08" w:rsidRDefault="0057644C" w:rsidP="000606DF">
            <w:pPr>
              <w:spacing w:line="276" w:lineRule="auto"/>
              <w:jc w:val="center"/>
              <w:cnfStyle w:val="000000100000"/>
            </w:pPr>
            <w:r w:rsidRPr="00992F08">
              <w:t>5.1%</w:t>
            </w:r>
          </w:p>
        </w:tc>
      </w:tr>
      <w:tr w:rsidR="0057644C" w:rsidRPr="00BB312B" w:rsidTr="000606DF">
        <w:tc>
          <w:tcPr>
            <w:cnfStyle w:val="001000000000"/>
            <w:tcW w:w="4135" w:type="dxa"/>
          </w:tcPr>
          <w:p w:rsidR="0057644C" w:rsidRPr="00B0554F" w:rsidRDefault="0057644C" w:rsidP="000606DF">
            <w:pPr>
              <w:spacing w:line="276" w:lineRule="auto"/>
              <w:jc w:val="both"/>
              <w:rPr>
                <w:lang/>
              </w:rPr>
            </w:pPr>
            <w:r w:rsidRPr="00B0554F">
              <w:rPr>
                <w:lang/>
              </w:rPr>
              <w:t>др Јован Јоца Лалошевић</w:t>
            </w:r>
          </w:p>
        </w:tc>
        <w:tc>
          <w:tcPr>
            <w:tcW w:w="2080" w:type="dxa"/>
          </w:tcPr>
          <w:p w:rsidR="0057644C" w:rsidRPr="00992F08" w:rsidRDefault="0057644C" w:rsidP="000606DF">
            <w:pPr>
              <w:spacing w:line="276" w:lineRule="auto"/>
              <w:jc w:val="center"/>
              <w:cnfStyle w:val="000000000000"/>
            </w:pPr>
            <w:r w:rsidRPr="00992F08">
              <w:t>2.6%</w:t>
            </w:r>
          </w:p>
        </w:tc>
        <w:tc>
          <w:tcPr>
            <w:tcW w:w="3108" w:type="dxa"/>
          </w:tcPr>
          <w:p w:rsidR="0057644C" w:rsidRPr="00992F08" w:rsidRDefault="0057644C" w:rsidP="000606DF">
            <w:pPr>
              <w:spacing w:line="276" w:lineRule="auto"/>
              <w:jc w:val="center"/>
              <w:cnfStyle w:val="000000000000"/>
            </w:pPr>
            <w:r w:rsidRPr="00992F08">
              <w:t>5.1%</w:t>
            </w:r>
          </w:p>
        </w:tc>
      </w:tr>
      <w:tr w:rsidR="0057644C" w:rsidRPr="00BB312B" w:rsidTr="000606DF">
        <w:trPr>
          <w:cnfStyle w:val="000000100000"/>
        </w:trPr>
        <w:tc>
          <w:tcPr>
            <w:cnfStyle w:val="001000000000"/>
            <w:tcW w:w="4135" w:type="dxa"/>
          </w:tcPr>
          <w:p w:rsidR="0057644C" w:rsidRPr="00B0554F" w:rsidRDefault="0057644C" w:rsidP="000606DF">
            <w:pPr>
              <w:spacing w:line="276" w:lineRule="auto"/>
              <w:jc w:val="both"/>
              <w:rPr>
                <w:lang/>
              </w:rPr>
            </w:pPr>
            <w:r w:rsidRPr="00B0554F">
              <w:rPr>
                <w:lang/>
              </w:rPr>
              <w:t>Никола Јокић</w:t>
            </w:r>
          </w:p>
        </w:tc>
        <w:tc>
          <w:tcPr>
            <w:tcW w:w="2080" w:type="dxa"/>
          </w:tcPr>
          <w:p w:rsidR="0057644C" w:rsidRPr="00992F08" w:rsidRDefault="0057644C" w:rsidP="000606DF">
            <w:pPr>
              <w:spacing w:line="276" w:lineRule="auto"/>
              <w:jc w:val="center"/>
              <w:cnfStyle w:val="000000100000"/>
            </w:pPr>
            <w:r w:rsidRPr="00992F08">
              <w:t>2.6%</w:t>
            </w:r>
          </w:p>
        </w:tc>
        <w:tc>
          <w:tcPr>
            <w:tcW w:w="3108" w:type="dxa"/>
          </w:tcPr>
          <w:p w:rsidR="0057644C" w:rsidRPr="00992F08" w:rsidRDefault="0057644C" w:rsidP="000606DF">
            <w:pPr>
              <w:spacing w:line="276" w:lineRule="auto"/>
              <w:jc w:val="center"/>
              <w:cnfStyle w:val="000000100000"/>
            </w:pPr>
            <w:r w:rsidRPr="00992F08">
              <w:t>5.1%</w:t>
            </w:r>
          </w:p>
        </w:tc>
      </w:tr>
      <w:tr w:rsidR="0057644C" w:rsidRPr="00BB312B" w:rsidTr="000606DF">
        <w:tc>
          <w:tcPr>
            <w:cnfStyle w:val="001000000000"/>
            <w:tcW w:w="4135" w:type="dxa"/>
          </w:tcPr>
          <w:p w:rsidR="0057644C" w:rsidRPr="00B0554F" w:rsidRDefault="0057644C" w:rsidP="000606DF">
            <w:pPr>
              <w:spacing w:line="276" w:lineRule="auto"/>
              <w:jc w:val="both"/>
              <w:rPr>
                <w:lang/>
              </w:rPr>
            </w:pPr>
            <w:r w:rsidRPr="00B0554F">
              <w:rPr>
                <w:lang/>
              </w:rPr>
              <w:t>Kарло Бијелицки</w:t>
            </w:r>
          </w:p>
        </w:tc>
        <w:tc>
          <w:tcPr>
            <w:tcW w:w="2080" w:type="dxa"/>
          </w:tcPr>
          <w:p w:rsidR="0057644C" w:rsidRPr="00992F08" w:rsidRDefault="0057644C" w:rsidP="000606DF">
            <w:pPr>
              <w:spacing w:line="276" w:lineRule="auto"/>
              <w:jc w:val="center"/>
              <w:cnfStyle w:val="000000000000"/>
            </w:pPr>
            <w:r w:rsidRPr="00992F08">
              <w:t>1.3%</w:t>
            </w:r>
          </w:p>
        </w:tc>
        <w:tc>
          <w:tcPr>
            <w:tcW w:w="3108" w:type="dxa"/>
          </w:tcPr>
          <w:p w:rsidR="0057644C" w:rsidRPr="00992F08" w:rsidRDefault="0057644C" w:rsidP="000606DF">
            <w:pPr>
              <w:spacing w:line="276" w:lineRule="auto"/>
              <w:jc w:val="center"/>
              <w:cnfStyle w:val="000000000000"/>
            </w:pPr>
            <w:r w:rsidRPr="00992F08">
              <w:t>2.6%</w:t>
            </w:r>
          </w:p>
        </w:tc>
      </w:tr>
      <w:tr w:rsidR="0057644C" w:rsidRPr="00BB312B" w:rsidTr="000606DF">
        <w:trPr>
          <w:cnfStyle w:val="000000100000"/>
        </w:trPr>
        <w:tc>
          <w:tcPr>
            <w:cnfStyle w:val="001000000000"/>
            <w:tcW w:w="4135" w:type="dxa"/>
          </w:tcPr>
          <w:p w:rsidR="0057644C" w:rsidRPr="00B0554F" w:rsidRDefault="0057644C" w:rsidP="000606DF">
            <w:pPr>
              <w:spacing w:line="276" w:lineRule="auto"/>
              <w:jc w:val="both"/>
              <w:rPr>
                <w:lang/>
              </w:rPr>
            </w:pPr>
            <w:r w:rsidRPr="00B0554F">
              <w:rPr>
                <w:lang/>
              </w:rPr>
              <w:t>Никола Вукићевић</w:t>
            </w:r>
          </w:p>
        </w:tc>
        <w:tc>
          <w:tcPr>
            <w:tcW w:w="2080" w:type="dxa"/>
          </w:tcPr>
          <w:p w:rsidR="0057644C" w:rsidRPr="00992F08" w:rsidRDefault="0057644C" w:rsidP="000606DF">
            <w:pPr>
              <w:spacing w:line="276" w:lineRule="auto"/>
              <w:jc w:val="center"/>
              <w:cnfStyle w:val="000000100000"/>
            </w:pPr>
            <w:r w:rsidRPr="00992F08">
              <w:t>1.3%</w:t>
            </w:r>
          </w:p>
        </w:tc>
        <w:tc>
          <w:tcPr>
            <w:tcW w:w="3108" w:type="dxa"/>
          </w:tcPr>
          <w:p w:rsidR="0057644C" w:rsidRPr="00992F08" w:rsidRDefault="0057644C" w:rsidP="000606DF">
            <w:pPr>
              <w:spacing w:line="276" w:lineRule="auto"/>
              <w:jc w:val="center"/>
              <w:cnfStyle w:val="000000100000"/>
            </w:pPr>
            <w:r w:rsidRPr="00992F08">
              <w:t>2.6%</w:t>
            </w:r>
          </w:p>
        </w:tc>
      </w:tr>
      <w:tr w:rsidR="0057644C" w:rsidRPr="00BB312B" w:rsidTr="000606DF">
        <w:tc>
          <w:tcPr>
            <w:cnfStyle w:val="001000000000"/>
            <w:tcW w:w="4135" w:type="dxa"/>
          </w:tcPr>
          <w:p w:rsidR="0057644C" w:rsidRPr="00B0554F" w:rsidRDefault="0057644C" w:rsidP="000606DF">
            <w:pPr>
              <w:spacing w:line="276" w:lineRule="auto"/>
              <w:jc w:val="both"/>
              <w:rPr>
                <w:lang/>
              </w:rPr>
            </w:pPr>
            <w:r w:rsidRPr="00B0554F">
              <w:rPr>
                <w:lang/>
              </w:rPr>
              <w:t>Јулијана Паланачки</w:t>
            </w:r>
          </w:p>
        </w:tc>
        <w:tc>
          <w:tcPr>
            <w:tcW w:w="2080" w:type="dxa"/>
          </w:tcPr>
          <w:p w:rsidR="0057644C" w:rsidRPr="00992F08" w:rsidRDefault="0057644C" w:rsidP="000606DF">
            <w:pPr>
              <w:spacing w:line="276" w:lineRule="auto"/>
              <w:jc w:val="center"/>
              <w:cnfStyle w:val="000000000000"/>
            </w:pPr>
            <w:r w:rsidRPr="00992F08">
              <w:t>1.3%</w:t>
            </w:r>
          </w:p>
        </w:tc>
        <w:tc>
          <w:tcPr>
            <w:tcW w:w="3108" w:type="dxa"/>
          </w:tcPr>
          <w:p w:rsidR="0057644C" w:rsidRPr="00992F08" w:rsidRDefault="0057644C" w:rsidP="000606DF">
            <w:pPr>
              <w:spacing w:line="276" w:lineRule="auto"/>
              <w:jc w:val="center"/>
              <w:cnfStyle w:val="000000000000"/>
            </w:pPr>
            <w:r w:rsidRPr="00992F08">
              <w:t>2.6%</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Pr="00040615" w:rsidRDefault="0057644C" w:rsidP="00040615">
      <w:pPr>
        <w:pStyle w:val="Heading2"/>
        <w:rPr>
          <w:b/>
        </w:rPr>
      </w:pPr>
      <w:bookmarkStart w:id="74" w:name="_Toc27958782"/>
      <w:bookmarkStart w:id="75" w:name="_Toc36072333"/>
      <w:r w:rsidRPr="00040615">
        <w:rPr>
          <w:b/>
        </w:rPr>
        <w:t>3.2. Културни туризам</w:t>
      </w:r>
      <w:bookmarkEnd w:id="74"/>
      <w:bookmarkEnd w:id="75"/>
    </w:p>
    <w:p w:rsidR="0057644C" w:rsidRDefault="0057644C" w:rsidP="0057644C">
      <w:pPr>
        <w:autoSpaceDE w:val="0"/>
        <w:autoSpaceDN w:val="0"/>
        <w:adjustRightInd w:val="0"/>
        <w:spacing w:after="0"/>
        <w:jc w:val="both"/>
        <w:rPr>
          <w:rFonts w:ascii="Times New Roman" w:hAnsi="Times New Roman" w:cs="Times New Roman"/>
          <w:sz w:val="24"/>
          <w:szCs w:val="24"/>
        </w:rPr>
      </w:pPr>
    </w:p>
    <w:p w:rsidR="00040615"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Према мишљењу запослених у установама културе у Сомбору културни туризам је важан и за економски развој Сомбора. Наиме, 93% испитаника сматра да је културни туризам (веома) важан, док ниједан испитаник ову грану туризма не сматра неважном по питању економског развоја града.</w:t>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 xml:space="preserve"> </w:t>
      </w: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Графикон 7: Колико је важан културни туризам за економски развој Сомбора?</w:t>
      </w: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810250" cy="231457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57644C">
      <w:pPr>
        <w:autoSpaceDE w:val="0"/>
        <w:autoSpaceDN w:val="0"/>
        <w:adjustRightInd w:val="0"/>
        <w:spacing w:after="0"/>
        <w:ind w:firstLine="360"/>
        <w:jc w:val="both"/>
        <w:rPr>
          <w:rFonts w:ascii="Times New Roman" w:hAnsi="Times New Roman" w:cs="Times New Roman"/>
          <w:sz w:val="24"/>
          <w:szCs w:val="24"/>
          <w:lang/>
        </w:rPr>
      </w:pPr>
      <w:r w:rsidRPr="00BB312B">
        <w:rPr>
          <w:rFonts w:ascii="Times New Roman" w:hAnsi="Times New Roman" w:cs="Times New Roman"/>
          <w:sz w:val="24"/>
          <w:szCs w:val="24"/>
          <w:lang/>
        </w:rPr>
        <w:t>Поред става о важности културног туризма у економском смислу, запослени су оценили и важност различитих област</w:t>
      </w:r>
      <w:r>
        <w:rPr>
          <w:rFonts w:ascii="Times New Roman" w:hAnsi="Times New Roman" w:cs="Times New Roman"/>
          <w:sz w:val="24"/>
          <w:szCs w:val="24"/>
          <w:lang/>
        </w:rPr>
        <w:t xml:space="preserve">и </w:t>
      </w:r>
      <w:r w:rsidRPr="00BB312B">
        <w:rPr>
          <w:rFonts w:ascii="Times New Roman" w:hAnsi="Times New Roman" w:cs="Times New Roman"/>
          <w:sz w:val="24"/>
          <w:szCs w:val="24"/>
        </w:rPr>
        <w:t xml:space="preserve">за промоцију и развој културног туризма града Сомбора. </w:t>
      </w:r>
      <w:r w:rsidRPr="00BB312B">
        <w:rPr>
          <w:rFonts w:ascii="Times New Roman" w:hAnsi="Times New Roman" w:cs="Times New Roman"/>
          <w:sz w:val="24"/>
          <w:szCs w:val="24"/>
          <w:lang/>
        </w:rPr>
        <w:t>Према просечним оценам</w:t>
      </w:r>
      <w:r>
        <w:rPr>
          <w:rFonts w:ascii="Times New Roman" w:hAnsi="Times New Roman" w:cs="Times New Roman"/>
          <w:sz w:val="24"/>
          <w:szCs w:val="24"/>
          <w:lang/>
        </w:rPr>
        <w:t>а, на следећи начин су рангиране</w:t>
      </w:r>
      <w:r w:rsidRPr="00BB312B">
        <w:rPr>
          <w:rFonts w:ascii="Times New Roman" w:hAnsi="Times New Roman" w:cs="Times New Roman"/>
          <w:sz w:val="24"/>
          <w:szCs w:val="24"/>
          <w:lang/>
        </w:rPr>
        <w:t xml:space="preserve"> следеће области: </w:t>
      </w:r>
    </w:p>
    <w:p w:rsidR="0057644C" w:rsidRPr="00BB312B" w:rsidRDefault="0057644C" w:rsidP="0057644C">
      <w:pPr>
        <w:autoSpaceDE w:val="0"/>
        <w:autoSpaceDN w:val="0"/>
        <w:adjustRightInd w:val="0"/>
        <w:spacing w:after="0"/>
        <w:ind w:firstLine="360"/>
        <w:jc w:val="both"/>
        <w:rPr>
          <w:rFonts w:ascii="Times New Roman" w:hAnsi="Times New Roman" w:cs="Times New Roman"/>
          <w:sz w:val="24"/>
          <w:szCs w:val="24"/>
          <w:lang/>
        </w:rPr>
      </w:pPr>
    </w:p>
    <w:p w:rsidR="0057644C" w:rsidRPr="00BB312B" w:rsidRDefault="0057644C" w:rsidP="00B03CD2">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квалитет културних догађаја</w:t>
      </w:r>
    </w:p>
    <w:p w:rsidR="0057644C" w:rsidRPr="00BB312B" w:rsidRDefault="0057644C" w:rsidP="00B03CD2">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промоција града као културне дестинације</w:t>
      </w:r>
    </w:p>
    <w:p w:rsidR="0057644C" w:rsidRPr="00BB312B" w:rsidRDefault="0057644C" w:rsidP="00B03CD2">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квалитет туристичких услуга</w:t>
      </w:r>
    </w:p>
    <w:p w:rsidR="0057644C" w:rsidRPr="00BB312B" w:rsidRDefault="0057644C" w:rsidP="00B03CD2">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дигиталне брошуре и мобилне апликације за презентацију културних потенцијала</w:t>
      </w:r>
    </w:p>
    <w:p w:rsidR="0057644C" w:rsidRPr="00BB312B" w:rsidRDefault="0057644C" w:rsidP="00B03CD2">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реконструкција значајних објеката и споменика у сврху туристичке промоције</w:t>
      </w:r>
    </w:p>
    <w:p w:rsidR="0057644C" w:rsidRPr="00BB312B" w:rsidRDefault="0057644C" w:rsidP="00B03CD2">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туристички информативни центри на више пунктова у граду</w:t>
      </w:r>
    </w:p>
    <w:p w:rsidR="0057644C" w:rsidRDefault="0057644C" w:rsidP="00B03CD2">
      <w:pPr>
        <w:pStyle w:val="ListParagraph"/>
        <w:numPr>
          <w:ilvl w:val="0"/>
          <w:numId w:val="32"/>
        </w:numPr>
        <w:autoSpaceDE w:val="0"/>
        <w:autoSpaceDN w:val="0"/>
        <w:adjustRightInd w:val="0"/>
        <w:spacing w:after="0" w:line="276" w:lineRule="auto"/>
        <w:jc w:val="both"/>
        <w:rPr>
          <w:rFonts w:ascii="Times New Roman" w:hAnsi="Times New Roman" w:cs="Times New Roman"/>
          <w:sz w:val="24"/>
          <w:szCs w:val="24"/>
          <w:lang/>
        </w:rPr>
      </w:pPr>
      <w:r w:rsidRPr="00BB312B">
        <w:rPr>
          <w:rFonts w:ascii="Times New Roman" w:hAnsi="Times New Roman" w:cs="Times New Roman"/>
          <w:sz w:val="24"/>
          <w:szCs w:val="24"/>
          <w:lang/>
        </w:rPr>
        <w:t>штампане брошуре за презентацију културних потенцијала</w:t>
      </w:r>
    </w:p>
    <w:p w:rsidR="0057644C" w:rsidRPr="00B50138" w:rsidRDefault="0057644C" w:rsidP="0057644C">
      <w:pPr>
        <w:pStyle w:val="ListParagraph"/>
        <w:autoSpaceDE w:val="0"/>
        <w:autoSpaceDN w:val="0"/>
        <w:adjustRightInd w:val="0"/>
        <w:spacing w:after="0"/>
        <w:jc w:val="both"/>
        <w:rPr>
          <w:rFonts w:ascii="Times New Roman" w:hAnsi="Times New Roman" w:cs="Times New Roman"/>
          <w:sz w:val="24"/>
          <w:szCs w:val="24"/>
          <w:lang/>
        </w:rPr>
      </w:pPr>
    </w:p>
    <w:p w:rsidR="0057644C" w:rsidRPr="00040615" w:rsidRDefault="0057644C" w:rsidP="00040615">
      <w:pPr>
        <w:pStyle w:val="Heading2"/>
        <w:rPr>
          <w:b/>
        </w:rPr>
      </w:pPr>
      <w:bookmarkStart w:id="76" w:name="_Toc27958783"/>
      <w:bookmarkStart w:id="77" w:name="_Toc36072334"/>
      <w:r w:rsidRPr="00040615">
        <w:rPr>
          <w:b/>
        </w:rPr>
        <w:t>3.3 Културна политика</w:t>
      </w:r>
      <w:bookmarkEnd w:id="76"/>
      <w:bookmarkEnd w:id="77"/>
    </w:p>
    <w:p w:rsidR="0057644C" w:rsidRDefault="0057644C" w:rsidP="00040615">
      <w:pPr>
        <w:spacing w:after="0"/>
        <w:rPr>
          <w:lang/>
        </w:rPr>
      </w:pPr>
    </w:p>
    <w:p w:rsidR="0057644C" w:rsidRDefault="0057644C" w:rsidP="0057644C">
      <w:pPr>
        <w:ind w:firstLine="720"/>
        <w:jc w:val="both"/>
        <w:rPr>
          <w:rFonts w:ascii="Times New Roman" w:hAnsi="Times New Roman" w:cs="Times New Roman"/>
          <w:sz w:val="24"/>
          <w:szCs w:val="24"/>
          <w:lang/>
        </w:rPr>
      </w:pPr>
      <w:r w:rsidRPr="0067342C">
        <w:rPr>
          <w:rFonts w:ascii="Times New Roman" w:hAnsi="Times New Roman" w:cs="Times New Roman"/>
          <w:sz w:val="24"/>
          <w:szCs w:val="24"/>
          <w:lang/>
        </w:rPr>
        <w:t xml:space="preserve">У циљу израде </w:t>
      </w:r>
      <w:r>
        <w:rPr>
          <w:rFonts w:ascii="Times New Roman" w:hAnsi="Times New Roman" w:cs="Times New Roman"/>
          <w:sz w:val="24"/>
          <w:szCs w:val="24"/>
          <w:lang/>
        </w:rPr>
        <w:t>стратешког документа било је пот</w:t>
      </w:r>
      <w:r w:rsidRPr="0067342C">
        <w:rPr>
          <w:rFonts w:ascii="Times New Roman" w:hAnsi="Times New Roman" w:cs="Times New Roman"/>
          <w:sz w:val="24"/>
          <w:szCs w:val="24"/>
          <w:lang/>
        </w:rPr>
        <w:t>ребно</w:t>
      </w:r>
      <w:r>
        <w:rPr>
          <w:rFonts w:ascii="Times New Roman" w:hAnsi="Times New Roman" w:cs="Times New Roman"/>
          <w:sz w:val="24"/>
          <w:szCs w:val="24"/>
          <w:lang/>
        </w:rPr>
        <w:t xml:space="preserve"> сагледати и ставове о културној политици Сомбора, и то првенствено од самих запослених који чине њен део. Наиме, према мишљењу запослених у установама културе културна политика у Сомбору оцењена је средњом вредношћу 3,07, од максималних 5,00. Највећи број испитаника (44,2%) се слаже са ставом да културна политика</w:t>
      </w:r>
      <w:r w:rsidRPr="0067342C">
        <w:rPr>
          <w:rFonts w:ascii="Times New Roman" w:hAnsi="Times New Roman" w:cs="Times New Roman"/>
          <w:sz w:val="24"/>
          <w:szCs w:val="24"/>
          <w:lang/>
        </w:rPr>
        <w:t xml:space="preserve"> </w:t>
      </w:r>
      <w:r>
        <w:rPr>
          <w:rFonts w:ascii="Times New Roman" w:hAnsi="Times New Roman" w:cs="Times New Roman"/>
          <w:sz w:val="24"/>
          <w:szCs w:val="24"/>
          <w:lang/>
        </w:rPr>
        <w:t>Сомбора даје простора за уметничке слободе и права, као и да је довољно инклузивна за све мањинске групе (такође 44,2% се слаже). Са друге стране, најмањи проценат испитаника (по 23.3%) се слаже са ставом да је културна понуда града присутна у дигиталном окружењу и да је к</w:t>
      </w:r>
      <w:r w:rsidRPr="00031975">
        <w:rPr>
          <w:rFonts w:ascii="Times New Roman" w:hAnsi="Times New Roman" w:cs="Times New Roman"/>
          <w:sz w:val="24"/>
          <w:szCs w:val="24"/>
          <w:lang/>
        </w:rPr>
        <w:t>ултурни систем града Сомбора добро организован и умрежен</w:t>
      </w:r>
      <w:r>
        <w:rPr>
          <w:rFonts w:ascii="Times New Roman" w:hAnsi="Times New Roman" w:cs="Times New Roman"/>
          <w:sz w:val="24"/>
          <w:szCs w:val="24"/>
          <w:lang/>
        </w:rPr>
        <w:t xml:space="preserve">. </w:t>
      </w:r>
    </w:p>
    <w:p w:rsidR="0057644C" w:rsidRPr="00BB312B" w:rsidRDefault="0057644C" w:rsidP="0057644C">
      <w:pPr>
        <w:spacing w:after="0"/>
        <w:jc w:val="both"/>
        <w:rPr>
          <w:rFonts w:ascii="Times New Roman" w:hAnsi="Times New Roman" w:cs="Times New Roman"/>
          <w:sz w:val="24"/>
          <w:szCs w:val="24"/>
          <w:lang/>
        </w:rPr>
      </w:pPr>
      <w:r>
        <w:rPr>
          <w:rFonts w:ascii="Times New Roman" w:hAnsi="Times New Roman" w:cs="Times New Roman"/>
          <w:sz w:val="24"/>
          <w:szCs w:val="24"/>
          <w:lang/>
        </w:rPr>
        <w:t>Табела 13: Ставови о културној политици Сомбора</w:t>
      </w:r>
    </w:p>
    <w:tbl>
      <w:tblPr>
        <w:tblStyle w:val="GridTable4-Accent11"/>
        <w:tblW w:w="9352" w:type="dxa"/>
        <w:tblLook w:val="04A0"/>
      </w:tblPr>
      <w:tblGrid>
        <w:gridCol w:w="4119"/>
        <w:gridCol w:w="1308"/>
        <w:gridCol w:w="1308"/>
        <w:gridCol w:w="1308"/>
        <w:gridCol w:w="1309"/>
      </w:tblGrid>
      <w:tr w:rsidR="0057644C" w:rsidRPr="00BB312B" w:rsidTr="000606DF">
        <w:trPr>
          <w:cnfStyle w:val="100000000000"/>
          <w:trHeight w:val="596"/>
        </w:trPr>
        <w:tc>
          <w:tcPr>
            <w:cnfStyle w:val="001000000000"/>
            <w:tcW w:w="4119" w:type="dxa"/>
            <w:vAlign w:val="center"/>
          </w:tcPr>
          <w:p w:rsidR="0057644C" w:rsidRPr="00BB312B" w:rsidRDefault="0057644C" w:rsidP="000606DF">
            <w:pPr>
              <w:autoSpaceDE w:val="0"/>
              <w:autoSpaceDN w:val="0"/>
              <w:adjustRightInd w:val="0"/>
              <w:spacing w:line="276" w:lineRule="auto"/>
              <w:jc w:val="right"/>
              <w:rPr>
                <w:sz w:val="24"/>
                <w:szCs w:val="24"/>
                <w:lang/>
              </w:rPr>
            </w:pPr>
            <w:r>
              <w:rPr>
                <w:sz w:val="24"/>
                <w:szCs w:val="24"/>
                <w:lang/>
              </w:rPr>
              <w:t>у%</w:t>
            </w:r>
          </w:p>
        </w:tc>
        <w:tc>
          <w:tcPr>
            <w:tcW w:w="1308" w:type="dxa"/>
            <w:vAlign w:val="center"/>
          </w:tcPr>
          <w:p w:rsidR="0057644C" w:rsidRPr="00B0554F" w:rsidRDefault="0057644C" w:rsidP="000606DF">
            <w:pPr>
              <w:autoSpaceDE w:val="0"/>
              <w:autoSpaceDN w:val="0"/>
              <w:adjustRightInd w:val="0"/>
              <w:spacing w:line="276" w:lineRule="auto"/>
              <w:jc w:val="center"/>
              <w:cnfStyle w:val="100000000000"/>
              <w:rPr>
                <w:b w:val="0"/>
                <w:sz w:val="18"/>
                <w:szCs w:val="18"/>
                <w:lang/>
              </w:rPr>
            </w:pPr>
            <w:r w:rsidRPr="00B0554F">
              <w:rPr>
                <w:b w:val="0"/>
                <w:sz w:val="18"/>
                <w:szCs w:val="18"/>
                <w:lang/>
              </w:rPr>
              <w:t>Слаже се</w:t>
            </w:r>
          </w:p>
        </w:tc>
        <w:tc>
          <w:tcPr>
            <w:tcW w:w="1308" w:type="dxa"/>
            <w:vAlign w:val="center"/>
          </w:tcPr>
          <w:p w:rsidR="0057644C" w:rsidRPr="00B0554F" w:rsidRDefault="0057644C" w:rsidP="000606DF">
            <w:pPr>
              <w:autoSpaceDE w:val="0"/>
              <w:autoSpaceDN w:val="0"/>
              <w:adjustRightInd w:val="0"/>
              <w:spacing w:line="276" w:lineRule="auto"/>
              <w:jc w:val="center"/>
              <w:cnfStyle w:val="100000000000"/>
              <w:rPr>
                <w:b w:val="0"/>
                <w:sz w:val="18"/>
                <w:szCs w:val="18"/>
                <w:lang/>
              </w:rPr>
            </w:pPr>
            <w:r w:rsidRPr="00B0554F">
              <w:rPr>
                <w:b w:val="0"/>
                <w:sz w:val="18"/>
                <w:szCs w:val="18"/>
                <w:lang/>
              </w:rPr>
              <w:t>Нити се слаже/</w:t>
            </w:r>
            <w:r>
              <w:rPr>
                <w:b w:val="0"/>
                <w:sz w:val="18"/>
                <w:szCs w:val="18"/>
                <w:lang/>
              </w:rPr>
              <w:t xml:space="preserve"> </w:t>
            </w:r>
            <w:r w:rsidRPr="00B0554F">
              <w:rPr>
                <w:b w:val="0"/>
                <w:sz w:val="18"/>
                <w:szCs w:val="18"/>
                <w:lang/>
              </w:rPr>
              <w:t>нити не слаже</w:t>
            </w:r>
          </w:p>
        </w:tc>
        <w:tc>
          <w:tcPr>
            <w:tcW w:w="1308" w:type="dxa"/>
            <w:vAlign w:val="center"/>
          </w:tcPr>
          <w:p w:rsidR="0057644C" w:rsidRPr="00B0554F" w:rsidRDefault="0057644C" w:rsidP="000606DF">
            <w:pPr>
              <w:autoSpaceDE w:val="0"/>
              <w:autoSpaceDN w:val="0"/>
              <w:adjustRightInd w:val="0"/>
              <w:spacing w:line="276" w:lineRule="auto"/>
              <w:jc w:val="center"/>
              <w:cnfStyle w:val="100000000000"/>
              <w:rPr>
                <w:b w:val="0"/>
                <w:sz w:val="18"/>
                <w:szCs w:val="18"/>
                <w:lang/>
              </w:rPr>
            </w:pPr>
            <w:r w:rsidRPr="00B0554F">
              <w:rPr>
                <w:b w:val="0"/>
                <w:sz w:val="18"/>
                <w:szCs w:val="18"/>
                <w:lang/>
              </w:rPr>
              <w:t>Не слаже се</w:t>
            </w:r>
          </w:p>
        </w:tc>
        <w:tc>
          <w:tcPr>
            <w:tcW w:w="1309" w:type="dxa"/>
            <w:vAlign w:val="center"/>
          </w:tcPr>
          <w:p w:rsidR="0057644C" w:rsidRPr="00B0554F" w:rsidRDefault="0057644C" w:rsidP="000606DF">
            <w:pPr>
              <w:autoSpaceDE w:val="0"/>
              <w:autoSpaceDN w:val="0"/>
              <w:adjustRightInd w:val="0"/>
              <w:spacing w:line="276" w:lineRule="auto"/>
              <w:jc w:val="center"/>
              <w:cnfStyle w:val="100000000000"/>
              <w:rPr>
                <w:b w:val="0"/>
                <w:sz w:val="18"/>
                <w:szCs w:val="18"/>
                <w:lang/>
              </w:rPr>
            </w:pPr>
            <w:r w:rsidRPr="00B0554F">
              <w:rPr>
                <w:b w:val="0"/>
                <w:sz w:val="18"/>
                <w:szCs w:val="18"/>
                <w:lang/>
              </w:rPr>
              <w:t>Просечна вредност</w:t>
            </w:r>
          </w:p>
        </w:tc>
      </w:tr>
      <w:tr w:rsidR="0057644C" w:rsidRPr="00BB312B" w:rsidTr="000606DF">
        <w:trPr>
          <w:cnfStyle w:val="000000100000"/>
          <w:trHeight w:val="405"/>
        </w:trPr>
        <w:tc>
          <w:tcPr>
            <w:cnfStyle w:val="001000000000"/>
            <w:tcW w:w="4119" w:type="dxa"/>
            <w:vAlign w:val="center"/>
          </w:tcPr>
          <w:p w:rsidR="0057644C" w:rsidRPr="00B0554F" w:rsidRDefault="0057644C" w:rsidP="000606DF">
            <w:pPr>
              <w:autoSpaceDE w:val="0"/>
              <w:autoSpaceDN w:val="0"/>
              <w:adjustRightInd w:val="0"/>
              <w:spacing w:line="276" w:lineRule="auto"/>
              <w:jc w:val="center"/>
              <w:rPr>
                <w:b w:val="0"/>
                <w:sz w:val="18"/>
                <w:szCs w:val="18"/>
                <w:lang/>
              </w:rPr>
            </w:pPr>
            <w:r w:rsidRPr="00B0554F">
              <w:rPr>
                <w:b w:val="0"/>
                <w:sz w:val="18"/>
                <w:szCs w:val="18"/>
                <w:lang/>
              </w:rPr>
              <w:t>Културна политика града Сомбора поштује и даје простора за уметничке слободе и права</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44.2</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41.9</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sidRPr="00031975">
              <w:rPr>
                <w:lang/>
              </w:rPr>
              <w:t>14.0</w:t>
            </w:r>
          </w:p>
        </w:tc>
        <w:tc>
          <w:tcPr>
            <w:tcW w:w="1309" w:type="dxa"/>
            <w:vAlign w:val="center"/>
          </w:tcPr>
          <w:p w:rsidR="0057644C" w:rsidRPr="00031975" w:rsidRDefault="0057644C" w:rsidP="000606DF">
            <w:pPr>
              <w:autoSpaceDE w:val="0"/>
              <w:autoSpaceDN w:val="0"/>
              <w:adjustRightInd w:val="0"/>
              <w:spacing w:line="276" w:lineRule="auto"/>
              <w:jc w:val="center"/>
              <w:cnfStyle w:val="000000100000"/>
            </w:pPr>
            <w:r w:rsidRPr="00031975">
              <w:t>3.28</w:t>
            </w:r>
          </w:p>
        </w:tc>
      </w:tr>
      <w:tr w:rsidR="0057644C" w:rsidRPr="00BB312B" w:rsidTr="000606DF">
        <w:trPr>
          <w:trHeight w:val="393"/>
        </w:trPr>
        <w:tc>
          <w:tcPr>
            <w:cnfStyle w:val="001000000000"/>
            <w:tcW w:w="4119" w:type="dxa"/>
            <w:vAlign w:val="center"/>
          </w:tcPr>
          <w:p w:rsidR="0057644C" w:rsidRPr="00B0554F" w:rsidRDefault="0057644C" w:rsidP="000606DF">
            <w:pPr>
              <w:autoSpaceDE w:val="0"/>
              <w:autoSpaceDN w:val="0"/>
              <w:adjustRightInd w:val="0"/>
              <w:spacing w:line="276" w:lineRule="auto"/>
              <w:jc w:val="center"/>
              <w:rPr>
                <w:b w:val="0"/>
                <w:sz w:val="18"/>
                <w:szCs w:val="18"/>
                <w:lang/>
              </w:rPr>
            </w:pPr>
            <w:r w:rsidRPr="00B0554F">
              <w:rPr>
                <w:b w:val="0"/>
                <w:sz w:val="18"/>
                <w:szCs w:val="18"/>
                <w:lang/>
              </w:rPr>
              <w:t>Културна политика града Сомбора је довољно инклузивна за све мањинске групе</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Pr>
                <w:lang/>
              </w:rPr>
              <w:t>44.2</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Pr>
                <w:lang/>
              </w:rPr>
              <w:t>32.6</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sidRPr="00031975">
              <w:rPr>
                <w:lang/>
              </w:rPr>
              <w:t>23.3</w:t>
            </w:r>
          </w:p>
        </w:tc>
        <w:tc>
          <w:tcPr>
            <w:tcW w:w="1309" w:type="dxa"/>
            <w:vAlign w:val="center"/>
          </w:tcPr>
          <w:p w:rsidR="0057644C" w:rsidRPr="00031975" w:rsidRDefault="0057644C" w:rsidP="000606DF">
            <w:pPr>
              <w:autoSpaceDE w:val="0"/>
              <w:autoSpaceDN w:val="0"/>
              <w:adjustRightInd w:val="0"/>
              <w:spacing w:line="276" w:lineRule="auto"/>
              <w:jc w:val="center"/>
              <w:cnfStyle w:val="000000000000"/>
            </w:pPr>
            <w:r w:rsidRPr="00031975">
              <w:t>3.23</w:t>
            </w:r>
          </w:p>
        </w:tc>
      </w:tr>
      <w:tr w:rsidR="0057644C" w:rsidRPr="00BB312B" w:rsidTr="000606DF">
        <w:trPr>
          <w:cnfStyle w:val="000000100000"/>
          <w:trHeight w:val="393"/>
        </w:trPr>
        <w:tc>
          <w:tcPr>
            <w:cnfStyle w:val="001000000000"/>
            <w:tcW w:w="4119" w:type="dxa"/>
            <w:vAlign w:val="center"/>
          </w:tcPr>
          <w:p w:rsidR="0057644C" w:rsidRPr="00B0554F" w:rsidRDefault="0057644C" w:rsidP="000606DF">
            <w:pPr>
              <w:autoSpaceDE w:val="0"/>
              <w:autoSpaceDN w:val="0"/>
              <w:adjustRightInd w:val="0"/>
              <w:spacing w:line="276" w:lineRule="auto"/>
              <w:jc w:val="center"/>
              <w:rPr>
                <w:b w:val="0"/>
                <w:sz w:val="18"/>
                <w:szCs w:val="18"/>
                <w:lang/>
              </w:rPr>
            </w:pPr>
            <w:r w:rsidRPr="00B0554F">
              <w:rPr>
                <w:b w:val="0"/>
                <w:sz w:val="18"/>
                <w:szCs w:val="18"/>
                <w:lang/>
              </w:rPr>
              <w:t>Културна политика града Сомбора нуди довољно могућности за дијалог и сарадњу</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37.2</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48.8</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sidRPr="00031975">
              <w:rPr>
                <w:lang/>
              </w:rPr>
              <w:t>14.0</w:t>
            </w:r>
          </w:p>
        </w:tc>
        <w:tc>
          <w:tcPr>
            <w:tcW w:w="1309" w:type="dxa"/>
            <w:vAlign w:val="center"/>
          </w:tcPr>
          <w:p w:rsidR="0057644C" w:rsidRPr="00031975" w:rsidRDefault="0057644C" w:rsidP="000606DF">
            <w:pPr>
              <w:autoSpaceDE w:val="0"/>
              <w:autoSpaceDN w:val="0"/>
              <w:adjustRightInd w:val="0"/>
              <w:spacing w:line="276" w:lineRule="auto"/>
              <w:jc w:val="center"/>
              <w:cnfStyle w:val="000000100000"/>
            </w:pPr>
            <w:r w:rsidRPr="00031975">
              <w:t>3.23</w:t>
            </w:r>
          </w:p>
        </w:tc>
      </w:tr>
      <w:tr w:rsidR="0057644C" w:rsidRPr="00BB312B" w:rsidTr="000606DF">
        <w:trPr>
          <w:trHeight w:val="405"/>
        </w:trPr>
        <w:tc>
          <w:tcPr>
            <w:cnfStyle w:val="001000000000"/>
            <w:tcW w:w="4119" w:type="dxa"/>
            <w:vAlign w:val="center"/>
          </w:tcPr>
          <w:p w:rsidR="0057644C" w:rsidRPr="00B0554F" w:rsidRDefault="0057644C" w:rsidP="000606DF">
            <w:pPr>
              <w:autoSpaceDE w:val="0"/>
              <w:autoSpaceDN w:val="0"/>
              <w:adjustRightInd w:val="0"/>
              <w:spacing w:line="276" w:lineRule="auto"/>
              <w:jc w:val="center"/>
              <w:rPr>
                <w:b w:val="0"/>
                <w:sz w:val="18"/>
                <w:szCs w:val="18"/>
                <w:lang/>
              </w:rPr>
            </w:pPr>
            <w:r w:rsidRPr="00B0554F">
              <w:rPr>
                <w:b w:val="0"/>
                <w:sz w:val="18"/>
                <w:szCs w:val="18"/>
                <w:lang/>
              </w:rPr>
              <w:t>Културна понуда града Сомбора је довољно присутна у дигиталном окружењу</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Pr>
                <w:lang/>
              </w:rPr>
              <w:t>23.3</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Pr>
                <w:lang/>
              </w:rPr>
              <w:t>51.2</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sidRPr="00031975">
              <w:rPr>
                <w:lang/>
              </w:rPr>
              <w:t>25.6</w:t>
            </w:r>
          </w:p>
        </w:tc>
        <w:tc>
          <w:tcPr>
            <w:tcW w:w="1309" w:type="dxa"/>
            <w:vAlign w:val="center"/>
          </w:tcPr>
          <w:p w:rsidR="0057644C" w:rsidRPr="00031975" w:rsidRDefault="0057644C" w:rsidP="000606DF">
            <w:pPr>
              <w:autoSpaceDE w:val="0"/>
              <w:autoSpaceDN w:val="0"/>
              <w:adjustRightInd w:val="0"/>
              <w:spacing w:line="276" w:lineRule="auto"/>
              <w:jc w:val="center"/>
              <w:cnfStyle w:val="000000000000"/>
            </w:pPr>
            <w:r w:rsidRPr="00031975">
              <w:t>3.00</w:t>
            </w:r>
          </w:p>
        </w:tc>
      </w:tr>
      <w:tr w:rsidR="0057644C" w:rsidRPr="00BB312B" w:rsidTr="000606DF">
        <w:trPr>
          <w:cnfStyle w:val="000000100000"/>
          <w:trHeight w:val="393"/>
        </w:trPr>
        <w:tc>
          <w:tcPr>
            <w:cnfStyle w:val="001000000000"/>
            <w:tcW w:w="4119" w:type="dxa"/>
            <w:vAlign w:val="center"/>
          </w:tcPr>
          <w:p w:rsidR="0057644C" w:rsidRPr="00B0554F" w:rsidRDefault="0057644C" w:rsidP="000606DF">
            <w:pPr>
              <w:autoSpaceDE w:val="0"/>
              <w:autoSpaceDN w:val="0"/>
              <w:adjustRightInd w:val="0"/>
              <w:spacing w:line="276" w:lineRule="auto"/>
              <w:jc w:val="center"/>
              <w:rPr>
                <w:b w:val="0"/>
                <w:sz w:val="18"/>
                <w:szCs w:val="18"/>
                <w:lang/>
              </w:rPr>
            </w:pPr>
            <w:r w:rsidRPr="00B0554F">
              <w:rPr>
                <w:b w:val="0"/>
                <w:sz w:val="18"/>
                <w:szCs w:val="18"/>
                <w:lang/>
              </w:rPr>
              <w:t>Културна политика града Сомбора се води на транспарентан и демократичан начин</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27.9</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46.5</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sidRPr="00031975">
              <w:rPr>
                <w:lang/>
              </w:rPr>
              <w:t>25.6</w:t>
            </w:r>
          </w:p>
        </w:tc>
        <w:tc>
          <w:tcPr>
            <w:tcW w:w="1309" w:type="dxa"/>
            <w:vAlign w:val="center"/>
          </w:tcPr>
          <w:p w:rsidR="0057644C" w:rsidRPr="00031975" w:rsidRDefault="0057644C" w:rsidP="000606DF">
            <w:pPr>
              <w:autoSpaceDE w:val="0"/>
              <w:autoSpaceDN w:val="0"/>
              <w:adjustRightInd w:val="0"/>
              <w:spacing w:line="276" w:lineRule="auto"/>
              <w:jc w:val="center"/>
              <w:cnfStyle w:val="000000100000"/>
            </w:pPr>
            <w:r w:rsidRPr="00031975">
              <w:t>3.00</w:t>
            </w:r>
          </w:p>
        </w:tc>
      </w:tr>
      <w:tr w:rsidR="0057644C" w:rsidRPr="00BB312B" w:rsidTr="000606DF">
        <w:trPr>
          <w:trHeight w:val="608"/>
        </w:trPr>
        <w:tc>
          <w:tcPr>
            <w:cnfStyle w:val="001000000000"/>
            <w:tcW w:w="4119" w:type="dxa"/>
            <w:vAlign w:val="center"/>
          </w:tcPr>
          <w:p w:rsidR="0057644C" w:rsidRPr="00B0554F" w:rsidRDefault="0057644C" w:rsidP="000606DF">
            <w:pPr>
              <w:autoSpaceDE w:val="0"/>
              <w:autoSpaceDN w:val="0"/>
              <w:adjustRightInd w:val="0"/>
              <w:spacing w:line="276" w:lineRule="auto"/>
              <w:jc w:val="center"/>
              <w:rPr>
                <w:b w:val="0"/>
                <w:sz w:val="18"/>
                <w:szCs w:val="18"/>
                <w:lang/>
              </w:rPr>
            </w:pPr>
            <w:r w:rsidRPr="00B0554F">
              <w:rPr>
                <w:b w:val="0"/>
                <w:sz w:val="18"/>
                <w:szCs w:val="18"/>
                <w:lang/>
              </w:rPr>
              <w:t>Културна политика града Сомбора се креира на партиципативан начин и сви који желе могу да учествују у процесу</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Pr>
                <w:lang/>
              </w:rPr>
              <w:t>25.6</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Pr>
                <w:lang/>
              </w:rPr>
              <w:t>46.5</w:t>
            </w:r>
          </w:p>
        </w:tc>
        <w:tc>
          <w:tcPr>
            <w:tcW w:w="1308" w:type="dxa"/>
            <w:vAlign w:val="center"/>
          </w:tcPr>
          <w:p w:rsidR="0057644C" w:rsidRPr="00031975" w:rsidRDefault="0057644C" w:rsidP="000606DF">
            <w:pPr>
              <w:autoSpaceDE w:val="0"/>
              <w:autoSpaceDN w:val="0"/>
              <w:adjustRightInd w:val="0"/>
              <w:spacing w:line="276" w:lineRule="auto"/>
              <w:jc w:val="center"/>
              <w:cnfStyle w:val="000000000000"/>
              <w:rPr>
                <w:lang/>
              </w:rPr>
            </w:pPr>
            <w:r w:rsidRPr="00031975">
              <w:rPr>
                <w:lang/>
              </w:rPr>
              <w:t>27.9</w:t>
            </w:r>
          </w:p>
        </w:tc>
        <w:tc>
          <w:tcPr>
            <w:tcW w:w="1309" w:type="dxa"/>
            <w:vAlign w:val="center"/>
          </w:tcPr>
          <w:p w:rsidR="0057644C" w:rsidRPr="00031975" w:rsidRDefault="0057644C" w:rsidP="000606DF">
            <w:pPr>
              <w:autoSpaceDE w:val="0"/>
              <w:autoSpaceDN w:val="0"/>
              <w:adjustRightInd w:val="0"/>
              <w:spacing w:line="276" w:lineRule="auto"/>
              <w:jc w:val="center"/>
              <w:cnfStyle w:val="000000000000"/>
            </w:pPr>
            <w:r w:rsidRPr="00031975">
              <w:t>2.93</w:t>
            </w:r>
          </w:p>
        </w:tc>
      </w:tr>
      <w:tr w:rsidR="0057644C" w:rsidRPr="00BB312B" w:rsidTr="000606DF">
        <w:trPr>
          <w:cnfStyle w:val="000000100000"/>
          <w:trHeight w:val="393"/>
        </w:trPr>
        <w:tc>
          <w:tcPr>
            <w:cnfStyle w:val="001000000000"/>
            <w:tcW w:w="4119" w:type="dxa"/>
            <w:vAlign w:val="center"/>
          </w:tcPr>
          <w:p w:rsidR="0057644C" w:rsidRPr="00B0554F" w:rsidRDefault="0057644C" w:rsidP="000606DF">
            <w:pPr>
              <w:autoSpaceDE w:val="0"/>
              <w:autoSpaceDN w:val="0"/>
              <w:adjustRightInd w:val="0"/>
              <w:spacing w:line="276" w:lineRule="auto"/>
              <w:jc w:val="center"/>
              <w:rPr>
                <w:b w:val="0"/>
                <w:sz w:val="18"/>
                <w:szCs w:val="18"/>
                <w:lang/>
              </w:rPr>
            </w:pPr>
            <w:r w:rsidRPr="00B0554F">
              <w:rPr>
                <w:b w:val="0"/>
                <w:sz w:val="18"/>
                <w:szCs w:val="18"/>
                <w:lang/>
              </w:rPr>
              <w:t>Културни систем града Сомбора је добро организован и умрежен</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23.3</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Pr>
                <w:lang/>
              </w:rPr>
              <w:t>37.2</w:t>
            </w:r>
          </w:p>
        </w:tc>
        <w:tc>
          <w:tcPr>
            <w:tcW w:w="1308" w:type="dxa"/>
            <w:vAlign w:val="center"/>
          </w:tcPr>
          <w:p w:rsidR="0057644C" w:rsidRPr="00031975" w:rsidRDefault="0057644C" w:rsidP="000606DF">
            <w:pPr>
              <w:autoSpaceDE w:val="0"/>
              <w:autoSpaceDN w:val="0"/>
              <w:adjustRightInd w:val="0"/>
              <w:spacing w:line="276" w:lineRule="auto"/>
              <w:jc w:val="center"/>
              <w:cnfStyle w:val="000000100000"/>
              <w:rPr>
                <w:lang/>
              </w:rPr>
            </w:pPr>
            <w:r w:rsidRPr="00031975">
              <w:rPr>
                <w:lang/>
              </w:rPr>
              <w:t>39.5</w:t>
            </w:r>
          </w:p>
        </w:tc>
        <w:tc>
          <w:tcPr>
            <w:tcW w:w="1309" w:type="dxa"/>
            <w:vAlign w:val="center"/>
          </w:tcPr>
          <w:p w:rsidR="0057644C" w:rsidRPr="00031975" w:rsidRDefault="0057644C" w:rsidP="000606DF">
            <w:pPr>
              <w:autoSpaceDE w:val="0"/>
              <w:autoSpaceDN w:val="0"/>
              <w:adjustRightInd w:val="0"/>
              <w:spacing w:line="276" w:lineRule="auto"/>
              <w:jc w:val="center"/>
              <w:cnfStyle w:val="000000100000"/>
            </w:pPr>
            <w:r w:rsidRPr="00031975">
              <w:t>2.84</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84408E">
        <w:rPr>
          <w:rFonts w:ascii="Times New Roman" w:hAnsi="Times New Roman" w:cs="Times New Roman"/>
          <w:sz w:val="24"/>
          <w:szCs w:val="24"/>
          <w:lang/>
        </w:rPr>
        <w:lastRenderedPageBreak/>
        <w:t xml:space="preserve">Ипак, готово две трећине  </w:t>
      </w:r>
      <w:r>
        <w:rPr>
          <w:rFonts w:ascii="Times New Roman" w:hAnsi="Times New Roman" w:cs="Times New Roman"/>
          <w:sz w:val="24"/>
          <w:szCs w:val="24"/>
          <w:lang/>
        </w:rPr>
        <w:t>(62,79</w:t>
      </w:r>
      <w:r w:rsidRPr="0084408E">
        <w:rPr>
          <w:rFonts w:ascii="Times New Roman" w:hAnsi="Times New Roman" w:cs="Times New Roman"/>
          <w:sz w:val="24"/>
          <w:szCs w:val="24"/>
          <w:lang/>
        </w:rPr>
        <w:t>%) запослених у установама културе сматра да градска власт не обраћа довољно пажње на културу у односу на друге области, те да би требало више да се посвете области културе.</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Графикон 8: Да ли градска власт у Сомбору обраћа довољно пажње на културу, у односу на друге области?</w:t>
      </w:r>
    </w:p>
    <w:p w:rsidR="0057644C" w:rsidRPr="0084408E"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943600" cy="159067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7644C" w:rsidRPr="004B6DB1" w:rsidRDefault="0057644C" w:rsidP="0057644C">
      <w:pPr>
        <w:autoSpaceDE w:val="0"/>
        <w:autoSpaceDN w:val="0"/>
        <w:adjustRightInd w:val="0"/>
        <w:spacing w:after="0"/>
        <w:jc w:val="both"/>
        <w:rPr>
          <w:rFonts w:ascii="Times New Roman" w:hAnsi="Times New Roman" w:cs="Times New Roman"/>
          <w:sz w:val="20"/>
          <w:szCs w:val="20"/>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BB312B">
        <w:rPr>
          <w:rFonts w:ascii="Times New Roman" w:hAnsi="Times New Roman" w:cs="Times New Roman"/>
          <w:sz w:val="24"/>
          <w:szCs w:val="24"/>
          <w:lang/>
        </w:rPr>
        <w:t xml:space="preserve">С друге стране, када је реч о самим културним садржајима, </w:t>
      </w:r>
      <w:r w:rsidRPr="0084408E">
        <w:rPr>
          <w:rFonts w:ascii="Times New Roman" w:hAnsi="Times New Roman" w:cs="Times New Roman"/>
          <w:sz w:val="24"/>
          <w:szCs w:val="24"/>
          <w:lang/>
        </w:rPr>
        <w:t xml:space="preserve">више од половине (58%) запослених је, генерално гледано,  задовољно укупном културном понудом у граду (од тога броја је тек 2,3% веома задовољно). </w:t>
      </w:r>
      <w:r w:rsidRPr="00BB312B">
        <w:rPr>
          <w:rFonts w:ascii="Times New Roman" w:hAnsi="Times New Roman" w:cs="Times New Roman"/>
          <w:sz w:val="24"/>
          <w:szCs w:val="24"/>
          <w:lang/>
        </w:rPr>
        <w:t>Уколико</w:t>
      </w:r>
      <w:r>
        <w:rPr>
          <w:rFonts w:ascii="Times New Roman" w:hAnsi="Times New Roman" w:cs="Times New Roman"/>
          <w:sz w:val="24"/>
          <w:szCs w:val="24"/>
          <w:lang/>
        </w:rPr>
        <w:t xml:space="preserve"> се изузму они који</w:t>
      </w:r>
      <w:r w:rsidRPr="00BB312B">
        <w:rPr>
          <w:rFonts w:ascii="Times New Roman" w:hAnsi="Times New Roman" w:cs="Times New Roman"/>
          <w:sz w:val="24"/>
          <w:szCs w:val="24"/>
          <w:lang/>
        </w:rPr>
        <w:t xml:space="preserve"> су се изјаснили да немају став по овом питању, </w:t>
      </w:r>
      <w:r w:rsidRPr="0084408E">
        <w:rPr>
          <w:rFonts w:ascii="Times New Roman" w:hAnsi="Times New Roman" w:cs="Times New Roman"/>
          <w:sz w:val="24"/>
          <w:szCs w:val="24"/>
          <w:lang/>
        </w:rPr>
        <w:t>просечна оцена на скали задовољства укупном културном понудом у Сомбору од стране културних радника  је 4.00 (у систему од 1</w:t>
      </w:r>
      <w:r>
        <w:rPr>
          <w:rFonts w:ascii="Times New Roman" w:hAnsi="Times New Roman" w:cs="Times New Roman"/>
          <w:sz w:val="24"/>
          <w:szCs w:val="24"/>
          <w:lang/>
        </w:rPr>
        <w:t>.00</w:t>
      </w:r>
      <w:r w:rsidRPr="0084408E">
        <w:rPr>
          <w:rFonts w:ascii="Times New Roman" w:hAnsi="Times New Roman" w:cs="Times New Roman"/>
          <w:sz w:val="24"/>
          <w:szCs w:val="24"/>
          <w:lang/>
        </w:rPr>
        <w:t xml:space="preserve"> до 5</w:t>
      </w:r>
      <w:r>
        <w:rPr>
          <w:rFonts w:ascii="Times New Roman" w:hAnsi="Times New Roman" w:cs="Times New Roman"/>
          <w:sz w:val="24"/>
          <w:szCs w:val="24"/>
          <w:lang/>
        </w:rPr>
        <w:t>.00</w:t>
      </w:r>
      <w:r w:rsidRPr="00BB312B">
        <w:rPr>
          <w:rFonts w:ascii="Times New Roman" w:hAnsi="Times New Roman" w:cs="Times New Roman"/>
          <w:sz w:val="24"/>
          <w:szCs w:val="24"/>
          <w:lang/>
        </w:rPr>
        <w:t xml:space="preserve">). </w:t>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Графикон 9: Задовољство културном понудом у Сомбору</w:t>
      </w: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962650" cy="17621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5801C2">
        <w:rPr>
          <w:rFonts w:ascii="Times New Roman" w:hAnsi="Times New Roman" w:cs="Times New Roman"/>
          <w:sz w:val="24"/>
          <w:szCs w:val="24"/>
        </w:rPr>
        <w:t>Према</w:t>
      </w:r>
      <w:r w:rsidRPr="005801C2">
        <w:rPr>
          <w:rFonts w:ascii="Times New Roman" w:hAnsi="Times New Roman" w:cs="Times New Roman"/>
          <w:sz w:val="24"/>
          <w:szCs w:val="24"/>
          <w:lang/>
        </w:rPr>
        <w:t xml:space="preserve"> мишљењу запослених у култури, у културној понуди би требало првенствено да има више концерата страних извођача</w:t>
      </w:r>
      <w:r w:rsidRPr="005801C2">
        <w:rPr>
          <w:rFonts w:ascii="Times New Roman" w:hAnsi="Times New Roman" w:cs="Times New Roman"/>
          <w:sz w:val="24"/>
          <w:szCs w:val="24"/>
        </w:rPr>
        <w:t xml:space="preserve">, потом фестивала. </w:t>
      </w:r>
      <w:r w:rsidRPr="005801C2">
        <w:rPr>
          <w:rFonts w:ascii="Times New Roman" w:hAnsi="Times New Roman" w:cs="Times New Roman"/>
          <w:sz w:val="24"/>
          <w:szCs w:val="24"/>
          <w:lang/>
        </w:rPr>
        <w:t>Треће место на листи садржаја којих би требало да буде више заузимају перфо</w:t>
      </w:r>
      <w:r>
        <w:rPr>
          <w:rFonts w:ascii="Times New Roman" w:hAnsi="Times New Roman" w:cs="Times New Roman"/>
          <w:sz w:val="24"/>
          <w:szCs w:val="24"/>
          <w:lang/>
        </w:rPr>
        <w:t>р</w:t>
      </w:r>
      <w:r w:rsidRPr="005801C2">
        <w:rPr>
          <w:rFonts w:ascii="Times New Roman" w:hAnsi="Times New Roman" w:cs="Times New Roman"/>
          <w:sz w:val="24"/>
          <w:szCs w:val="24"/>
          <w:lang/>
        </w:rPr>
        <w:t>м</w:t>
      </w:r>
      <w:r>
        <w:rPr>
          <w:rFonts w:ascii="Times New Roman" w:hAnsi="Times New Roman" w:cs="Times New Roman"/>
          <w:sz w:val="24"/>
          <w:szCs w:val="24"/>
          <w:lang/>
        </w:rPr>
        <w:t xml:space="preserve">анси и савремене уметничке форме као и већи број културних садржаја </w:t>
      </w:r>
      <w:r w:rsidRPr="005801C2">
        <w:rPr>
          <w:rFonts w:ascii="Times New Roman" w:hAnsi="Times New Roman" w:cs="Times New Roman"/>
          <w:sz w:val="24"/>
          <w:szCs w:val="24"/>
          <w:lang/>
        </w:rPr>
        <w:t>доступни</w:t>
      </w:r>
      <w:r>
        <w:rPr>
          <w:rFonts w:ascii="Times New Roman" w:hAnsi="Times New Roman" w:cs="Times New Roman"/>
          <w:sz w:val="24"/>
          <w:szCs w:val="24"/>
          <w:lang/>
        </w:rPr>
        <w:t>х</w:t>
      </w:r>
      <w:r w:rsidRPr="005801C2">
        <w:rPr>
          <w:rFonts w:ascii="Times New Roman" w:hAnsi="Times New Roman" w:cs="Times New Roman"/>
          <w:sz w:val="24"/>
          <w:szCs w:val="24"/>
          <w:lang/>
        </w:rPr>
        <w:t xml:space="preserve"> у дигиталном окружењу.  </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040615" w:rsidRDefault="00040615" w:rsidP="0057644C">
      <w:pPr>
        <w:autoSpaceDE w:val="0"/>
        <w:autoSpaceDN w:val="0"/>
        <w:adjustRightInd w:val="0"/>
        <w:spacing w:after="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lastRenderedPageBreak/>
        <w:t xml:space="preserve">Табела 14: Како побољшати културну понуду у Сомбору </w:t>
      </w:r>
    </w:p>
    <w:tbl>
      <w:tblPr>
        <w:tblStyle w:val="GridTable4-Accent11"/>
        <w:tblW w:w="0" w:type="auto"/>
        <w:tblLook w:val="04A0"/>
      </w:tblPr>
      <w:tblGrid>
        <w:gridCol w:w="4135"/>
        <w:gridCol w:w="2080"/>
        <w:gridCol w:w="3108"/>
      </w:tblGrid>
      <w:tr w:rsidR="0057644C" w:rsidRPr="00B0554F" w:rsidTr="000606DF">
        <w:trPr>
          <w:cnfStyle w:val="100000000000"/>
        </w:trPr>
        <w:tc>
          <w:tcPr>
            <w:cnfStyle w:val="001000000000"/>
            <w:tcW w:w="4135" w:type="dxa"/>
          </w:tcPr>
          <w:p w:rsidR="0057644C" w:rsidRPr="00B0554F" w:rsidRDefault="0057644C" w:rsidP="000606DF">
            <w:pPr>
              <w:spacing w:line="276" w:lineRule="auto"/>
              <w:jc w:val="both"/>
              <w:rPr>
                <w:lang/>
              </w:rPr>
            </w:pPr>
          </w:p>
        </w:tc>
        <w:tc>
          <w:tcPr>
            <w:tcW w:w="2080" w:type="dxa"/>
          </w:tcPr>
          <w:p w:rsidR="0057644C" w:rsidRPr="00B0554F" w:rsidRDefault="0057644C" w:rsidP="000606DF">
            <w:pPr>
              <w:spacing w:line="276" w:lineRule="auto"/>
              <w:jc w:val="center"/>
              <w:cnfStyle w:val="100000000000"/>
              <w:rPr>
                <w:lang/>
              </w:rPr>
            </w:pPr>
            <w:r w:rsidRPr="00B0554F">
              <w:rPr>
                <w:lang/>
              </w:rPr>
              <w:t>%</w:t>
            </w:r>
          </w:p>
        </w:tc>
        <w:tc>
          <w:tcPr>
            <w:tcW w:w="3108" w:type="dxa"/>
          </w:tcPr>
          <w:p w:rsidR="0057644C" w:rsidRPr="00B0554F" w:rsidRDefault="0057644C" w:rsidP="000606DF">
            <w:pPr>
              <w:spacing w:line="276" w:lineRule="auto"/>
              <w:jc w:val="center"/>
              <w:cnfStyle w:val="100000000000"/>
              <w:rPr>
                <w:lang/>
              </w:rPr>
            </w:pPr>
            <w:r w:rsidRPr="00B0554F">
              <w:rPr>
                <w:lang/>
              </w:rPr>
              <w:t>% случајева</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Више концерата страних извођача</w:t>
            </w:r>
          </w:p>
        </w:tc>
        <w:tc>
          <w:tcPr>
            <w:tcW w:w="2080" w:type="dxa"/>
          </w:tcPr>
          <w:p w:rsidR="0057644C" w:rsidRPr="00B0554F" w:rsidRDefault="0057644C" w:rsidP="000606DF">
            <w:pPr>
              <w:jc w:val="center"/>
              <w:cnfStyle w:val="000000100000"/>
              <w:rPr>
                <w:lang/>
              </w:rPr>
            </w:pPr>
            <w:r w:rsidRPr="00B0554F">
              <w:rPr>
                <w:lang/>
              </w:rPr>
              <w:t>15.9%</w:t>
            </w:r>
          </w:p>
        </w:tc>
        <w:tc>
          <w:tcPr>
            <w:tcW w:w="3108" w:type="dxa"/>
          </w:tcPr>
          <w:p w:rsidR="0057644C" w:rsidRPr="00B0554F" w:rsidRDefault="0057644C" w:rsidP="000606DF">
            <w:pPr>
              <w:jc w:val="center"/>
              <w:cnfStyle w:val="000000100000"/>
              <w:rPr>
                <w:lang/>
              </w:rPr>
            </w:pPr>
            <w:r w:rsidRPr="00B0554F">
              <w:rPr>
                <w:lang/>
              </w:rPr>
              <w:t>30.2%</w:t>
            </w:r>
          </w:p>
        </w:tc>
      </w:tr>
      <w:tr w:rsidR="0057644C" w:rsidRPr="00B0554F" w:rsidTr="000606DF">
        <w:tc>
          <w:tcPr>
            <w:cnfStyle w:val="001000000000"/>
            <w:tcW w:w="4135" w:type="dxa"/>
          </w:tcPr>
          <w:p w:rsidR="0057644C" w:rsidRPr="00B0554F" w:rsidRDefault="0057644C" w:rsidP="000606DF">
            <w:pPr>
              <w:rPr>
                <w:lang/>
              </w:rPr>
            </w:pPr>
            <w:r w:rsidRPr="00B0554F">
              <w:rPr>
                <w:lang/>
              </w:rPr>
              <w:t>Више фестивала</w:t>
            </w:r>
          </w:p>
        </w:tc>
        <w:tc>
          <w:tcPr>
            <w:tcW w:w="2080" w:type="dxa"/>
          </w:tcPr>
          <w:p w:rsidR="0057644C" w:rsidRPr="00B0554F" w:rsidRDefault="0057644C" w:rsidP="000606DF">
            <w:pPr>
              <w:jc w:val="center"/>
              <w:cnfStyle w:val="000000000000"/>
              <w:rPr>
                <w:lang/>
              </w:rPr>
            </w:pPr>
            <w:r w:rsidRPr="00B0554F">
              <w:rPr>
                <w:lang/>
              </w:rPr>
              <w:t>13.4%</w:t>
            </w:r>
          </w:p>
        </w:tc>
        <w:tc>
          <w:tcPr>
            <w:tcW w:w="3108" w:type="dxa"/>
          </w:tcPr>
          <w:p w:rsidR="0057644C" w:rsidRPr="00B0554F" w:rsidRDefault="0057644C" w:rsidP="000606DF">
            <w:pPr>
              <w:jc w:val="center"/>
              <w:cnfStyle w:val="000000000000"/>
              <w:rPr>
                <w:lang/>
              </w:rPr>
            </w:pPr>
            <w:r w:rsidRPr="00B0554F">
              <w:rPr>
                <w:lang/>
              </w:rPr>
              <w:t>25.6%</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Више перформанса и савремених уметничких форми</w:t>
            </w:r>
          </w:p>
        </w:tc>
        <w:tc>
          <w:tcPr>
            <w:tcW w:w="2080" w:type="dxa"/>
          </w:tcPr>
          <w:p w:rsidR="0057644C" w:rsidRPr="00B0554F" w:rsidRDefault="0057644C" w:rsidP="000606DF">
            <w:pPr>
              <w:jc w:val="center"/>
              <w:cnfStyle w:val="000000100000"/>
              <w:rPr>
                <w:lang/>
              </w:rPr>
            </w:pPr>
            <w:r w:rsidRPr="00B0554F">
              <w:rPr>
                <w:lang/>
              </w:rPr>
              <w:t>9.8%</w:t>
            </w:r>
          </w:p>
        </w:tc>
        <w:tc>
          <w:tcPr>
            <w:tcW w:w="3108" w:type="dxa"/>
          </w:tcPr>
          <w:p w:rsidR="0057644C" w:rsidRPr="00B0554F" w:rsidRDefault="0057644C" w:rsidP="000606DF">
            <w:pPr>
              <w:jc w:val="center"/>
              <w:cnfStyle w:val="000000100000"/>
              <w:rPr>
                <w:lang/>
              </w:rPr>
            </w:pPr>
            <w:r w:rsidRPr="00B0554F">
              <w:rPr>
                <w:lang/>
              </w:rPr>
              <w:t>18.6%</w:t>
            </w:r>
          </w:p>
        </w:tc>
      </w:tr>
      <w:tr w:rsidR="0057644C" w:rsidRPr="00B0554F" w:rsidTr="000606DF">
        <w:tc>
          <w:tcPr>
            <w:cnfStyle w:val="001000000000"/>
            <w:tcW w:w="4135" w:type="dxa"/>
          </w:tcPr>
          <w:p w:rsidR="0057644C" w:rsidRPr="00B0554F" w:rsidRDefault="0057644C" w:rsidP="000606DF">
            <w:pPr>
              <w:rPr>
                <w:lang/>
              </w:rPr>
            </w:pPr>
            <w:r w:rsidRPr="00B0554F">
              <w:rPr>
                <w:lang/>
              </w:rPr>
              <w:t>Више свих типова културних садржаја доступних у дигиталном окружењу</w:t>
            </w:r>
          </w:p>
        </w:tc>
        <w:tc>
          <w:tcPr>
            <w:tcW w:w="2080" w:type="dxa"/>
          </w:tcPr>
          <w:p w:rsidR="0057644C" w:rsidRPr="00B0554F" w:rsidRDefault="0057644C" w:rsidP="000606DF">
            <w:pPr>
              <w:jc w:val="center"/>
              <w:cnfStyle w:val="000000000000"/>
              <w:rPr>
                <w:lang/>
              </w:rPr>
            </w:pPr>
            <w:r w:rsidRPr="00B0554F">
              <w:rPr>
                <w:lang/>
              </w:rPr>
              <w:t>9.8%</w:t>
            </w:r>
          </w:p>
        </w:tc>
        <w:tc>
          <w:tcPr>
            <w:tcW w:w="3108" w:type="dxa"/>
          </w:tcPr>
          <w:p w:rsidR="0057644C" w:rsidRPr="00B0554F" w:rsidRDefault="0057644C" w:rsidP="000606DF">
            <w:pPr>
              <w:jc w:val="center"/>
              <w:cnfStyle w:val="000000000000"/>
              <w:rPr>
                <w:lang/>
              </w:rPr>
            </w:pPr>
            <w:r w:rsidRPr="00B0554F">
              <w:rPr>
                <w:lang/>
              </w:rPr>
              <w:t>18.6%</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Више изложби</w:t>
            </w:r>
          </w:p>
        </w:tc>
        <w:tc>
          <w:tcPr>
            <w:tcW w:w="2080" w:type="dxa"/>
          </w:tcPr>
          <w:p w:rsidR="0057644C" w:rsidRPr="00B0554F" w:rsidRDefault="0057644C" w:rsidP="000606DF">
            <w:pPr>
              <w:jc w:val="center"/>
              <w:cnfStyle w:val="000000100000"/>
              <w:rPr>
                <w:lang/>
              </w:rPr>
            </w:pPr>
            <w:r w:rsidRPr="00B0554F">
              <w:rPr>
                <w:lang/>
              </w:rPr>
              <w:t>7.3%</w:t>
            </w:r>
          </w:p>
        </w:tc>
        <w:tc>
          <w:tcPr>
            <w:tcW w:w="3108" w:type="dxa"/>
          </w:tcPr>
          <w:p w:rsidR="0057644C" w:rsidRPr="00B0554F" w:rsidRDefault="0057644C" w:rsidP="000606DF">
            <w:pPr>
              <w:jc w:val="center"/>
              <w:cnfStyle w:val="000000100000"/>
              <w:rPr>
                <w:lang/>
              </w:rPr>
            </w:pPr>
            <w:r w:rsidRPr="00B0554F">
              <w:rPr>
                <w:lang/>
              </w:rPr>
              <w:t>14.0%</w:t>
            </w:r>
          </w:p>
        </w:tc>
      </w:tr>
      <w:tr w:rsidR="0057644C" w:rsidRPr="00B0554F" w:rsidTr="000606DF">
        <w:tc>
          <w:tcPr>
            <w:cnfStyle w:val="001000000000"/>
            <w:tcW w:w="4135" w:type="dxa"/>
          </w:tcPr>
          <w:p w:rsidR="0057644C" w:rsidRPr="00B0554F" w:rsidRDefault="0057644C" w:rsidP="000606DF">
            <w:pPr>
              <w:rPr>
                <w:lang/>
              </w:rPr>
            </w:pPr>
            <w:r w:rsidRPr="00B0554F">
              <w:rPr>
                <w:lang/>
              </w:rPr>
              <w:t>Више опера/оперета</w:t>
            </w:r>
          </w:p>
        </w:tc>
        <w:tc>
          <w:tcPr>
            <w:tcW w:w="2080" w:type="dxa"/>
          </w:tcPr>
          <w:p w:rsidR="0057644C" w:rsidRPr="00B0554F" w:rsidRDefault="0057644C" w:rsidP="000606DF">
            <w:pPr>
              <w:jc w:val="center"/>
              <w:cnfStyle w:val="000000000000"/>
              <w:rPr>
                <w:lang/>
              </w:rPr>
            </w:pPr>
            <w:r w:rsidRPr="00B0554F">
              <w:rPr>
                <w:lang/>
              </w:rPr>
              <w:t>6.1%</w:t>
            </w:r>
          </w:p>
        </w:tc>
        <w:tc>
          <w:tcPr>
            <w:tcW w:w="3108" w:type="dxa"/>
          </w:tcPr>
          <w:p w:rsidR="0057644C" w:rsidRPr="00B0554F" w:rsidRDefault="0057644C" w:rsidP="000606DF">
            <w:pPr>
              <w:jc w:val="center"/>
              <w:cnfStyle w:val="000000000000"/>
              <w:rPr>
                <w:lang/>
              </w:rPr>
            </w:pPr>
            <w:r w:rsidRPr="00B0554F">
              <w:rPr>
                <w:lang/>
              </w:rPr>
              <w:t>11.6%</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Више концерата домаћих извођача</w:t>
            </w:r>
          </w:p>
        </w:tc>
        <w:tc>
          <w:tcPr>
            <w:tcW w:w="2080" w:type="dxa"/>
          </w:tcPr>
          <w:p w:rsidR="0057644C" w:rsidRPr="00B0554F" w:rsidRDefault="0057644C" w:rsidP="000606DF">
            <w:pPr>
              <w:jc w:val="center"/>
              <w:cnfStyle w:val="000000100000"/>
              <w:rPr>
                <w:lang/>
              </w:rPr>
            </w:pPr>
            <w:r w:rsidRPr="00B0554F">
              <w:rPr>
                <w:lang/>
              </w:rPr>
              <w:t>6.1%</w:t>
            </w:r>
          </w:p>
        </w:tc>
        <w:tc>
          <w:tcPr>
            <w:tcW w:w="3108" w:type="dxa"/>
          </w:tcPr>
          <w:p w:rsidR="0057644C" w:rsidRPr="00B0554F" w:rsidRDefault="0057644C" w:rsidP="000606DF">
            <w:pPr>
              <w:jc w:val="center"/>
              <w:cnfStyle w:val="000000100000"/>
              <w:rPr>
                <w:lang/>
              </w:rPr>
            </w:pPr>
            <w:r w:rsidRPr="00B0554F">
              <w:rPr>
                <w:lang/>
              </w:rPr>
              <w:t>11.6%</w:t>
            </w:r>
          </w:p>
        </w:tc>
      </w:tr>
      <w:tr w:rsidR="0057644C" w:rsidRPr="00B0554F" w:rsidTr="000606DF">
        <w:tc>
          <w:tcPr>
            <w:cnfStyle w:val="001000000000"/>
            <w:tcW w:w="4135" w:type="dxa"/>
          </w:tcPr>
          <w:p w:rsidR="0057644C" w:rsidRPr="00B0554F" w:rsidRDefault="0057644C" w:rsidP="000606DF">
            <w:pPr>
              <w:rPr>
                <w:lang/>
              </w:rPr>
            </w:pPr>
            <w:r w:rsidRPr="00B0554F">
              <w:rPr>
                <w:lang/>
              </w:rPr>
              <w:t>Више трибина/предавања</w:t>
            </w:r>
          </w:p>
        </w:tc>
        <w:tc>
          <w:tcPr>
            <w:tcW w:w="2080" w:type="dxa"/>
          </w:tcPr>
          <w:p w:rsidR="0057644C" w:rsidRPr="00B0554F" w:rsidRDefault="0057644C" w:rsidP="000606DF">
            <w:pPr>
              <w:jc w:val="center"/>
              <w:cnfStyle w:val="000000000000"/>
              <w:rPr>
                <w:lang/>
              </w:rPr>
            </w:pPr>
            <w:r w:rsidRPr="00B0554F">
              <w:rPr>
                <w:lang/>
              </w:rPr>
              <w:t>6.1%</w:t>
            </w:r>
          </w:p>
        </w:tc>
        <w:tc>
          <w:tcPr>
            <w:tcW w:w="3108" w:type="dxa"/>
          </w:tcPr>
          <w:p w:rsidR="0057644C" w:rsidRPr="00B0554F" w:rsidRDefault="0057644C" w:rsidP="000606DF">
            <w:pPr>
              <w:jc w:val="center"/>
              <w:cnfStyle w:val="000000000000"/>
              <w:rPr>
                <w:lang/>
              </w:rPr>
            </w:pPr>
            <w:r w:rsidRPr="00B0554F">
              <w:rPr>
                <w:lang/>
              </w:rPr>
              <w:t>11.6%</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Више балетских представа</w:t>
            </w:r>
          </w:p>
        </w:tc>
        <w:tc>
          <w:tcPr>
            <w:tcW w:w="2080" w:type="dxa"/>
          </w:tcPr>
          <w:p w:rsidR="0057644C" w:rsidRPr="00B0554F" w:rsidRDefault="0057644C" w:rsidP="000606DF">
            <w:pPr>
              <w:jc w:val="center"/>
              <w:cnfStyle w:val="000000100000"/>
              <w:rPr>
                <w:lang/>
              </w:rPr>
            </w:pPr>
            <w:r w:rsidRPr="00B0554F">
              <w:rPr>
                <w:lang/>
              </w:rPr>
              <w:t>4.9%</w:t>
            </w:r>
          </w:p>
        </w:tc>
        <w:tc>
          <w:tcPr>
            <w:tcW w:w="3108" w:type="dxa"/>
          </w:tcPr>
          <w:p w:rsidR="0057644C" w:rsidRPr="00B0554F" w:rsidRDefault="0057644C" w:rsidP="000606DF">
            <w:pPr>
              <w:jc w:val="center"/>
              <w:cnfStyle w:val="000000100000"/>
              <w:rPr>
                <w:lang/>
              </w:rPr>
            </w:pPr>
            <w:r w:rsidRPr="00B0554F">
              <w:rPr>
                <w:lang/>
              </w:rPr>
              <w:t>9.3%</w:t>
            </w:r>
          </w:p>
        </w:tc>
      </w:tr>
      <w:tr w:rsidR="0057644C" w:rsidRPr="00B0554F" w:rsidTr="000606DF">
        <w:tc>
          <w:tcPr>
            <w:cnfStyle w:val="001000000000"/>
            <w:tcW w:w="4135" w:type="dxa"/>
          </w:tcPr>
          <w:p w:rsidR="0057644C" w:rsidRPr="00B0554F" w:rsidRDefault="0057644C" w:rsidP="000606DF">
            <w:pPr>
              <w:rPr>
                <w:lang/>
              </w:rPr>
            </w:pPr>
            <w:r w:rsidRPr="00B0554F">
              <w:rPr>
                <w:lang/>
              </w:rPr>
              <w:t>Више програма на селу</w:t>
            </w:r>
          </w:p>
        </w:tc>
        <w:tc>
          <w:tcPr>
            <w:tcW w:w="2080" w:type="dxa"/>
          </w:tcPr>
          <w:p w:rsidR="0057644C" w:rsidRPr="00B0554F" w:rsidRDefault="0057644C" w:rsidP="000606DF">
            <w:pPr>
              <w:jc w:val="center"/>
              <w:cnfStyle w:val="000000000000"/>
              <w:rPr>
                <w:lang/>
              </w:rPr>
            </w:pPr>
            <w:r w:rsidRPr="00B0554F">
              <w:rPr>
                <w:lang/>
              </w:rPr>
              <w:t>4.9%</w:t>
            </w:r>
          </w:p>
        </w:tc>
        <w:tc>
          <w:tcPr>
            <w:tcW w:w="3108" w:type="dxa"/>
          </w:tcPr>
          <w:p w:rsidR="0057644C" w:rsidRPr="00B0554F" w:rsidRDefault="0057644C" w:rsidP="000606DF">
            <w:pPr>
              <w:jc w:val="center"/>
              <w:cnfStyle w:val="000000000000"/>
              <w:rPr>
                <w:lang/>
              </w:rPr>
            </w:pPr>
            <w:r w:rsidRPr="00B0554F">
              <w:rPr>
                <w:lang/>
              </w:rPr>
              <w:t>9.3%</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Више музејских садржаја</w:t>
            </w:r>
          </w:p>
        </w:tc>
        <w:tc>
          <w:tcPr>
            <w:tcW w:w="2080" w:type="dxa"/>
          </w:tcPr>
          <w:p w:rsidR="0057644C" w:rsidRPr="00B0554F" w:rsidRDefault="0057644C" w:rsidP="000606DF">
            <w:pPr>
              <w:jc w:val="center"/>
              <w:cnfStyle w:val="000000100000"/>
              <w:rPr>
                <w:lang/>
              </w:rPr>
            </w:pPr>
            <w:r w:rsidRPr="00B0554F">
              <w:rPr>
                <w:lang/>
              </w:rPr>
              <w:t>4.9%</w:t>
            </w:r>
          </w:p>
        </w:tc>
        <w:tc>
          <w:tcPr>
            <w:tcW w:w="3108" w:type="dxa"/>
          </w:tcPr>
          <w:p w:rsidR="0057644C" w:rsidRPr="00B0554F" w:rsidRDefault="0057644C" w:rsidP="000606DF">
            <w:pPr>
              <w:jc w:val="center"/>
              <w:cnfStyle w:val="000000100000"/>
              <w:rPr>
                <w:lang/>
              </w:rPr>
            </w:pPr>
            <w:r w:rsidRPr="00B0554F">
              <w:rPr>
                <w:lang/>
              </w:rPr>
              <w:t>9.3%</w:t>
            </w:r>
          </w:p>
        </w:tc>
      </w:tr>
      <w:tr w:rsidR="0057644C" w:rsidRPr="00B0554F" w:rsidTr="000606DF">
        <w:tc>
          <w:tcPr>
            <w:cnfStyle w:val="001000000000"/>
            <w:tcW w:w="4135" w:type="dxa"/>
          </w:tcPr>
          <w:p w:rsidR="0057644C" w:rsidRPr="00B0554F" w:rsidRDefault="0057644C" w:rsidP="000606DF">
            <w:pPr>
              <w:rPr>
                <w:lang/>
              </w:rPr>
            </w:pPr>
            <w:r w:rsidRPr="00B0554F">
              <w:rPr>
                <w:lang/>
              </w:rPr>
              <w:t>Више креативних радионица</w:t>
            </w:r>
          </w:p>
        </w:tc>
        <w:tc>
          <w:tcPr>
            <w:tcW w:w="2080" w:type="dxa"/>
          </w:tcPr>
          <w:p w:rsidR="0057644C" w:rsidRPr="00B0554F" w:rsidRDefault="0057644C" w:rsidP="000606DF">
            <w:pPr>
              <w:jc w:val="center"/>
              <w:cnfStyle w:val="000000000000"/>
              <w:rPr>
                <w:lang/>
              </w:rPr>
            </w:pPr>
            <w:r w:rsidRPr="00B0554F">
              <w:rPr>
                <w:lang/>
              </w:rPr>
              <w:t>4.9%</w:t>
            </w:r>
          </w:p>
        </w:tc>
        <w:tc>
          <w:tcPr>
            <w:tcW w:w="3108" w:type="dxa"/>
          </w:tcPr>
          <w:p w:rsidR="0057644C" w:rsidRPr="00B0554F" w:rsidRDefault="0057644C" w:rsidP="000606DF">
            <w:pPr>
              <w:jc w:val="center"/>
              <w:cnfStyle w:val="000000000000"/>
              <w:rPr>
                <w:lang/>
              </w:rPr>
            </w:pPr>
            <w:r w:rsidRPr="00B0554F">
              <w:rPr>
                <w:lang/>
              </w:rPr>
              <w:t>9.3%</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Више позоришних представа</w:t>
            </w:r>
          </w:p>
        </w:tc>
        <w:tc>
          <w:tcPr>
            <w:tcW w:w="2080" w:type="dxa"/>
          </w:tcPr>
          <w:p w:rsidR="0057644C" w:rsidRPr="00B0554F" w:rsidRDefault="0057644C" w:rsidP="000606DF">
            <w:pPr>
              <w:jc w:val="center"/>
              <w:cnfStyle w:val="000000100000"/>
              <w:rPr>
                <w:lang/>
              </w:rPr>
            </w:pPr>
            <w:r w:rsidRPr="00B0554F">
              <w:rPr>
                <w:lang/>
              </w:rPr>
              <w:t>3.7%</w:t>
            </w:r>
          </w:p>
        </w:tc>
        <w:tc>
          <w:tcPr>
            <w:tcW w:w="3108" w:type="dxa"/>
          </w:tcPr>
          <w:p w:rsidR="0057644C" w:rsidRPr="00B0554F" w:rsidRDefault="0057644C" w:rsidP="000606DF">
            <w:pPr>
              <w:jc w:val="center"/>
              <w:cnfStyle w:val="000000100000"/>
              <w:rPr>
                <w:lang/>
              </w:rPr>
            </w:pPr>
            <w:r w:rsidRPr="00B0554F">
              <w:rPr>
                <w:lang/>
              </w:rPr>
              <w:t>7.0%</w:t>
            </w:r>
          </w:p>
        </w:tc>
      </w:tr>
      <w:tr w:rsidR="0057644C" w:rsidRPr="00B0554F" w:rsidTr="000606DF">
        <w:tc>
          <w:tcPr>
            <w:cnfStyle w:val="001000000000"/>
            <w:tcW w:w="4135" w:type="dxa"/>
          </w:tcPr>
          <w:p w:rsidR="0057644C" w:rsidRPr="00B0554F" w:rsidRDefault="0057644C" w:rsidP="000606DF">
            <w:pPr>
              <w:rPr>
                <w:lang/>
              </w:rPr>
            </w:pPr>
            <w:r w:rsidRPr="00B0554F">
              <w:rPr>
                <w:lang/>
              </w:rPr>
              <w:t>Више биоскопских пројекција</w:t>
            </w:r>
          </w:p>
        </w:tc>
        <w:tc>
          <w:tcPr>
            <w:tcW w:w="2080" w:type="dxa"/>
          </w:tcPr>
          <w:p w:rsidR="0057644C" w:rsidRPr="00B0554F" w:rsidRDefault="0057644C" w:rsidP="000606DF">
            <w:pPr>
              <w:jc w:val="center"/>
              <w:cnfStyle w:val="000000000000"/>
              <w:rPr>
                <w:lang/>
              </w:rPr>
            </w:pPr>
            <w:r w:rsidRPr="00B0554F">
              <w:rPr>
                <w:lang/>
              </w:rPr>
              <w:t>2.4%</w:t>
            </w:r>
          </w:p>
        </w:tc>
        <w:tc>
          <w:tcPr>
            <w:tcW w:w="3108" w:type="dxa"/>
          </w:tcPr>
          <w:p w:rsidR="0057644C" w:rsidRPr="00B0554F" w:rsidRDefault="0057644C" w:rsidP="000606DF">
            <w:pPr>
              <w:jc w:val="center"/>
              <w:cnfStyle w:val="000000000000"/>
              <w:rPr>
                <w:lang/>
              </w:rPr>
            </w:pPr>
            <w:r w:rsidRPr="00B0554F">
              <w:rPr>
                <w:lang/>
              </w:rPr>
              <w:t>4.7%</w:t>
            </w:r>
          </w:p>
        </w:tc>
      </w:tr>
      <w:tr w:rsidR="0057644C" w:rsidRPr="00B0554F" w:rsidTr="000606DF">
        <w:trPr>
          <w:cnfStyle w:val="000000100000"/>
        </w:trPr>
        <w:tc>
          <w:tcPr>
            <w:cnfStyle w:val="001000000000"/>
            <w:tcW w:w="4135" w:type="dxa"/>
          </w:tcPr>
          <w:p w:rsidR="0057644C" w:rsidRPr="00B0554F" w:rsidRDefault="0057644C" w:rsidP="000606DF">
            <w:pPr>
              <w:rPr>
                <w:lang/>
              </w:rPr>
            </w:pPr>
            <w:r w:rsidRPr="00B0554F">
              <w:rPr>
                <w:lang/>
              </w:rPr>
              <w:t>Укупно</w:t>
            </w:r>
          </w:p>
        </w:tc>
        <w:tc>
          <w:tcPr>
            <w:tcW w:w="2080" w:type="dxa"/>
          </w:tcPr>
          <w:p w:rsidR="0057644C" w:rsidRPr="00B0554F" w:rsidRDefault="0057644C" w:rsidP="000606DF">
            <w:pPr>
              <w:jc w:val="center"/>
              <w:cnfStyle w:val="000000100000"/>
              <w:rPr>
                <w:lang/>
              </w:rPr>
            </w:pPr>
            <w:r w:rsidRPr="00B0554F">
              <w:rPr>
                <w:lang/>
              </w:rPr>
              <w:t>100.0%</w:t>
            </w:r>
          </w:p>
        </w:tc>
        <w:tc>
          <w:tcPr>
            <w:tcW w:w="3108" w:type="dxa"/>
          </w:tcPr>
          <w:p w:rsidR="0057644C" w:rsidRPr="00B0554F" w:rsidRDefault="0057644C" w:rsidP="000606DF">
            <w:pPr>
              <w:jc w:val="center"/>
              <w:cnfStyle w:val="000000100000"/>
              <w:rPr>
                <w:lang/>
              </w:rPr>
            </w:pPr>
            <w:r w:rsidRPr="00B0554F">
              <w:rPr>
                <w:lang/>
              </w:rPr>
              <w:t>190.7%</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5801C2">
        <w:rPr>
          <w:rFonts w:ascii="Times New Roman" w:hAnsi="Times New Roman" w:cs="Times New Roman"/>
          <w:sz w:val="24"/>
          <w:szCs w:val="24"/>
          <w:lang/>
        </w:rPr>
        <w:t xml:space="preserve">Када је реч о оцени културне понуде у насељеним местима ниједан испитаник не сматра да у насељеним местима </w:t>
      </w:r>
      <w:r w:rsidRPr="005801C2">
        <w:rPr>
          <w:rFonts w:ascii="Times New Roman" w:hAnsi="Times New Roman" w:cs="Times New Roman"/>
          <w:sz w:val="24"/>
          <w:szCs w:val="24"/>
        </w:rPr>
        <w:t>постоји врло развијен културни живот и редовна понуда садржаја</w:t>
      </w:r>
      <w:r w:rsidRPr="005801C2">
        <w:rPr>
          <w:rFonts w:ascii="Times New Roman" w:hAnsi="Times New Roman" w:cs="Times New Roman"/>
          <w:sz w:val="24"/>
          <w:szCs w:val="24"/>
          <w:lang/>
        </w:rPr>
        <w:t>. Такође, готово половина испитаника, сматра да се понекад нешто организује од културних садржаја, али да је то недовољно, док се више од трећине изјаснило да се врло ретко организују културни програми у селима.</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Графикон 10: Културна понуда у насељеним местима</w:t>
      </w:r>
    </w:p>
    <w:p w:rsidR="0057644C" w:rsidRPr="005801C2"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noProof/>
          <w:sz w:val="24"/>
          <w:szCs w:val="24"/>
        </w:rPr>
        <w:drawing>
          <wp:inline distT="0" distB="0" distL="0" distR="0">
            <wp:extent cx="5915025" cy="16859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7644C" w:rsidRPr="00482F26" w:rsidRDefault="0057644C" w:rsidP="0057644C">
      <w:pPr>
        <w:autoSpaceDE w:val="0"/>
        <w:autoSpaceDN w:val="0"/>
        <w:adjustRightInd w:val="0"/>
        <w:spacing w:after="0"/>
        <w:ind w:firstLine="720"/>
        <w:jc w:val="both"/>
        <w:rPr>
          <w:rFonts w:ascii="Times New Roman" w:hAnsi="Times New Roman" w:cs="Times New Roman"/>
          <w:sz w:val="24"/>
          <w:szCs w:val="24"/>
          <w:lang/>
        </w:rPr>
      </w:pPr>
      <w:r>
        <w:rPr>
          <w:rFonts w:ascii="Times New Roman" w:hAnsi="Times New Roman" w:cs="Times New Roman"/>
          <w:sz w:val="24"/>
          <w:szCs w:val="24"/>
          <w:lang/>
        </w:rPr>
        <w:t>П</w:t>
      </w:r>
      <w:r w:rsidRPr="00482F26">
        <w:rPr>
          <w:rFonts w:ascii="Times New Roman" w:hAnsi="Times New Roman" w:cs="Times New Roman"/>
          <w:sz w:val="24"/>
          <w:szCs w:val="24"/>
          <w:lang/>
        </w:rPr>
        <w:t>рема мишљењу запослених у установама културе у Сомбору  први приоритет за развој културе у Сомбору би требало да буде неговање традиције и заштита културног наслеђа, које је као</w:t>
      </w:r>
      <w:r w:rsidRPr="00482F26">
        <w:t xml:space="preserve"> </w:t>
      </w:r>
      <w:r w:rsidRPr="00482F26">
        <w:rPr>
          <w:rFonts w:ascii="Times New Roman" w:hAnsi="Times New Roman" w:cs="Times New Roman"/>
          <w:sz w:val="24"/>
          <w:szCs w:val="24"/>
          <w:lang/>
        </w:rPr>
        <w:t>један од три најважнија стратешка циља за деловање и улагање у области култ</w:t>
      </w:r>
      <w:r>
        <w:rPr>
          <w:rFonts w:ascii="Times New Roman" w:hAnsi="Times New Roman" w:cs="Times New Roman"/>
          <w:sz w:val="24"/>
          <w:szCs w:val="24"/>
          <w:lang/>
        </w:rPr>
        <w:t>уре на градском нивоу навело 74,</w:t>
      </w:r>
      <w:r w:rsidRPr="00482F26">
        <w:rPr>
          <w:rFonts w:ascii="Times New Roman" w:hAnsi="Times New Roman" w:cs="Times New Roman"/>
          <w:sz w:val="24"/>
          <w:szCs w:val="24"/>
          <w:lang/>
        </w:rPr>
        <w:t xml:space="preserve">4% испитаника. На другом месту је опремање, реновирање или реконструкција установа културе и других простора намењених култури (51% испитаника). Ова два циља се јасно издвајају као кључна за запослене, при чему се више од половине испитаних културних посленика изјаснило да би те области требало да буду стратешки приоритети. </w:t>
      </w:r>
    </w:p>
    <w:p w:rsidR="0057644C" w:rsidRPr="00BB312B"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7747FD">
        <w:rPr>
          <w:rFonts w:ascii="Times New Roman" w:hAnsi="Times New Roman" w:cs="Times New Roman"/>
          <w:sz w:val="24"/>
          <w:szCs w:val="24"/>
          <w:lang/>
        </w:rPr>
        <w:t xml:space="preserve">Запослени сматрају да један од приоритета јесте и међуресорна сарадња, односно повезивање културе са просветом и туризмом. Такође, међу приоритетима је неговање </w:t>
      </w:r>
      <w:r w:rsidRPr="007747FD">
        <w:rPr>
          <w:rFonts w:ascii="Times New Roman" w:hAnsi="Times New Roman" w:cs="Times New Roman"/>
          <w:sz w:val="24"/>
          <w:szCs w:val="24"/>
          <w:lang/>
        </w:rPr>
        <w:lastRenderedPageBreak/>
        <w:t>савременог стваралаштва.</w:t>
      </w:r>
      <w:r>
        <w:rPr>
          <w:rFonts w:ascii="Times New Roman" w:hAnsi="Times New Roman" w:cs="Times New Roman"/>
          <w:b/>
          <w:sz w:val="24"/>
          <w:szCs w:val="24"/>
          <w:lang/>
        </w:rPr>
        <w:t xml:space="preserve"> </w:t>
      </w:r>
      <w:r w:rsidRPr="007747FD">
        <w:rPr>
          <w:rFonts w:ascii="Times New Roman" w:hAnsi="Times New Roman" w:cs="Times New Roman"/>
          <w:sz w:val="24"/>
          <w:szCs w:val="24"/>
          <w:lang/>
        </w:rPr>
        <w:t>Наиме,</w:t>
      </w:r>
      <w:r w:rsidRPr="00BB312B">
        <w:rPr>
          <w:rFonts w:ascii="Times New Roman" w:hAnsi="Times New Roman" w:cs="Times New Roman"/>
          <w:sz w:val="24"/>
          <w:szCs w:val="24"/>
          <w:lang/>
        </w:rPr>
        <w:t xml:space="preserve"> око трећине испитаника</w:t>
      </w:r>
      <w:r>
        <w:rPr>
          <w:rFonts w:ascii="Times New Roman" w:hAnsi="Times New Roman" w:cs="Times New Roman"/>
          <w:sz w:val="24"/>
          <w:szCs w:val="24"/>
          <w:lang/>
        </w:rPr>
        <w:t xml:space="preserve"> сматра да би </w:t>
      </w:r>
      <w:r w:rsidRPr="00BB312B">
        <w:rPr>
          <w:rFonts w:ascii="Times New Roman" w:hAnsi="Times New Roman" w:cs="Times New Roman"/>
          <w:sz w:val="24"/>
          <w:szCs w:val="24"/>
          <w:lang/>
        </w:rPr>
        <w:t xml:space="preserve">развој културног образовања деце и младих у оквиру школског система, као и неговање савременог стваралаштва и продукције требало да буду у самом врху приоритета у стратешком планирању културног развоја града Сомбора, а потом и стављање већег акцента на развој културног туризма. </w:t>
      </w:r>
    </w:p>
    <w:p w:rsidR="0057644C" w:rsidRDefault="0057644C" w:rsidP="0057644C">
      <w:pPr>
        <w:autoSpaceDE w:val="0"/>
        <w:autoSpaceDN w:val="0"/>
        <w:adjustRightInd w:val="0"/>
        <w:spacing w:after="0"/>
        <w:ind w:firstLine="720"/>
        <w:jc w:val="both"/>
        <w:rPr>
          <w:rFonts w:ascii="Times New Roman" w:hAnsi="Times New Roman" w:cs="Times New Roman"/>
          <w:sz w:val="24"/>
          <w:szCs w:val="24"/>
          <w:lang/>
        </w:rPr>
      </w:pPr>
      <w:r w:rsidRPr="007747FD">
        <w:rPr>
          <w:rFonts w:ascii="Times New Roman" w:hAnsi="Times New Roman" w:cs="Times New Roman"/>
          <w:sz w:val="24"/>
          <w:szCs w:val="24"/>
          <w:lang/>
        </w:rPr>
        <w:t>Већа сегментираност програма према различитим социо-демографским карактеристикама публике (програми за децу, младе, жене, старе и сл.) као и већа доступност културних садржаја у дигиталном окружењу, представљају области, са значајнијим бројем одговора од стране запослених у култури, које</w:t>
      </w:r>
      <w:r w:rsidRPr="00BB312B">
        <w:rPr>
          <w:rFonts w:ascii="Times New Roman" w:hAnsi="Times New Roman" w:cs="Times New Roman"/>
          <w:sz w:val="24"/>
          <w:szCs w:val="24"/>
          <w:lang/>
        </w:rPr>
        <w:t xml:space="preserve"> би требало посебно размотрити у стратешком дефинисању циљева и мера и њихових учинака. Од одговора које мањи број испитника (око 12%) препознају као приоритетне су и усклађивање програма са потребама публике, као и већи број програма.</w:t>
      </w:r>
    </w:p>
    <w:p w:rsidR="0057644C" w:rsidRDefault="0057644C" w:rsidP="0057644C">
      <w:pPr>
        <w:autoSpaceDE w:val="0"/>
        <w:autoSpaceDN w:val="0"/>
        <w:adjustRightInd w:val="0"/>
        <w:spacing w:after="0"/>
        <w:jc w:val="both"/>
        <w:rPr>
          <w:rFonts w:ascii="Times New Roman" w:hAnsi="Times New Roman" w:cs="Times New Roman"/>
          <w:sz w:val="24"/>
          <w:szCs w:val="24"/>
          <w:lang/>
        </w:rPr>
      </w:pP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Табела 15: Приоритети за развој културе у Сомбору</w:t>
      </w:r>
    </w:p>
    <w:tbl>
      <w:tblPr>
        <w:tblStyle w:val="GridTable4-Accent11"/>
        <w:tblW w:w="0" w:type="auto"/>
        <w:tblLook w:val="04A0"/>
      </w:tblPr>
      <w:tblGrid>
        <w:gridCol w:w="6941"/>
        <w:gridCol w:w="1134"/>
        <w:gridCol w:w="1248"/>
      </w:tblGrid>
      <w:tr w:rsidR="0057644C" w:rsidRPr="00B0554F" w:rsidTr="000606DF">
        <w:trPr>
          <w:cnfStyle w:val="100000000000"/>
        </w:trPr>
        <w:tc>
          <w:tcPr>
            <w:cnfStyle w:val="001000000000"/>
            <w:tcW w:w="6941" w:type="dxa"/>
            <w:vAlign w:val="center"/>
          </w:tcPr>
          <w:p w:rsidR="0057644C" w:rsidRPr="00B0554F" w:rsidRDefault="0057644C" w:rsidP="000606DF">
            <w:pPr>
              <w:spacing w:line="276" w:lineRule="auto"/>
              <w:jc w:val="both"/>
              <w:rPr>
                <w:lang/>
              </w:rPr>
            </w:pPr>
            <w:r w:rsidRPr="00B0554F">
              <w:rPr>
                <w:lang/>
              </w:rPr>
              <w:t>Приоритети за развој културе</w:t>
            </w:r>
          </w:p>
        </w:tc>
        <w:tc>
          <w:tcPr>
            <w:tcW w:w="1134" w:type="dxa"/>
            <w:vAlign w:val="center"/>
          </w:tcPr>
          <w:p w:rsidR="0057644C" w:rsidRPr="00B0554F" w:rsidRDefault="0057644C" w:rsidP="000606DF">
            <w:pPr>
              <w:spacing w:line="276" w:lineRule="auto"/>
              <w:jc w:val="center"/>
              <w:cnfStyle w:val="100000000000"/>
              <w:rPr>
                <w:lang/>
              </w:rPr>
            </w:pPr>
            <w:r w:rsidRPr="00B0554F">
              <w:rPr>
                <w:lang/>
              </w:rPr>
              <w:t>%</w:t>
            </w:r>
          </w:p>
        </w:tc>
        <w:tc>
          <w:tcPr>
            <w:tcW w:w="1248" w:type="dxa"/>
            <w:vAlign w:val="center"/>
          </w:tcPr>
          <w:p w:rsidR="0057644C" w:rsidRPr="00B0554F" w:rsidRDefault="0057644C" w:rsidP="000606DF">
            <w:pPr>
              <w:spacing w:line="276" w:lineRule="auto"/>
              <w:jc w:val="center"/>
              <w:cnfStyle w:val="100000000000"/>
              <w:rPr>
                <w:lang/>
              </w:rPr>
            </w:pPr>
            <w:r w:rsidRPr="00B0554F">
              <w:rPr>
                <w:lang/>
              </w:rPr>
              <w:t>% случајева</w:t>
            </w:r>
          </w:p>
        </w:tc>
      </w:tr>
      <w:tr w:rsidR="0057644C" w:rsidRPr="00B0554F" w:rsidTr="000606DF">
        <w:trPr>
          <w:cnfStyle w:val="000000100000"/>
        </w:trPr>
        <w:tc>
          <w:tcPr>
            <w:cnfStyle w:val="001000000000"/>
            <w:tcW w:w="6941" w:type="dxa"/>
            <w:vAlign w:val="center"/>
          </w:tcPr>
          <w:p w:rsidR="0057644C" w:rsidRPr="00B0554F" w:rsidRDefault="0057644C" w:rsidP="000606DF">
            <w:pPr>
              <w:rPr>
                <w:lang/>
              </w:rPr>
            </w:pPr>
            <w:r w:rsidRPr="00B0554F">
              <w:rPr>
                <w:lang/>
              </w:rPr>
              <w:t>Неговање традиције и заштита културног наслеђа</w:t>
            </w:r>
          </w:p>
        </w:tc>
        <w:tc>
          <w:tcPr>
            <w:tcW w:w="1134" w:type="dxa"/>
            <w:vAlign w:val="center"/>
          </w:tcPr>
          <w:p w:rsidR="0057644C" w:rsidRPr="00B0554F" w:rsidRDefault="0057644C" w:rsidP="000606DF">
            <w:pPr>
              <w:jc w:val="center"/>
              <w:cnfStyle w:val="000000100000"/>
              <w:rPr>
                <w:lang/>
              </w:rPr>
            </w:pPr>
            <w:r w:rsidRPr="00B0554F">
              <w:rPr>
                <w:lang/>
              </w:rPr>
              <w:t>25.8%</w:t>
            </w:r>
          </w:p>
        </w:tc>
        <w:tc>
          <w:tcPr>
            <w:tcW w:w="1248" w:type="dxa"/>
            <w:vAlign w:val="center"/>
          </w:tcPr>
          <w:p w:rsidR="0057644C" w:rsidRPr="00B0554F" w:rsidRDefault="0057644C" w:rsidP="000606DF">
            <w:pPr>
              <w:jc w:val="center"/>
              <w:cnfStyle w:val="000000100000"/>
              <w:rPr>
                <w:lang/>
              </w:rPr>
            </w:pPr>
            <w:r w:rsidRPr="00B0554F">
              <w:rPr>
                <w:lang/>
              </w:rPr>
              <w:t>74.4%</w:t>
            </w:r>
          </w:p>
        </w:tc>
      </w:tr>
      <w:tr w:rsidR="0057644C" w:rsidRPr="00B0554F" w:rsidTr="000606DF">
        <w:tc>
          <w:tcPr>
            <w:cnfStyle w:val="001000000000"/>
            <w:tcW w:w="6941" w:type="dxa"/>
            <w:vAlign w:val="center"/>
          </w:tcPr>
          <w:p w:rsidR="0057644C" w:rsidRPr="00B0554F" w:rsidRDefault="0057644C" w:rsidP="000606DF">
            <w:pPr>
              <w:rPr>
                <w:lang/>
              </w:rPr>
            </w:pPr>
            <w:r w:rsidRPr="00B0554F">
              <w:rPr>
                <w:lang/>
              </w:rPr>
              <w:t>Опремање/реновирање/реконструкција установа и других простора културе</w:t>
            </w:r>
          </w:p>
        </w:tc>
        <w:tc>
          <w:tcPr>
            <w:tcW w:w="1134" w:type="dxa"/>
            <w:vAlign w:val="center"/>
          </w:tcPr>
          <w:p w:rsidR="0057644C" w:rsidRPr="00B0554F" w:rsidRDefault="0057644C" w:rsidP="000606DF">
            <w:pPr>
              <w:jc w:val="center"/>
              <w:cnfStyle w:val="000000000000"/>
              <w:rPr>
                <w:lang/>
              </w:rPr>
            </w:pPr>
            <w:r w:rsidRPr="00B0554F">
              <w:rPr>
                <w:lang/>
              </w:rPr>
              <w:t>17.7%</w:t>
            </w:r>
          </w:p>
        </w:tc>
        <w:tc>
          <w:tcPr>
            <w:tcW w:w="1248" w:type="dxa"/>
            <w:vAlign w:val="center"/>
          </w:tcPr>
          <w:p w:rsidR="0057644C" w:rsidRPr="00B0554F" w:rsidRDefault="0057644C" w:rsidP="000606DF">
            <w:pPr>
              <w:jc w:val="center"/>
              <w:cnfStyle w:val="000000000000"/>
              <w:rPr>
                <w:lang/>
              </w:rPr>
            </w:pPr>
            <w:r w:rsidRPr="00B0554F">
              <w:rPr>
                <w:lang/>
              </w:rPr>
              <w:t>51.2%</w:t>
            </w:r>
          </w:p>
        </w:tc>
      </w:tr>
      <w:tr w:rsidR="0057644C" w:rsidRPr="00B0554F" w:rsidTr="000606DF">
        <w:trPr>
          <w:cnfStyle w:val="000000100000"/>
        </w:trPr>
        <w:tc>
          <w:tcPr>
            <w:cnfStyle w:val="001000000000"/>
            <w:tcW w:w="6941" w:type="dxa"/>
            <w:vAlign w:val="center"/>
          </w:tcPr>
          <w:p w:rsidR="0057644C" w:rsidRPr="00B0554F" w:rsidRDefault="0057644C" w:rsidP="000606DF">
            <w:pPr>
              <w:rPr>
                <w:lang/>
              </w:rPr>
            </w:pPr>
            <w:r w:rsidRPr="00B0554F">
              <w:rPr>
                <w:lang/>
              </w:rPr>
              <w:t>Развој културног образовања деце и младих у оквиру школског система</w:t>
            </w:r>
          </w:p>
        </w:tc>
        <w:tc>
          <w:tcPr>
            <w:tcW w:w="1134" w:type="dxa"/>
            <w:vAlign w:val="center"/>
          </w:tcPr>
          <w:p w:rsidR="0057644C" w:rsidRPr="00B0554F" w:rsidRDefault="0057644C" w:rsidP="000606DF">
            <w:pPr>
              <w:jc w:val="center"/>
              <w:cnfStyle w:val="000000100000"/>
              <w:rPr>
                <w:lang/>
              </w:rPr>
            </w:pPr>
            <w:r w:rsidRPr="00B0554F">
              <w:rPr>
                <w:lang/>
              </w:rPr>
              <w:t>11.3%</w:t>
            </w:r>
          </w:p>
        </w:tc>
        <w:tc>
          <w:tcPr>
            <w:tcW w:w="1248" w:type="dxa"/>
            <w:vAlign w:val="center"/>
          </w:tcPr>
          <w:p w:rsidR="0057644C" w:rsidRPr="00B0554F" w:rsidRDefault="0057644C" w:rsidP="000606DF">
            <w:pPr>
              <w:jc w:val="center"/>
              <w:cnfStyle w:val="000000100000"/>
              <w:rPr>
                <w:lang/>
              </w:rPr>
            </w:pPr>
            <w:r w:rsidRPr="00B0554F">
              <w:rPr>
                <w:lang/>
              </w:rPr>
              <w:t>32.6%</w:t>
            </w:r>
          </w:p>
        </w:tc>
      </w:tr>
      <w:tr w:rsidR="0057644C" w:rsidRPr="00B0554F" w:rsidTr="000606DF">
        <w:tc>
          <w:tcPr>
            <w:cnfStyle w:val="001000000000"/>
            <w:tcW w:w="6941" w:type="dxa"/>
            <w:vAlign w:val="center"/>
          </w:tcPr>
          <w:p w:rsidR="0057644C" w:rsidRPr="00B0554F" w:rsidRDefault="0057644C" w:rsidP="000606DF">
            <w:pPr>
              <w:rPr>
                <w:lang/>
              </w:rPr>
            </w:pPr>
            <w:r w:rsidRPr="00B0554F">
              <w:rPr>
                <w:lang/>
              </w:rPr>
              <w:t>Неговање савременог стваралаштва и продукције</w:t>
            </w:r>
          </w:p>
        </w:tc>
        <w:tc>
          <w:tcPr>
            <w:tcW w:w="1134" w:type="dxa"/>
            <w:vAlign w:val="center"/>
          </w:tcPr>
          <w:p w:rsidR="0057644C" w:rsidRPr="00B0554F" w:rsidRDefault="0057644C" w:rsidP="000606DF">
            <w:pPr>
              <w:jc w:val="center"/>
              <w:cnfStyle w:val="000000000000"/>
              <w:rPr>
                <w:lang/>
              </w:rPr>
            </w:pPr>
            <w:r w:rsidRPr="00B0554F">
              <w:rPr>
                <w:lang/>
              </w:rPr>
              <w:t>10.5%</w:t>
            </w:r>
          </w:p>
        </w:tc>
        <w:tc>
          <w:tcPr>
            <w:tcW w:w="1248" w:type="dxa"/>
            <w:vAlign w:val="center"/>
          </w:tcPr>
          <w:p w:rsidR="0057644C" w:rsidRPr="00B0554F" w:rsidRDefault="0057644C" w:rsidP="000606DF">
            <w:pPr>
              <w:jc w:val="center"/>
              <w:cnfStyle w:val="000000000000"/>
              <w:rPr>
                <w:lang/>
              </w:rPr>
            </w:pPr>
            <w:r w:rsidRPr="00B0554F">
              <w:rPr>
                <w:lang/>
              </w:rPr>
              <w:t>30.2%</w:t>
            </w:r>
          </w:p>
        </w:tc>
      </w:tr>
      <w:tr w:rsidR="0057644C" w:rsidRPr="00B0554F" w:rsidTr="000606DF">
        <w:trPr>
          <w:cnfStyle w:val="000000100000"/>
        </w:trPr>
        <w:tc>
          <w:tcPr>
            <w:cnfStyle w:val="001000000000"/>
            <w:tcW w:w="6941" w:type="dxa"/>
            <w:vAlign w:val="center"/>
          </w:tcPr>
          <w:p w:rsidR="0057644C" w:rsidRPr="00B0554F" w:rsidRDefault="0057644C" w:rsidP="000606DF">
            <w:pPr>
              <w:rPr>
                <w:lang/>
              </w:rPr>
            </w:pPr>
            <w:r w:rsidRPr="00B0554F">
              <w:rPr>
                <w:lang/>
              </w:rPr>
              <w:t>Већи акценат на развоју културног туризма</w:t>
            </w:r>
          </w:p>
        </w:tc>
        <w:tc>
          <w:tcPr>
            <w:tcW w:w="1134" w:type="dxa"/>
            <w:vAlign w:val="center"/>
          </w:tcPr>
          <w:p w:rsidR="0057644C" w:rsidRPr="00B0554F" w:rsidRDefault="0057644C" w:rsidP="000606DF">
            <w:pPr>
              <w:jc w:val="center"/>
              <w:cnfStyle w:val="000000100000"/>
              <w:rPr>
                <w:lang/>
              </w:rPr>
            </w:pPr>
            <w:r w:rsidRPr="00B0554F">
              <w:rPr>
                <w:lang/>
              </w:rPr>
              <w:t>8.1%</w:t>
            </w:r>
          </w:p>
        </w:tc>
        <w:tc>
          <w:tcPr>
            <w:tcW w:w="1248" w:type="dxa"/>
            <w:vAlign w:val="center"/>
          </w:tcPr>
          <w:p w:rsidR="0057644C" w:rsidRPr="00B0554F" w:rsidRDefault="0057644C" w:rsidP="000606DF">
            <w:pPr>
              <w:jc w:val="center"/>
              <w:cnfStyle w:val="000000100000"/>
              <w:rPr>
                <w:lang/>
              </w:rPr>
            </w:pPr>
            <w:r w:rsidRPr="00B0554F">
              <w:rPr>
                <w:lang/>
              </w:rPr>
              <w:t>23.3%</w:t>
            </w:r>
          </w:p>
        </w:tc>
      </w:tr>
      <w:tr w:rsidR="0057644C" w:rsidRPr="00B0554F" w:rsidTr="000606DF">
        <w:tc>
          <w:tcPr>
            <w:cnfStyle w:val="001000000000"/>
            <w:tcW w:w="6941" w:type="dxa"/>
            <w:vAlign w:val="center"/>
          </w:tcPr>
          <w:p w:rsidR="0057644C" w:rsidRPr="00B0554F" w:rsidRDefault="0057644C" w:rsidP="000606DF">
            <w:pPr>
              <w:rPr>
                <w:lang/>
              </w:rPr>
            </w:pPr>
            <w:r w:rsidRPr="00B0554F">
              <w:rPr>
                <w:lang/>
              </w:rPr>
              <w:t>Већа разноврсност културних програма према узрастима и групама публике (за младе, за старе, за децу, за жене и сл.)</w:t>
            </w:r>
          </w:p>
        </w:tc>
        <w:tc>
          <w:tcPr>
            <w:tcW w:w="1134" w:type="dxa"/>
            <w:vAlign w:val="center"/>
          </w:tcPr>
          <w:p w:rsidR="0057644C" w:rsidRPr="00B0554F" w:rsidRDefault="0057644C" w:rsidP="000606DF">
            <w:pPr>
              <w:jc w:val="center"/>
              <w:cnfStyle w:val="000000000000"/>
              <w:rPr>
                <w:lang/>
              </w:rPr>
            </w:pPr>
            <w:r w:rsidRPr="00B0554F">
              <w:rPr>
                <w:lang/>
              </w:rPr>
              <w:t>6.5%</w:t>
            </w:r>
          </w:p>
        </w:tc>
        <w:tc>
          <w:tcPr>
            <w:tcW w:w="1248" w:type="dxa"/>
            <w:vAlign w:val="center"/>
          </w:tcPr>
          <w:p w:rsidR="0057644C" w:rsidRPr="00B0554F" w:rsidRDefault="0057644C" w:rsidP="000606DF">
            <w:pPr>
              <w:jc w:val="center"/>
              <w:cnfStyle w:val="000000000000"/>
              <w:rPr>
                <w:lang/>
              </w:rPr>
            </w:pPr>
            <w:r w:rsidRPr="00B0554F">
              <w:rPr>
                <w:lang/>
              </w:rPr>
              <w:t>18.6%</w:t>
            </w:r>
          </w:p>
        </w:tc>
      </w:tr>
      <w:tr w:rsidR="0057644C" w:rsidRPr="00B0554F" w:rsidTr="000606DF">
        <w:trPr>
          <w:cnfStyle w:val="000000100000"/>
        </w:trPr>
        <w:tc>
          <w:tcPr>
            <w:cnfStyle w:val="001000000000"/>
            <w:tcW w:w="6941" w:type="dxa"/>
            <w:vAlign w:val="center"/>
          </w:tcPr>
          <w:p w:rsidR="0057644C" w:rsidRPr="00B0554F" w:rsidRDefault="0057644C" w:rsidP="000606DF">
            <w:pPr>
              <w:rPr>
                <w:lang/>
              </w:rPr>
            </w:pPr>
            <w:r w:rsidRPr="00B0554F">
              <w:rPr>
                <w:lang/>
              </w:rPr>
              <w:t>Дигитална трансформација и већа доступност културних садржаја у дигиталном окружењу</w:t>
            </w:r>
          </w:p>
        </w:tc>
        <w:tc>
          <w:tcPr>
            <w:tcW w:w="1134" w:type="dxa"/>
            <w:vAlign w:val="center"/>
          </w:tcPr>
          <w:p w:rsidR="0057644C" w:rsidRPr="00B0554F" w:rsidRDefault="0057644C" w:rsidP="000606DF">
            <w:pPr>
              <w:jc w:val="center"/>
              <w:cnfStyle w:val="000000100000"/>
              <w:rPr>
                <w:lang/>
              </w:rPr>
            </w:pPr>
            <w:r w:rsidRPr="00B0554F">
              <w:rPr>
                <w:lang/>
              </w:rPr>
              <w:t>5.6%</w:t>
            </w:r>
          </w:p>
        </w:tc>
        <w:tc>
          <w:tcPr>
            <w:tcW w:w="1248" w:type="dxa"/>
            <w:vAlign w:val="center"/>
          </w:tcPr>
          <w:p w:rsidR="0057644C" w:rsidRPr="00B0554F" w:rsidRDefault="0057644C" w:rsidP="000606DF">
            <w:pPr>
              <w:jc w:val="center"/>
              <w:cnfStyle w:val="000000100000"/>
              <w:rPr>
                <w:lang/>
              </w:rPr>
            </w:pPr>
            <w:r w:rsidRPr="00B0554F">
              <w:rPr>
                <w:lang/>
              </w:rPr>
              <w:t>16.3%</w:t>
            </w:r>
          </w:p>
        </w:tc>
      </w:tr>
      <w:tr w:rsidR="0057644C" w:rsidRPr="00B0554F" w:rsidTr="000606DF">
        <w:tc>
          <w:tcPr>
            <w:cnfStyle w:val="001000000000"/>
            <w:tcW w:w="6941" w:type="dxa"/>
            <w:vAlign w:val="center"/>
          </w:tcPr>
          <w:p w:rsidR="0057644C" w:rsidRPr="00B0554F" w:rsidRDefault="0057644C" w:rsidP="000606DF">
            <w:pPr>
              <w:rPr>
                <w:lang/>
              </w:rPr>
            </w:pPr>
            <w:r w:rsidRPr="00B0554F">
              <w:rPr>
                <w:lang/>
              </w:rPr>
              <w:t>Већи број културних програма</w:t>
            </w:r>
          </w:p>
        </w:tc>
        <w:tc>
          <w:tcPr>
            <w:tcW w:w="1134" w:type="dxa"/>
            <w:vAlign w:val="center"/>
          </w:tcPr>
          <w:p w:rsidR="0057644C" w:rsidRPr="00B0554F" w:rsidRDefault="0057644C" w:rsidP="000606DF">
            <w:pPr>
              <w:jc w:val="center"/>
              <w:cnfStyle w:val="000000000000"/>
              <w:rPr>
                <w:lang/>
              </w:rPr>
            </w:pPr>
            <w:r w:rsidRPr="00B0554F">
              <w:rPr>
                <w:lang/>
              </w:rPr>
              <w:t>4.0%</w:t>
            </w:r>
          </w:p>
        </w:tc>
        <w:tc>
          <w:tcPr>
            <w:tcW w:w="1248" w:type="dxa"/>
            <w:vAlign w:val="center"/>
          </w:tcPr>
          <w:p w:rsidR="0057644C" w:rsidRPr="00B0554F" w:rsidRDefault="0057644C" w:rsidP="000606DF">
            <w:pPr>
              <w:jc w:val="center"/>
              <w:cnfStyle w:val="000000000000"/>
              <w:rPr>
                <w:lang/>
              </w:rPr>
            </w:pPr>
            <w:r w:rsidRPr="00B0554F">
              <w:rPr>
                <w:lang/>
              </w:rPr>
              <w:t>11.6%</w:t>
            </w:r>
          </w:p>
        </w:tc>
      </w:tr>
      <w:tr w:rsidR="0057644C" w:rsidRPr="00B0554F" w:rsidTr="000606DF">
        <w:trPr>
          <w:cnfStyle w:val="000000100000"/>
        </w:trPr>
        <w:tc>
          <w:tcPr>
            <w:cnfStyle w:val="001000000000"/>
            <w:tcW w:w="6941" w:type="dxa"/>
            <w:vAlign w:val="center"/>
          </w:tcPr>
          <w:p w:rsidR="0057644C" w:rsidRPr="00B0554F" w:rsidRDefault="0057644C" w:rsidP="000606DF">
            <w:pPr>
              <w:rPr>
                <w:lang/>
              </w:rPr>
            </w:pPr>
            <w:r w:rsidRPr="00B0554F">
              <w:rPr>
                <w:lang/>
              </w:rPr>
              <w:t>Усклађивање програма са потребама и укусом публике</w:t>
            </w:r>
          </w:p>
        </w:tc>
        <w:tc>
          <w:tcPr>
            <w:tcW w:w="1134" w:type="dxa"/>
            <w:vAlign w:val="center"/>
          </w:tcPr>
          <w:p w:rsidR="0057644C" w:rsidRPr="00B0554F" w:rsidRDefault="0057644C" w:rsidP="000606DF">
            <w:pPr>
              <w:jc w:val="center"/>
              <w:cnfStyle w:val="000000100000"/>
              <w:rPr>
                <w:lang/>
              </w:rPr>
            </w:pPr>
            <w:r w:rsidRPr="00B0554F">
              <w:rPr>
                <w:lang/>
              </w:rPr>
              <w:t>4.0%</w:t>
            </w:r>
          </w:p>
        </w:tc>
        <w:tc>
          <w:tcPr>
            <w:tcW w:w="1248" w:type="dxa"/>
            <w:vAlign w:val="center"/>
          </w:tcPr>
          <w:p w:rsidR="0057644C" w:rsidRPr="00B0554F" w:rsidRDefault="0057644C" w:rsidP="000606DF">
            <w:pPr>
              <w:jc w:val="center"/>
              <w:cnfStyle w:val="000000100000"/>
              <w:rPr>
                <w:lang/>
              </w:rPr>
            </w:pPr>
            <w:r w:rsidRPr="00B0554F">
              <w:rPr>
                <w:lang/>
              </w:rPr>
              <w:t>11.6%</w:t>
            </w:r>
          </w:p>
        </w:tc>
      </w:tr>
      <w:tr w:rsidR="0057644C" w:rsidRPr="00B0554F" w:rsidTr="000606DF">
        <w:tc>
          <w:tcPr>
            <w:cnfStyle w:val="001000000000"/>
            <w:tcW w:w="6941" w:type="dxa"/>
            <w:vAlign w:val="center"/>
          </w:tcPr>
          <w:p w:rsidR="0057644C" w:rsidRPr="00B0554F" w:rsidRDefault="0057644C" w:rsidP="000606DF">
            <w:pPr>
              <w:rPr>
                <w:lang/>
              </w:rPr>
            </w:pPr>
            <w:r w:rsidRPr="00B0554F">
              <w:rPr>
                <w:lang/>
              </w:rPr>
              <w:t>Обезбеђивање других простора за потребе културе</w:t>
            </w:r>
          </w:p>
        </w:tc>
        <w:tc>
          <w:tcPr>
            <w:tcW w:w="1134" w:type="dxa"/>
            <w:vAlign w:val="center"/>
          </w:tcPr>
          <w:p w:rsidR="0057644C" w:rsidRPr="00B0554F" w:rsidRDefault="0057644C" w:rsidP="000606DF">
            <w:pPr>
              <w:jc w:val="center"/>
              <w:cnfStyle w:val="000000000000"/>
              <w:rPr>
                <w:lang/>
              </w:rPr>
            </w:pPr>
            <w:r w:rsidRPr="00B0554F">
              <w:rPr>
                <w:lang/>
              </w:rPr>
              <w:t>2.4%</w:t>
            </w:r>
          </w:p>
        </w:tc>
        <w:tc>
          <w:tcPr>
            <w:tcW w:w="1248" w:type="dxa"/>
            <w:vAlign w:val="center"/>
          </w:tcPr>
          <w:p w:rsidR="0057644C" w:rsidRPr="00B0554F" w:rsidRDefault="0057644C" w:rsidP="000606DF">
            <w:pPr>
              <w:jc w:val="center"/>
              <w:cnfStyle w:val="000000000000"/>
              <w:rPr>
                <w:lang/>
              </w:rPr>
            </w:pPr>
            <w:r w:rsidRPr="00B0554F">
              <w:rPr>
                <w:lang/>
              </w:rPr>
              <w:t>7.0%</w:t>
            </w:r>
          </w:p>
        </w:tc>
      </w:tr>
      <w:tr w:rsidR="0057644C" w:rsidRPr="00B0554F" w:rsidTr="000606DF">
        <w:trPr>
          <w:cnfStyle w:val="000000100000"/>
        </w:trPr>
        <w:tc>
          <w:tcPr>
            <w:cnfStyle w:val="001000000000"/>
            <w:tcW w:w="6941" w:type="dxa"/>
            <w:vAlign w:val="center"/>
          </w:tcPr>
          <w:p w:rsidR="0057644C" w:rsidRPr="00B0554F" w:rsidRDefault="0057644C" w:rsidP="000606DF">
            <w:pPr>
              <w:rPr>
                <w:lang/>
              </w:rPr>
            </w:pPr>
            <w:r w:rsidRPr="00B0554F">
              <w:rPr>
                <w:lang/>
              </w:rPr>
              <w:t>Већа разноврсност културних програма према типу програма (књижевни, филмски, позоришни и сл.)</w:t>
            </w:r>
          </w:p>
        </w:tc>
        <w:tc>
          <w:tcPr>
            <w:tcW w:w="1134" w:type="dxa"/>
            <w:vAlign w:val="center"/>
          </w:tcPr>
          <w:p w:rsidR="0057644C" w:rsidRPr="00B0554F" w:rsidRDefault="0057644C" w:rsidP="000606DF">
            <w:pPr>
              <w:jc w:val="center"/>
              <w:cnfStyle w:val="000000100000"/>
              <w:rPr>
                <w:lang/>
              </w:rPr>
            </w:pPr>
            <w:r w:rsidRPr="00B0554F">
              <w:rPr>
                <w:lang/>
              </w:rPr>
              <w:t>1.6%</w:t>
            </w:r>
          </w:p>
        </w:tc>
        <w:tc>
          <w:tcPr>
            <w:tcW w:w="1248" w:type="dxa"/>
            <w:vAlign w:val="center"/>
          </w:tcPr>
          <w:p w:rsidR="0057644C" w:rsidRPr="00B0554F" w:rsidRDefault="0057644C" w:rsidP="000606DF">
            <w:pPr>
              <w:jc w:val="center"/>
              <w:cnfStyle w:val="000000100000"/>
              <w:rPr>
                <w:lang/>
              </w:rPr>
            </w:pPr>
            <w:r w:rsidRPr="00B0554F">
              <w:rPr>
                <w:lang/>
              </w:rPr>
              <w:t>4.7%</w:t>
            </w:r>
          </w:p>
        </w:tc>
      </w:tr>
      <w:tr w:rsidR="0057644C" w:rsidRPr="00B0554F" w:rsidTr="000606DF">
        <w:tc>
          <w:tcPr>
            <w:cnfStyle w:val="001000000000"/>
            <w:tcW w:w="6941" w:type="dxa"/>
            <w:vAlign w:val="center"/>
          </w:tcPr>
          <w:p w:rsidR="0057644C" w:rsidRPr="00B0554F" w:rsidRDefault="0057644C" w:rsidP="000606DF">
            <w:pPr>
              <w:rPr>
                <w:lang/>
              </w:rPr>
            </w:pPr>
            <w:r w:rsidRPr="00B0554F">
              <w:rPr>
                <w:lang/>
              </w:rPr>
              <w:t>Оснивање нових установа културе</w:t>
            </w:r>
          </w:p>
        </w:tc>
        <w:tc>
          <w:tcPr>
            <w:tcW w:w="1134" w:type="dxa"/>
            <w:vAlign w:val="center"/>
          </w:tcPr>
          <w:p w:rsidR="0057644C" w:rsidRPr="00B0554F" w:rsidRDefault="0057644C" w:rsidP="000606DF">
            <w:pPr>
              <w:jc w:val="center"/>
              <w:cnfStyle w:val="000000000000"/>
              <w:rPr>
                <w:lang/>
              </w:rPr>
            </w:pPr>
            <w:r w:rsidRPr="00B0554F">
              <w:rPr>
                <w:lang/>
              </w:rPr>
              <w:t>0.8%</w:t>
            </w:r>
          </w:p>
        </w:tc>
        <w:tc>
          <w:tcPr>
            <w:tcW w:w="1248" w:type="dxa"/>
            <w:vAlign w:val="center"/>
          </w:tcPr>
          <w:p w:rsidR="0057644C" w:rsidRPr="00B0554F" w:rsidRDefault="0057644C" w:rsidP="000606DF">
            <w:pPr>
              <w:jc w:val="center"/>
              <w:cnfStyle w:val="000000000000"/>
              <w:rPr>
                <w:lang/>
              </w:rPr>
            </w:pPr>
            <w:r w:rsidRPr="00B0554F">
              <w:rPr>
                <w:lang/>
              </w:rPr>
              <w:t>2.3%</w:t>
            </w:r>
          </w:p>
        </w:tc>
      </w:tr>
      <w:tr w:rsidR="0057644C" w:rsidRPr="00B0554F" w:rsidTr="000606DF">
        <w:trPr>
          <w:cnfStyle w:val="000000100000"/>
        </w:trPr>
        <w:tc>
          <w:tcPr>
            <w:cnfStyle w:val="001000000000"/>
            <w:tcW w:w="6941" w:type="dxa"/>
            <w:vAlign w:val="center"/>
          </w:tcPr>
          <w:p w:rsidR="0057644C" w:rsidRPr="00B0554F" w:rsidRDefault="0057644C" w:rsidP="000606DF">
            <w:pPr>
              <w:rPr>
                <w:lang/>
              </w:rPr>
            </w:pPr>
            <w:r w:rsidRPr="00B0554F">
              <w:rPr>
                <w:lang/>
              </w:rPr>
              <w:t>Боља промоција културних програма</w:t>
            </w:r>
          </w:p>
        </w:tc>
        <w:tc>
          <w:tcPr>
            <w:tcW w:w="1134" w:type="dxa"/>
            <w:vAlign w:val="center"/>
          </w:tcPr>
          <w:p w:rsidR="0057644C" w:rsidRPr="00B0554F" w:rsidRDefault="0057644C" w:rsidP="000606DF">
            <w:pPr>
              <w:jc w:val="center"/>
              <w:cnfStyle w:val="000000100000"/>
              <w:rPr>
                <w:lang/>
              </w:rPr>
            </w:pPr>
            <w:r w:rsidRPr="00B0554F">
              <w:rPr>
                <w:lang/>
              </w:rPr>
              <w:t>1.6%</w:t>
            </w:r>
          </w:p>
        </w:tc>
        <w:tc>
          <w:tcPr>
            <w:tcW w:w="1248" w:type="dxa"/>
            <w:vAlign w:val="center"/>
          </w:tcPr>
          <w:p w:rsidR="0057644C" w:rsidRPr="00B0554F" w:rsidRDefault="0057644C" w:rsidP="000606DF">
            <w:pPr>
              <w:jc w:val="center"/>
              <w:cnfStyle w:val="000000100000"/>
              <w:rPr>
                <w:lang/>
              </w:rPr>
            </w:pPr>
            <w:r w:rsidRPr="00B0554F">
              <w:rPr>
                <w:lang/>
              </w:rPr>
              <w:t>4.7%</w:t>
            </w:r>
          </w:p>
        </w:tc>
      </w:tr>
      <w:tr w:rsidR="0057644C" w:rsidRPr="00B0554F" w:rsidTr="000606DF">
        <w:tc>
          <w:tcPr>
            <w:cnfStyle w:val="001000000000"/>
            <w:tcW w:w="6941" w:type="dxa"/>
            <w:vAlign w:val="center"/>
          </w:tcPr>
          <w:p w:rsidR="0057644C" w:rsidRPr="00B0554F" w:rsidRDefault="0057644C" w:rsidP="000606DF">
            <w:pPr>
              <w:rPr>
                <w:lang/>
              </w:rPr>
            </w:pPr>
            <w:r w:rsidRPr="00B0554F">
              <w:rPr>
                <w:lang/>
              </w:rPr>
              <w:t>Укупно</w:t>
            </w:r>
          </w:p>
        </w:tc>
        <w:tc>
          <w:tcPr>
            <w:tcW w:w="1134" w:type="dxa"/>
            <w:vAlign w:val="center"/>
          </w:tcPr>
          <w:p w:rsidR="0057644C" w:rsidRPr="00B0554F" w:rsidRDefault="0057644C" w:rsidP="000606DF">
            <w:pPr>
              <w:jc w:val="center"/>
              <w:cnfStyle w:val="000000000000"/>
              <w:rPr>
                <w:lang/>
              </w:rPr>
            </w:pPr>
            <w:r w:rsidRPr="00B0554F">
              <w:rPr>
                <w:lang/>
              </w:rPr>
              <w:t>100.0%</w:t>
            </w:r>
          </w:p>
        </w:tc>
        <w:tc>
          <w:tcPr>
            <w:tcW w:w="1248" w:type="dxa"/>
            <w:vAlign w:val="center"/>
          </w:tcPr>
          <w:p w:rsidR="0057644C" w:rsidRPr="00B0554F" w:rsidRDefault="0057644C" w:rsidP="000606DF">
            <w:pPr>
              <w:jc w:val="center"/>
              <w:cnfStyle w:val="000000000000"/>
              <w:rPr>
                <w:lang/>
              </w:rPr>
            </w:pPr>
            <w:r w:rsidRPr="00B0554F">
              <w:rPr>
                <w:lang/>
              </w:rPr>
              <w:t>288.4%</w:t>
            </w:r>
          </w:p>
        </w:tc>
      </w:tr>
    </w:tbl>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Default="0057644C" w:rsidP="0057644C">
      <w:pPr>
        <w:autoSpaceDE w:val="0"/>
        <w:autoSpaceDN w:val="0"/>
        <w:adjustRightInd w:val="0"/>
        <w:spacing w:after="0"/>
        <w:jc w:val="both"/>
        <w:rPr>
          <w:rFonts w:ascii="Times New Roman" w:hAnsi="Times New Roman" w:cs="Times New Roman"/>
          <w:sz w:val="24"/>
          <w:szCs w:val="24"/>
          <w:lang/>
        </w:rPr>
      </w:pPr>
      <w:r>
        <w:rPr>
          <w:rFonts w:ascii="Times New Roman" w:hAnsi="Times New Roman" w:cs="Times New Roman"/>
          <w:sz w:val="24"/>
          <w:szCs w:val="24"/>
          <w:lang/>
        </w:rPr>
        <w:t xml:space="preserve">Поред наведених приоритета, запослени у установама културе у Сомбору сматрају да би развоју културе у граду допринели и:  </w:t>
      </w:r>
    </w:p>
    <w:p w:rsidR="0057644C" w:rsidRDefault="0057644C" w:rsidP="00B03CD2">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lang/>
        </w:rPr>
      </w:pPr>
      <w:r w:rsidRPr="0089211F">
        <w:rPr>
          <w:rFonts w:ascii="Times New Roman" w:hAnsi="Times New Roman" w:cs="Times New Roman"/>
          <w:sz w:val="24"/>
          <w:szCs w:val="24"/>
          <w:lang/>
        </w:rPr>
        <w:t xml:space="preserve">Квалитетнији људи на руководећим функцијама у установама културе </w:t>
      </w:r>
    </w:p>
    <w:p w:rsidR="0057644C" w:rsidRPr="0089211F" w:rsidRDefault="0057644C" w:rsidP="00B03CD2">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lang/>
        </w:rPr>
      </w:pPr>
      <w:r w:rsidRPr="0089211F">
        <w:rPr>
          <w:rFonts w:ascii="Times New Roman" w:hAnsi="Times New Roman" w:cs="Times New Roman"/>
          <w:sz w:val="24"/>
          <w:szCs w:val="24"/>
          <w:lang/>
        </w:rPr>
        <w:t>Стратегија о културној политици и развоју града Сомбора.</w:t>
      </w:r>
    </w:p>
    <w:p w:rsidR="0057644C" w:rsidRPr="00BB312B" w:rsidRDefault="0057644C" w:rsidP="00B03CD2">
      <w:pPr>
        <w:pStyle w:val="ListParagraph"/>
        <w:numPr>
          <w:ilvl w:val="0"/>
          <w:numId w:val="33"/>
        </w:numPr>
        <w:autoSpaceDE w:val="0"/>
        <w:autoSpaceDN w:val="0"/>
        <w:adjustRightInd w:val="0"/>
        <w:spacing w:after="0" w:line="276" w:lineRule="auto"/>
        <w:jc w:val="both"/>
        <w:rPr>
          <w:rFonts w:ascii="Times New Roman" w:hAnsi="Times New Roman" w:cs="Times New Roman"/>
          <w:sz w:val="24"/>
          <w:szCs w:val="24"/>
          <w:lang/>
        </w:rPr>
      </w:pPr>
      <w:r>
        <w:rPr>
          <w:rFonts w:ascii="Times New Roman" w:hAnsi="Times New Roman" w:cs="Times New Roman"/>
          <w:sz w:val="24"/>
          <w:szCs w:val="24"/>
          <w:lang/>
        </w:rPr>
        <w:t>Побољшан</w:t>
      </w:r>
      <w:r w:rsidRPr="00BB312B">
        <w:rPr>
          <w:rFonts w:ascii="Times New Roman" w:hAnsi="Times New Roman" w:cs="Times New Roman"/>
          <w:sz w:val="24"/>
          <w:szCs w:val="24"/>
          <w:lang/>
        </w:rPr>
        <w:t xml:space="preserve"> рад Туристичке </w:t>
      </w:r>
      <w:r>
        <w:rPr>
          <w:rFonts w:ascii="Times New Roman" w:hAnsi="Times New Roman" w:cs="Times New Roman"/>
          <w:sz w:val="24"/>
          <w:szCs w:val="24"/>
          <w:lang/>
        </w:rPr>
        <w:t>организације Сомбора</w:t>
      </w:r>
    </w:p>
    <w:p w:rsidR="0057644C" w:rsidRPr="00BB312B" w:rsidRDefault="0057644C" w:rsidP="0057644C">
      <w:pPr>
        <w:autoSpaceDE w:val="0"/>
        <w:autoSpaceDN w:val="0"/>
        <w:adjustRightInd w:val="0"/>
        <w:spacing w:after="0"/>
        <w:jc w:val="both"/>
        <w:rPr>
          <w:rFonts w:ascii="Times New Roman" w:hAnsi="Times New Roman" w:cs="Times New Roman"/>
          <w:sz w:val="24"/>
          <w:szCs w:val="24"/>
        </w:rPr>
      </w:pPr>
    </w:p>
    <w:p w:rsidR="0057644C" w:rsidRPr="00BB312B" w:rsidRDefault="0057644C" w:rsidP="0057644C">
      <w:pPr>
        <w:autoSpaceDE w:val="0"/>
        <w:autoSpaceDN w:val="0"/>
        <w:adjustRightInd w:val="0"/>
        <w:spacing w:after="0"/>
        <w:jc w:val="both"/>
        <w:rPr>
          <w:rFonts w:ascii="Times New Roman" w:hAnsi="Times New Roman" w:cs="Times New Roman"/>
          <w:sz w:val="24"/>
          <w:szCs w:val="24"/>
          <w:lang/>
        </w:rPr>
      </w:pPr>
    </w:p>
    <w:p w:rsidR="00C415D1" w:rsidRDefault="00C415D1" w:rsidP="00C415D1">
      <w:pPr>
        <w:spacing w:after="0"/>
        <w:jc w:val="both"/>
        <w:rPr>
          <w:rFonts w:ascii="Times New Roman" w:hAnsi="Times New Roman" w:cs="Times New Roman"/>
          <w:sz w:val="24"/>
          <w:szCs w:val="24"/>
        </w:rPr>
      </w:pPr>
    </w:p>
    <w:p w:rsidR="00C415D1" w:rsidRDefault="00C415D1" w:rsidP="0099762F">
      <w:pPr>
        <w:spacing w:after="0"/>
        <w:ind w:firstLine="720"/>
        <w:jc w:val="both"/>
        <w:rPr>
          <w:rFonts w:ascii="Times New Roman" w:hAnsi="Times New Roman" w:cs="Times New Roman"/>
          <w:sz w:val="24"/>
          <w:szCs w:val="24"/>
        </w:rPr>
      </w:pPr>
    </w:p>
    <w:p w:rsidR="00C415D1" w:rsidRDefault="00C415D1" w:rsidP="0099762F">
      <w:pPr>
        <w:spacing w:after="0"/>
        <w:ind w:firstLine="720"/>
        <w:jc w:val="both"/>
        <w:rPr>
          <w:rFonts w:ascii="Times New Roman" w:hAnsi="Times New Roman" w:cs="Times New Roman"/>
          <w:sz w:val="24"/>
          <w:szCs w:val="24"/>
        </w:rPr>
      </w:pPr>
    </w:p>
    <w:p w:rsidR="00C415D1" w:rsidRDefault="00C415D1" w:rsidP="00C415D1">
      <w:pPr>
        <w:spacing w:after="0"/>
        <w:jc w:val="both"/>
        <w:rPr>
          <w:rFonts w:ascii="Times New Roman" w:hAnsi="Times New Roman" w:cs="Times New Roman"/>
          <w:sz w:val="24"/>
          <w:szCs w:val="24"/>
        </w:rPr>
        <w:sectPr w:rsidR="00C415D1" w:rsidSect="00D03014">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08" w:footer="708" w:gutter="0"/>
          <w:cols w:space="708"/>
          <w:docGrid w:linePitch="360"/>
        </w:sectPr>
      </w:pPr>
    </w:p>
    <w:tbl>
      <w:tblPr>
        <w:tblStyle w:val="TableGrid2"/>
        <w:tblW w:w="13832" w:type="dxa"/>
        <w:tblLayout w:type="fixed"/>
        <w:tblLook w:val="04A0"/>
      </w:tblPr>
      <w:tblGrid>
        <w:gridCol w:w="1725"/>
        <w:gridCol w:w="153"/>
        <w:gridCol w:w="83"/>
        <w:gridCol w:w="329"/>
        <w:gridCol w:w="241"/>
        <w:gridCol w:w="495"/>
        <w:gridCol w:w="315"/>
        <w:gridCol w:w="595"/>
        <w:gridCol w:w="577"/>
        <w:gridCol w:w="163"/>
        <w:gridCol w:w="125"/>
        <w:gridCol w:w="996"/>
        <w:gridCol w:w="116"/>
        <w:gridCol w:w="347"/>
        <w:gridCol w:w="246"/>
        <w:gridCol w:w="330"/>
        <w:gridCol w:w="882"/>
        <w:gridCol w:w="170"/>
        <w:gridCol w:w="217"/>
        <w:gridCol w:w="230"/>
        <w:gridCol w:w="605"/>
        <w:gridCol w:w="310"/>
        <w:gridCol w:w="615"/>
        <w:gridCol w:w="297"/>
        <w:gridCol w:w="233"/>
        <w:gridCol w:w="988"/>
        <w:gridCol w:w="158"/>
        <w:gridCol w:w="312"/>
        <w:gridCol w:w="149"/>
        <w:gridCol w:w="607"/>
        <w:gridCol w:w="77"/>
        <w:gridCol w:w="1146"/>
      </w:tblGrid>
      <w:tr w:rsidR="00C5132C" w:rsidRPr="00296F54" w:rsidTr="001858E0">
        <w:trPr>
          <w:trHeight w:val="398"/>
        </w:trPr>
        <w:tc>
          <w:tcPr>
            <w:tcW w:w="13832" w:type="dxa"/>
            <w:gridSpan w:val="32"/>
            <w:tcBorders>
              <w:top w:val="double" w:sz="4" w:space="0" w:color="auto"/>
              <w:left w:val="double" w:sz="4" w:space="0" w:color="auto"/>
              <w:right w:val="double" w:sz="4" w:space="0" w:color="auto"/>
            </w:tcBorders>
            <w:shd w:val="clear" w:color="auto" w:fill="808080" w:themeFill="background1" w:themeFillShade="80"/>
            <w:vAlign w:val="center"/>
          </w:tcPr>
          <w:p w:rsidR="00C5132C" w:rsidRPr="00296F54" w:rsidRDefault="00C5132C" w:rsidP="001858E0">
            <w:pPr>
              <w:pStyle w:val="Heading1"/>
              <w:spacing w:before="0"/>
              <w:jc w:val="center"/>
              <w:outlineLvl w:val="0"/>
              <w:rPr>
                <w:rFonts w:ascii="Arial" w:hAnsi="Arial" w:cs="Arial"/>
                <w:b/>
                <w:color w:val="FFFFFF" w:themeColor="background1"/>
              </w:rPr>
            </w:pPr>
            <w:bookmarkStart w:id="78" w:name="_Toc36072335"/>
            <w:r w:rsidRPr="00296F54">
              <w:rPr>
                <w:rFonts w:ascii="Arial" w:hAnsi="Arial" w:cs="Arial"/>
                <w:b/>
                <w:color w:val="FFFFFF" w:themeColor="background1"/>
                <w:lang/>
              </w:rPr>
              <w:lastRenderedPageBreak/>
              <w:t xml:space="preserve">АКЦИОНИ ПЛАН </w:t>
            </w:r>
            <w:r w:rsidRPr="00296F54">
              <w:rPr>
                <w:rFonts w:ascii="Arial" w:hAnsi="Arial" w:cs="Arial"/>
                <w:b/>
                <w:color w:val="FFFFFF" w:themeColor="background1"/>
              </w:rPr>
              <w:t xml:space="preserve">СТРАТЕГИЈЕ РАЗВОЈА КУЛТУРЕ ГРАДА СОМБОРА </w:t>
            </w:r>
            <w:r>
              <w:rPr>
                <w:rFonts w:ascii="Arial" w:hAnsi="Arial" w:cs="Arial"/>
                <w:b/>
                <w:color w:val="FFFFFF" w:themeColor="background1"/>
              </w:rPr>
              <w:t>2021</w:t>
            </w:r>
            <w:r w:rsidRPr="00296F54">
              <w:rPr>
                <w:rFonts w:ascii="Arial" w:hAnsi="Arial" w:cs="Arial"/>
                <w:b/>
                <w:color w:val="FFFFFF" w:themeColor="background1"/>
              </w:rPr>
              <w:t>-2025</w:t>
            </w:r>
            <w:bookmarkEnd w:id="78"/>
          </w:p>
        </w:tc>
      </w:tr>
      <w:tr w:rsidR="00C5132C" w:rsidRPr="00D03014" w:rsidTr="001858E0">
        <w:trPr>
          <w:trHeight w:val="398"/>
        </w:trPr>
        <w:tc>
          <w:tcPr>
            <w:tcW w:w="2290" w:type="dxa"/>
            <w:gridSpan w:val="4"/>
            <w:tcBorders>
              <w:top w:val="double" w:sz="4" w:space="0" w:color="auto"/>
              <w:left w:val="double" w:sz="4" w:space="0" w:color="auto"/>
            </w:tcBorders>
            <w:vAlign w:val="center"/>
          </w:tcPr>
          <w:p w:rsidR="00C5132C" w:rsidRPr="00D03014" w:rsidRDefault="00C5132C" w:rsidP="001858E0">
            <w:pPr>
              <w:jc w:val="center"/>
              <w:rPr>
                <w:rFonts w:ascii="Arial" w:hAnsi="Arial" w:cs="Arial"/>
              </w:rPr>
            </w:pPr>
            <w:r w:rsidRPr="00D03014">
              <w:rPr>
                <w:rFonts w:ascii="Arial" w:hAnsi="Arial" w:cs="Arial"/>
              </w:rPr>
              <w:t>Документ ЈП:</w:t>
            </w:r>
          </w:p>
        </w:tc>
        <w:tc>
          <w:tcPr>
            <w:tcW w:w="11542" w:type="dxa"/>
            <w:gridSpan w:val="28"/>
            <w:tcBorders>
              <w:top w:val="double" w:sz="4" w:space="0" w:color="auto"/>
              <w:right w:val="double" w:sz="4" w:space="0" w:color="auto"/>
            </w:tcBorders>
            <w:vAlign w:val="center"/>
          </w:tcPr>
          <w:p w:rsidR="00C5132C" w:rsidRPr="00D03014" w:rsidRDefault="00C5132C" w:rsidP="001858E0">
            <w:pPr>
              <w:jc w:val="center"/>
              <w:rPr>
                <w:rFonts w:ascii="Arial" w:hAnsi="Arial" w:cs="Arial"/>
              </w:rPr>
            </w:pPr>
            <w:r w:rsidRPr="00D03014">
              <w:rPr>
                <w:rFonts w:ascii="Arial" w:hAnsi="Arial" w:cs="Arial"/>
              </w:rPr>
              <w:t xml:space="preserve">Стратегија развоја културе града Сомбора </w:t>
            </w:r>
            <w:r>
              <w:rPr>
                <w:rFonts w:ascii="Arial" w:hAnsi="Arial" w:cs="Arial"/>
              </w:rPr>
              <w:t>2021</w:t>
            </w:r>
            <w:r w:rsidRPr="00D03014">
              <w:rPr>
                <w:rFonts w:ascii="Arial" w:hAnsi="Arial" w:cs="Arial"/>
              </w:rPr>
              <w:t>-2025</w:t>
            </w:r>
          </w:p>
        </w:tc>
      </w:tr>
      <w:tr w:rsidR="00C5132C" w:rsidRPr="00D03014" w:rsidTr="001858E0">
        <w:trPr>
          <w:trHeight w:val="398"/>
        </w:trPr>
        <w:tc>
          <w:tcPr>
            <w:tcW w:w="2290" w:type="dxa"/>
            <w:gridSpan w:val="4"/>
            <w:tcBorders>
              <w:left w:val="double" w:sz="4" w:space="0" w:color="auto"/>
            </w:tcBorders>
            <w:vAlign w:val="center"/>
          </w:tcPr>
          <w:p w:rsidR="00C5132C" w:rsidRPr="00D03014" w:rsidRDefault="00C5132C" w:rsidP="001858E0">
            <w:pPr>
              <w:jc w:val="center"/>
              <w:rPr>
                <w:rFonts w:ascii="Arial" w:hAnsi="Arial" w:cs="Arial"/>
              </w:rPr>
            </w:pPr>
            <w:r w:rsidRPr="00D03014">
              <w:rPr>
                <w:rFonts w:ascii="Arial" w:hAnsi="Arial" w:cs="Arial"/>
              </w:rPr>
              <w:t>Акциони план:</w:t>
            </w:r>
          </w:p>
        </w:tc>
        <w:tc>
          <w:tcPr>
            <w:tcW w:w="11542" w:type="dxa"/>
            <w:gridSpan w:val="28"/>
            <w:tcBorders>
              <w:right w:val="double" w:sz="4" w:space="0" w:color="auto"/>
            </w:tcBorders>
            <w:vAlign w:val="center"/>
          </w:tcPr>
          <w:p w:rsidR="00C5132C" w:rsidRPr="00D03014" w:rsidRDefault="00C5132C" w:rsidP="001858E0">
            <w:pPr>
              <w:jc w:val="center"/>
              <w:rPr>
                <w:rFonts w:ascii="Arial" w:hAnsi="Arial" w:cs="Arial"/>
              </w:rPr>
            </w:pPr>
            <w:r w:rsidRPr="00D03014">
              <w:rPr>
                <w:rFonts w:ascii="Arial" w:hAnsi="Arial" w:cs="Arial"/>
              </w:rPr>
              <w:t xml:space="preserve">Акциони план Стратегије развоја културе града Сомбора </w:t>
            </w:r>
            <w:r>
              <w:rPr>
                <w:rFonts w:ascii="Arial" w:hAnsi="Arial" w:cs="Arial"/>
              </w:rPr>
              <w:t>2021</w:t>
            </w:r>
            <w:r w:rsidRPr="00D03014">
              <w:rPr>
                <w:rFonts w:ascii="Arial" w:hAnsi="Arial" w:cs="Arial"/>
              </w:rPr>
              <w:t>-2025</w:t>
            </w:r>
          </w:p>
        </w:tc>
      </w:tr>
      <w:tr w:rsidR="00C5132C" w:rsidRPr="00D03014" w:rsidTr="001858E0">
        <w:trPr>
          <w:trHeight w:val="398"/>
        </w:trPr>
        <w:tc>
          <w:tcPr>
            <w:tcW w:w="2290" w:type="dxa"/>
            <w:gridSpan w:val="4"/>
            <w:tcBorders>
              <w:left w:val="double" w:sz="4" w:space="0" w:color="auto"/>
            </w:tcBorders>
            <w:vAlign w:val="center"/>
          </w:tcPr>
          <w:p w:rsidR="00C5132C" w:rsidRPr="00D03014" w:rsidRDefault="00C5132C" w:rsidP="001858E0">
            <w:pPr>
              <w:jc w:val="center"/>
              <w:rPr>
                <w:rFonts w:ascii="Arial" w:hAnsi="Arial" w:cs="Arial"/>
              </w:rPr>
            </w:pPr>
            <w:r w:rsidRPr="00D03014">
              <w:rPr>
                <w:rFonts w:ascii="Arial" w:hAnsi="Arial" w:cs="Arial"/>
              </w:rPr>
              <w:t>Координација и извештавање</w:t>
            </w:r>
          </w:p>
        </w:tc>
        <w:tc>
          <w:tcPr>
            <w:tcW w:w="11542" w:type="dxa"/>
            <w:gridSpan w:val="28"/>
            <w:tcBorders>
              <w:right w:val="double" w:sz="4" w:space="0" w:color="auto"/>
            </w:tcBorders>
            <w:vAlign w:val="center"/>
          </w:tcPr>
          <w:p w:rsidR="00C5132C" w:rsidRPr="00D03014" w:rsidRDefault="00C5132C" w:rsidP="001858E0">
            <w:pPr>
              <w:jc w:val="center"/>
              <w:rPr>
                <w:rFonts w:ascii="Arial" w:hAnsi="Arial" w:cs="Arial"/>
              </w:rPr>
            </w:pPr>
            <w:r w:rsidRPr="00D03014">
              <w:rPr>
                <w:rFonts w:ascii="Arial" w:hAnsi="Arial" w:cs="Arial"/>
              </w:rPr>
              <w:t>Градска управа Сомбор</w:t>
            </w:r>
          </w:p>
        </w:tc>
      </w:tr>
      <w:tr w:rsidR="00C5132C" w:rsidRPr="00D03014" w:rsidTr="001858E0">
        <w:trPr>
          <w:trHeight w:val="398"/>
        </w:trPr>
        <w:tc>
          <w:tcPr>
            <w:tcW w:w="2290" w:type="dxa"/>
            <w:gridSpan w:val="4"/>
            <w:tcBorders>
              <w:left w:val="double" w:sz="4" w:space="0" w:color="auto"/>
              <w:bottom w:val="double" w:sz="4" w:space="0" w:color="auto"/>
            </w:tcBorders>
            <w:vAlign w:val="center"/>
          </w:tcPr>
          <w:p w:rsidR="00C5132C" w:rsidRPr="00D03014" w:rsidRDefault="00C5132C" w:rsidP="001858E0">
            <w:pPr>
              <w:jc w:val="center"/>
              <w:rPr>
                <w:rFonts w:ascii="Arial" w:hAnsi="Arial" w:cs="Arial"/>
              </w:rPr>
            </w:pPr>
            <w:r w:rsidRPr="00D03014">
              <w:rPr>
                <w:rFonts w:ascii="Arial" w:hAnsi="Arial" w:cs="Arial"/>
              </w:rPr>
              <w:t>Кровни документ ЈП:</w:t>
            </w:r>
          </w:p>
        </w:tc>
        <w:tc>
          <w:tcPr>
            <w:tcW w:w="11542" w:type="dxa"/>
            <w:gridSpan w:val="28"/>
            <w:tcBorders>
              <w:bottom w:val="double" w:sz="4" w:space="0" w:color="auto"/>
              <w:right w:val="double" w:sz="4" w:space="0" w:color="auto"/>
            </w:tcBorders>
            <w:vAlign w:val="center"/>
          </w:tcPr>
          <w:p w:rsidR="00C5132C" w:rsidRPr="001858E0" w:rsidRDefault="001858E0" w:rsidP="001858E0">
            <w:pPr>
              <w:jc w:val="center"/>
              <w:rPr>
                <w:rFonts w:ascii="Arial" w:hAnsi="Arial" w:cs="Arial"/>
                <w:lang/>
              </w:rPr>
            </w:pPr>
            <w:r>
              <w:rPr>
                <w:rFonts w:ascii="Arial" w:hAnsi="Arial" w:cs="Arial"/>
                <w:lang/>
              </w:rPr>
              <w:t>-</w:t>
            </w:r>
          </w:p>
        </w:tc>
      </w:tr>
      <w:tr w:rsidR="00C5132C" w:rsidRPr="00464CC0" w:rsidTr="001858E0">
        <w:trPr>
          <w:trHeight w:val="398"/>
        </w:trPr>
        <w:tc>
          <w:tcPr>
            <w:tcW w:w="13832" w:type="dxa"/>
            <w:gridSpan w:val="32"/>
            <w:tcBorders>
              <w:top w:val="double" w:sz="4" w:space="0" w:color="auto"/>
              <w:left w:val="double" w:sz="4" w:space="0" w:color="auto"/>
              <w:right w:val="double" w:sz="4" w:space="0" w:color="auto"/>
            </w:tcBorders>
            <w:shd w:val="clear" w:color="auto" w:fill="DEEAF6" w:themeFill="accent1" w:themeFillTint="33"/>
            <w:vAlign w:val="center"/>
          </w:tcPr>
          <w:p w:rsidR="00C5132C" w:rsidRPr="00464CC0" w:rsidRDefault="00C5132C" w:rsidP="001858E0">
            <w:pPr>
              <w:rPr>
                <w:rFonts w:ascii="Arial" w:hAnsi="Arial" w:cs="Arial"/>
                <w:sz w:val="24"/>
                <w:szCs w:val="24"/>
                <w:lang/>
              </w:rPr>
            </w:pPr>
            <w:r w:rsidRPr="00D03014">
              <w:rPr>
                <w:rFonts w:ascii="Arial" w:hAnsi="Arial" w:cs="Arial"/>
                <w:sz w:val="24"/>
                <w:szCs w:val="24"/>
              </w:rPr>
              <w:t>Општи циљ:</w:t>
            </w:r>
            <w:r>
              <w:rPr>
                <w:rFonts w:ascii="Arial" w:hAnsi="Arial" w:cs="Arial"/>
                <w:sz w:val="24"/>
                <w:szCs w:val="24"/>
                <w:lang/>
              </w:rPr>
              <w:t xml:space="preserve"> </w:t>
            </w:r>
            <w:r w:rsidRPr="00464CC0">
              <w:rPr>
                <w:rFonts w:ascii="Arial" w:hAnsi="Arial" w:cs="Arial"/>
                <w:b/>
                <w:sz w:val="24"/>
                <w:szCs w:val="24"/>
                <w:lang/>
              </w:rPr>
              <w:t>Повећање учесника у култури града Сомбора кроз партиципативне механизме, анимацију и комуникацију</w:t>
            </w:r>
          </w:p>
        </w:tc>
      </w:tr>
      <w:tr w:rsidR="00C5132C"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DEEAF6" w:themeFill="accent1" w:themeFillTint="33"/>
            <w:vAlign w:val="center"/>
          </w:tcPr>
          <w:p w:rsidR="00C5132C" w:rsidRPr="00D03014" w:rsidRDefault="00C5132C" w:rsidP="001858E0">
            <w:pPr>
              <w:rPr>
                <w:rFonts w:ascii="Arial" w:eastAsia="Times New Roman" w:hAnsi="Arial" w:cs="Arial"/>
                <w:color w:val="222222"/>
                <w:sz w:val="24"/>
                <w:szCs w:val="24"/>
              </w:rPr>
            </w:pPr>
            <w:r w:rsidRPr="00D03014">
              <w:rPr>
                <w:rFonts w:ascii="Arial" w:eastAsia="Times New Roman" w:hAnsi="Arial" w:cs="Arial"/>
                <w:color w:val="222222"/>
                <w:sz w:val="24"/>
                <w:szCs w:val="24"/>
              </w:rPr>
              <w:t xml:space="preserve">Институција одговорна за праћење и контролу реализације: </w:t>
            </w:r>
            <w:r w:rsidRPr="00D03014">
              <w:rPr>
                <w:rFonts w:ascii="Arial" w:eastAsia="Times New Roman" w:hAnsi="Arial" w:cs="Arial"/>
                <w:b/>
                <w:color w:val="222222"/>
                <w:sz w:val="24"/>
                <w:szCs w:val="24"/>
              </w:rPr>
              <w:t>Градска управа Сомбор</w:t>
            </w:r>
          </w:p>
        </w:tc>
      </w:tr>
      <w:tr w:rsidR="00C5132C" w:rsidRPr="00D03014" w:rsidTr="001858E0">
        <w:trPr>
          <w:trHeight w:val="398"/>
        </w:trPr>
        <w:tc>
          <w:tcPr>
            <w:tcW w:w="1961" w:type="dxa"/>
            <w:gridSpan w:val="3"/>
            <w:tcBorders>
              <w:top w:val="double" w:sz="4" w:space="0" w:color="auto"/>
              <w:left w:val="double" w:sz="4" w:space="0" w:color="auto"/>
            </w:tcBorders>
            <w:shd w:val="clear" w:color="auto" w:fill="D9D9D9" w:themeFill="background1" w:themeFillShade="D9"/>
            <w:vAlign w:val="center"/>
          </w:tcPr>
          <w:p w:rsidR="00C5132C" w:rsidRPr="00D03014" w:rsidRDefault="00C5132C" w:rsidP="001858E0">
            <w:pPr>
              <w:jc w:val="center"/>
              <w:rPr>
                <w:rFonts w:ascii="Arial" w:hAnsi="Arial" w:cs="Arial"/>
              </w:rPr>
            </w:pPr>
            <w:r w:rsidRPr="00D03014">
              <w:rPr>
                <w:rFonts w:ascii="Arial" w:hAnsi="Arial" w:cs="Arial"/>
              </w:rPr>
              <w:t>Показатељ (и) на нивоу општег циља (показатељ ефекта)</w:t>
            </w:r>
          </w:p>
        </w:tc>
        <w:tc>
          <w:tcPr>
            <w:tcW w:w="1975" w:type="dxa"/>
            <w:gridSpan w:val="5"/>
            <w:tcBorders>
              <w:top w:val="double" w:sz="4" w:space="0" w:color="auto"/>
              <w:left w:val="double" w:sz="4" w:space="0" w:color="auto"/>
            </w:tcBorders>
            <w:shd w:val="clear" w:color="auto" w:fill="D9D9D9" w:themeFill="background1" w:themeFillShade="D9"/>
            <w:vAlign w:val="center"/>
          </w:tcPr>
          <w:p w:rsidR="00C5132C" w:rsidRPr="00D03014" w:rsidRDefault="00C5132C" w:rsidP="001858E0">
            <w:pPr>
              <w:jc w:val="center"/>
              <w:rPr>
                <w:rFonts w:ascii="Arial" w:hAnsi="Arial" w:cs="Arial"/>
              </w:rPr>
            </w:pPr>
            <w:r w:rsidRPr="00D03014">
              <w:rPr>
                <w:rFonts w:ascii="Arial" w:hAnsi="Arial" w:cs="Arial"/>
              </w:rPr>
              <w:t>Јединица мере</w:t>
            </w:r>
          </w:p>
        </w:tc>
        <w:tc>
          <w:tcPr>
            <w:tcW w:w="1977" w:type="dxa"/>
            <w:gridSpan w:val="5"/>
            <w:tcBorders>
              <w:top w:val="double" w:sz="4" w:space="0" w:color="auto"/>
            </w:tcBorders>
            <w:shd w:val="clear" w:color="auto" w:fill="D9D9D9" w:themeFill="background1" w:themeFillShade="D9"/>
            <w:vAlign w:val="center"/>
          </w:tcPr>
          <w:p w:rsidR="00C5132C" w:rsidRPr="00D03014" w:rsidRDefault="00C5132C" w:rsidP="001858E0">
            <w:pPr>
              <w:jc w:val="center"/>
              <w:rPr>
                <w:rFonts w:ascii="Arial" w:hAnsi="Arial" w:cs="Arial"/>
              </w:rPr>
            </w:pPr>
            <w:r w:rsidRPr="00D03014">
              <w:rPr>
                <w:rFonts w:ascii="Arial" w:hAnsi="Arial" w:cs="Arial"/>
              </w:rPr>
              <w:t>Извор провере</w:t>
            </w:r>
          </w:p>
        </w:tc>
        <w:tc>
          <w:tcPr>
            <w:tcW w:w="1975" w:type="dxa"/>
            <w:gridSpan w:val="5"/>
            <w:tcBorders>
              <w:top w:val="double" w:sz="4" w:space="0" w:color="auto"/>
            </w:tcBorders>
            <w:shd w:val="clear" w:color="auto" w:fill="D9D9D9" w:themeFill="background1" w:themeFillShade="D9"/>
            <w:vAlign w:val="center"/>
          </w:tcPr>
          <w:p w:rsidR="00C5132C" w:rsidRPr="00D03014" w:rsidRDefault="00C5132C" w:rsidP="001858E0">
            <w:pPr>
              <w:jc w:val="center"/>
              <w:rPr>
                <w:rFonts w:ascii="Arial" w:hAnsi="Arial" w:cs="Arial"/>
              </w:rPr>
            </w:pPr>
            <w:r w:rsidRPr="00D03014">
              <w:rPr>
                <w:rFonts w:ascii="Arial" w:hAnsi="Arial" w:cs="Arial"/>
              </w:rPr>
              <w:t>Почетна вредност</w:t>
            </w:r>
          </w:p>
        </w:tc>
        <w:tc>
          <w:tcPr>
            <w:tcW w:w="1977" w:type="dxa"/>
            <w:gridSpan w:val="5"/>
            <w:tcBorders>
              <w:top w:val="double" w:sz="4" w:space="0" w:color="auto"/>
            </w:tcBorders>
            <w:shd w:val="clear" w:color="auto" w:fill="D9D9D9" w:themeFill="background1" w:themeFillShade="D9"/>
            <w:vAlign w:val="center"/>
          </w:tcPr>
          <w:p w:rsidR="00C5132C" w:rsidRPr="00D03014" w:rsidRDefault="00C5132C" w:rsidP="001858E0">
            <w:pPr>
              <w:jc w:val="center"/>
              <w:rPr>
                <w:rFonts w:ascii="Arial" w:hAnsi="Arial" w:cs="Arial"/>
              </w:rPr>
            </w:pPr>
            <w:r w:rsidRPr="00D03014">
              <w:rPr>
                <w:rFonts w:ascii="Arial" w:hAnsi="Arial" w:cs="Arial"/>
              </w:rPr>
              <w:t>Базна година</w:t>
            </w:r>
            <w:r w:rsidR="00F61C95">
              <w:rPr>
                <w:rStyle w:val="FootnoteReference"/>
                <w:rFonts w:ascii="Arial" w:hAnsi="Arial" w:cs="Arial"/>
              </w:rPr>
              <w:footnoteReference w:id="42"/>
            </w:r>
          </w:p>
        </w:tc>
        <w:tc>
          <w:tcPr>
            <w:tcW w:w="1988" w:type="dxa"/>
            <w:gridSpan w:val="5"/>
            <w:tcBorders>
              <w:top w:val="double" w:sz="4" w:space="0" w:color="auto"/>
            </w:tcBorders>
            <w:shd w:val="clear" w:color="auto" w:fill="D9D9D9" w:themeFill="background1" w:themeFillShade="D9"/>
            <w:vAlign w:val="center"/>
          </w:tcPr>
          <w:p w:rsidR="00C5132C" w:rsidRPr="00D03014" w:rsidRDefault="00C5132C" w:rsidP="001858E0">
            <w:pPr>
              <w:jc w:val="center"/>
              <w:rPr>
                <w:rFonts w:ascii="Arial" w:hAnsi="Arial" w:cs="Arial"/>
              </w:rPr>
            </w:pPr>
            <w:r w:rsidRPr="00D03014">
              <w:rPr>
                <w:rFonts w:ascii="Arial" w:hAnsi="Arial" w:cs="Arial"/>
              </w:rPr>
              <w:t>Циљана вредност у последњој години АП</w:t>
            </w:r>
          </w:p>
        </w:tc>
        <w:tc>
          <w:tcPr>
            <w:tcW w:w="1979" w:type="dxa"/>
            <w:gridSpan w:val="4"/>
            <w:tcBorders>
              <w:top w:val="double" w:sz="4" w:space="0" w:color="auto"/>
              <w:right w:val="double" w:sz="4" w:space="0" w:color="auto"/>
            </w:tcBorders>
            <w:shd w:val="clear" w:color="auto" w:fill="D9D9D9" w:themeFill="background1" w:themeFillShade="D9"/>
            <w:vAlign w:val="center"/>
          </w:tcPr>
          <w:p w:rsidR="00C5132C" w:rsidRPr="00D03014" w:rsidRDefault="00C5132C" w:rsidP="001858E0">
            <w:pPr>
              <w:jc w:val="center"/>
              <w:rPr>
                <w:rFonts w:ascii="Arial" w:hAnsi="Arial" w:cs="Arial"/>
              </w:rPr>
            </w:pPr>
            <w:r w:rsidRPr="00D03014">
              <w:rPr>
                <w:rFonts w:ascii="Arial" w:hAnsi="Arial" w:cs="Arial"/>
              </w:rPr>
              <w:t>Последња година важења АП</w:t>
            </w:r>
          </w:p>
        </w:tc>
      </w:tr>
      <w:tr w:rsidR="00C5132C" w:rsidRPr="00D03014" w:rsidTr="001858E0">
        <w:trPr>
          <w:trHeight w:val="398"/>
        </w:trPr>
        <w:tc>
          <w:tcPr>
            <w:tcW w:w="1961" w:type="dxa"/>
            <w:gridSpan w:val="3"/>
            <w:tcBorders>
              <w:top w:val="double" w:sz="4" w:space="0" w:color="auto"/>
              <w:left w:val="double" w:sz="4" w:space="0" w:color="auto"/>
            </w:tcBorders>
            <w:shd w:val="clear" w:color="auto" w:fill="FFFFFF" w:themeFill="background1"/>
            <w:vAlign w:val="center"/>
          </w:tcPr>
          <w:p w:rsidR="00C5132C" w:rsidRPr="00464CC0" w:rsidRDefault="00C5132C" w:rsidP="001858E0">
            <w:pPr>
              <w:shd w:val="clear" w:color="auto" w:fill="FFFFFF" w:themeFill="background1"/>
              <w:jc w:val="center"/>
              <w:rPr>
                <w:rFonts w:ascii="Arial" w:hAnsi="Arial" w:cs="Arial"/>
                <w:lang/>
              </w:rPr>
            </w:pPr>
            <w:r>
              <w:rPr>
                <w:rFonts w:ascii="Arial" w:hAnsi="Arial" w:cs="Arial"/>
                <w:lang/>
              </w:rPr>
              <w:t>Број грађана који учествују у култури у улози публике и директних актера културе и културне политике</w:t>
            </w:r>
          </w:p>
        </w:tc>
        <w:tc>
          <w:tcPr>
            <w:tcW w:w="1975" w:type="dxa"/>
            <w:gridSpan w:val="5"/>
            <w:tcBorders>
              <w:top w:val="double" w:sz="4" w:space="0" w:color="auto"/>
              <w:left w:val="double" w:sz="4" w:space="0" w:color="auto"/>
            </w:tcBorders>
            <w:shd w:val="clear" w:color="auto" w:fill="FFFFFF" w:themeFill="background1"/>
            <w:vAlign w:val="center"/>
          </w:tcPr>
          <w:p w:rsidR="00C5132C" w:rsidRPr="00464CC0" w:rsidRDefault="00C5132C" w:rsidP="001858E0">
            <w:pPr>
              <w:shd w:val="clear" w:color="auto" w:fill="FFFFFF" w:themeFill="background1"/>
              <w:jc w:val="center"/>
              <w:rPr>
                <w:rFonts w:ascii="Arial" w:hAnsi="Arial" w:cs="Arial"/>
                <w:lang/>
              </w:rPr>
            </w:pPr>
            <w:r w:rsidRPr="00D03014">
              <w:rPr>
                <w:rFonts w:ascii="Arial" w:hAnsi="Arial" w:cs="Arial"/>
              </w:rPr>
              <w:t xml:space="preserve">број </w:t>
            </w:r>
            <w:r>
              <w:rPr>
                <w:rFonts w:ascii="Arial" w:hAnsi="Arial" w:cs="Arial"/>
                <w:lang/>
              </w:rPr>
              <w:t>грађана</w:t>
            </w:r>
          </w:p>
        </w:tc>
        <w:tc>
          <w:tcPr>
            <w:tcW w:w="1977" w:type="dxa"/>
            <w:gridSpan w:val="5"/>
            <w:tcBorders>
              <w:top w:val="double" w:sz="4" w:space="0" w:color="auto"/>
            </w:tcBorders>
            <w:shd w:val="clear" w:color="auto" w:fill="FFFFFF" w:themeFill="background1"/>
            <w:vAlign w:val="center"/>
          </w:tcPr>
          <w:p w:rsidR="00C5132C" w:rsidRPr="00464CC0" w:rsidRDefault="00C5132C" w:rsidP="001858E0">
            <w:pPr>
              <w:shd w:val="clear" w:color="auto" w:fill="FFFFFF" w:themeFill="background1"/>
              <w:jc w:val="center"/>
              <w:rPr>
                <w:rFonts w:ascii="Arial" w:hAnsi="Arial" w:cs="Arial"/>
                <w:sz w:val="20"/>
                <w:szCs w:val="20"/>
              </w:rPr>
            </w:pPr>
            <w:r w:rsidRPr="00464CC0">
              <w:rPr>
                <w:rFonts w:ascii="Arial" w:hAnsi="Arial" w:cs="Arial"/>
                <w:sz w:val="20"/>
                <w:szCs w:val="20"/>
              </w:rPr>
              <w:t>Извештај</w:t>
            </w:r>
            <w:r w:rsidRPr="00464CC0">
              <w:rPr>
                <w:rFonts w:ascii="Arial" w:hAnsi="Arial" w:cs="Arial"/>
                <w:sz w:val="20"/>
                <w:szCs w:val="20"/>
                <w:lang/>
              </w:rPr>
              <w:t xml:space="preserve">и установа културе, извештаји организатора </w:t>
            </w:r>
            <w:r>
              <w:rPr>
                <w:rFonts w:ascii="Arial" w:hAnsi="Arial" w:cs="Arial"/>
                <w:sz w:val="20"/>
                <w:szCs w:val="20"/>
                <w:lang/>
              </w:rPr>
              <w:t>програма, извештаји радних тела и локалне самоуправе</w:t>
            </w:r>
            <w:r w:rsidRPr="00464CC0">
              <w:rPr>
                <w:rFonts w:ascii="Arial" w:hAnsi="Arial" w:cs="Arial"/>
                <w:sz w:val="20"/>
                <w:szCs w:val="20"/>
                <w:lang/>
              </w:rPr>
              <w:t xml:space="preserve"> </w:t>
            </w:r>
            <w:r w:rsidRPr="00464CC0">
              <w:rPr>
                <w:rFonts w:ascii="Arial" w:hAnsi="Arial" w:cs="Arial"/>
                <w:sz w:val="20"/>
                <w:szCs w:val="20"/>
              </w:rPr>
              <w:t xml:space="preserve"> </w:t>
            </w:r>
          </w:p>
        </w:tc>
        <w:tc>
          <w:tcPr>
            <w:tcW w:w="1975" w:type="dxa"/>
            <w:gridSpan w:val="5"/>
            <w:tcBorders>
              <w:top w:val="double" w:sz="4" w:space="0" w:color="auto"/>
            </w:tcBorders>
            <w:shd w:val="clear" w:color="auto" w:fill="FFFFFF" w:themeFill="background1"/>
            <w:vAlign w:val="center"/>
          </w:tcPr>
          <w:p w:rsidR="00C5132C" w:rsidRPr="00464CC0" w:rsidRDefault="00C5132C" w:rsidP="001858E0">
            <w:pPr>
              <w:shd w:val="clear" w:color="auto" w:fill="FFFFFF" w:themeFill="background1"/>
              <w:jc w:val="center"/>
              <w:rPr>
                <w:rFonts w:ascii="Arial" w:hAnsi="Arial" w:cs="Arial"/>
                <w:lang/>
              </w:rPr>
            </w:pPr>
            <w:r>
              <w:rPr>
                <w:rFonts w:ascii="Arial" w:hAnsi="Arial" w:cs="Arial"/>
                <w:lang/>
              </w:rPr>
              <w:t>82.000</w:t>
            </w:r>
          </w:p>
        </w:tc>
        <w:tc>
          <w:tcPr>
            <w:tcW w:w="1977" w:type="dxa"/>
            <w:gridSpan w:val="5"/>
            <w:tcBorders>
              <w:top w:val="double" w:sz="4" w:space="0" w:color="auto"/>
            </w:tcBorders>
            <w:shd w:val="clear" w:color="auto" w:fill="FFFFFF" w:themeFill="background1"/>
            <w:vAlign w:val="center"/>
          </w:tcPr>
          <w:p w:rsidR="00C5132C" w:rsidRPr="00D03014" w:rsidRDefault="001858E0" w:rsidP="001858E0">
            <w:pPr>
              <w:shd w:val="clear" w:color="auto" w:fill="FFFFFF" w:themeFill="background1"/>
              <w:jc w:val="center"/>
              <w:rPr>
                <w:rFonts w:ascii="Arial" w:hAnsi="Arial" w:cs="Arial"/>
              </w:rPr>
            </w:pPr>
            <w:r>
              <w:rPr>
                <w:rFonts w:ascii="Arial" w:hAnsi="Arial" w:cs="Arial"/>
              </w:rPr>
              <w:t>2019</w:t>
            </w:r>
          </w:p>
        </w:tc>
        <w:tc>
          <w:tcPr>
            <w:tcW w:w="1988" w:type="dxa"/>
            <w:gridSpan w:val="5"/>
            <w:tcBorders>
              <w:top w:val="double" w:sz="4" w:space="0" w:color="auto"/>
            </w:tcBorders>
            <w:shd w:val="clear" w:color="auto" w:fill="FFFFFF" w:themeFill="background1"/>
            <w:vAlign w:val="center"/>
          </w:tcPr>
          <w:p w:rsidR="00C5132C" w:rsidRPr="00464CC0" w:rsidRDefault="00C5132C" w:rsidP="001858E0">
            <w:pPr>
              <w:shd w:val="clear" w:color="auto" w:fill="FFFFFF" w:themeFill="background1"/>
              <w:jc w:val="center"/>
              <w:rPr>
                <w:rFonts w:ascii="Arial" w:hAnsi="Arial" w:cs="Arial"/>
                <w:lang/>
              </w:rPr>
            </w:pPr>
            <w:r>
              <w:rPr>
                <w:rFonts w:ascii="Arial" w:hAnsi="Arial" w:cs="Arial"/>
                <w:lang/>
              </w:rPr>
              <w:t>92.000</w:t>
            </w:r>
          </w:p>
        </w:tc>
        <w:tc>
          <w:tcPr>
            <w:tcW w:w="1979" w:type="dxa"/>
            <w:gridSpan w:val="4"/>
            <w:tcBorders>
              <w:top w:val="double" w:sz="4" w:space="0" w:color="auto"/>
              <w:right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2025</w:t>
            </w:r>
          </w:p>
        </w:tc>
      </w:tr>
      <w:tr w:rsidR="00C5132C"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C5E0B3" w:themeFill="accent6" w:themeFillTint="66"/>
            <w:vAlign w:val="center"/>
          </w:tcPr>
          <w:p w:rsidR="00C5132C" w:rsidRPr="00D03014" w:rsidRDefault="00C5132C" w:rsidP="001858E0">
            <w:pPr>
              <w:rPr>
                <w:rFonts w:ascii="Arial" w:hAnsi="Arial" w:cs="Arial"/>
                <w:b/>
                <w:sz w:val="28"/>
                <w:szCs w:val="28"/>
              </w:rPr>
            </w:pPr>
            <w:r w:rsidRPr="00D03014">
              <w:rPr>
                <w:rFonts w:ascii="Arial" w:hAnsi="Arial" w:cs="Arial"/>
                <w:b/>
                <w:sz w:val="28"/>
                <w:szCs w:val="28"/>
              </w:rPr>
              <w:t>Посебни циљ 1: Унапређење система функционисања културе у граду Сомбору</w:t>
            </w:r>
          </w:p>
        </w:tc>
      </w:tr>
      <w:tr w:rsidR="00C5132C" w:rsidRPr="00D03014"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C5E0B3" w:themeFill="accent6" w:themeFillTint="66"/>
            <w:vAlign w:val="center"/>
          </w:tcPr>
          <w:p w:rsidR="00C5132C" w:rsidRPr="00D03014" w:rsidRDefault="00C5132C" w:rsidP="001858E0">
            <w:pPr>
              <w:rPr>
                <w:rFonts w:ascii="Arial" w:eastAsia="Times New Roman" w:hAnsi="Arial" w:cs="Arial"/>
                <w:color w:val="222222"/>
                <w:sz w:val="24"/>
                <w:szCs w:val="24"/>
              </w:rPr>
            </w:pPr>
            <w:r w:rsidRPr="00D03014">
              <w:rPr>
                <w:rFonts w:ascii="Arial" w:eastAsia="Times New Roman" w:hAnsi="Arial" w:cs="Arial"/>
                <w:color w:val="222222"/>
                <w:sz w:val="24"/>
                <w:szCs w:val="24"/>
              </w:rPr>
              <w:t>Институција одговорна за праћење и контролу реализације</w:t>
            </w:r>
            <w:r w:rsidRPr="00D03014">
              <w:rPr>
                <w:rFonts w:ascii="Arial" w:eastAsia="Times New Roman" w:hAnsi="Arial" w:cs="Arial"/>
                <w:color w:val="222222"/>
              </w:rPr>
              <w:t>: Градска управа Сомбор, Савет за културу града Сомбора</w:t>
            </w:r>
          </w:p>
        </w:tc>
      </w:tr>
      <w:tr w:rsidR="00EF6F4E" w:rsidRPr="00D03014" w:rsidTr="001858E0">
        <w:trPr>
          <w:trHeight w:val="400"/>
        </w:trPr>
        <w:tc>
          <w:tcPr>
            <w:tcW w:w="1878" w:type="dxa"/>
            <w:gridSpan w:val="2"/>
            <w:tcBorders>
              <w:top w:val="double" w:sz="4" w:space="0" w:color="auto"/>
              <w:left w:val="doub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C5132C"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C5132C" w:rsidRPr="00D03014" w:rsidRDefault="00C5132C" w:rsidP="001858E0">
            <w:pPr>
              <w:shd w:val="clear" w:color="auto" w:fill="FFFFFF" w:themeFill="background1"/>
              <w:rPr>
                <w:rFonts w:ascii="Arial" w:hAnsi="Arial" w:cs="Arial"/>
              </w:rPr>
            </w:pPr>
            <w:r w:rsidRPr="00D03014">
              <w:rPr>
                <w:rFonts w:ascii="Arial" w:hAnsi="Arial" w:cs="Arial"/>
              </w:rPr>
              <w:t xml:space="preserve">Основан Савет за културу на </w:t>
            </w:r>
            <w:r w:rsidRPr="00D03014">
              <w:rPr>
                <w:rFonts w:ascii="Arial" w:hAnsi="Arial" w:cs="Arial"/>
              </w:rPr>
              <w:lastRenderedPageBreak/>
              <w:t>нивоу града</w:t>
            </w:r>
          </w:p>
        </w:tc>
        <w:tc>
          <w:tcPr>
            <w:tcW w:w="1463" w:type="dxa"/>
            <w:gridSpan w:val="5"/>
            <w:tcBorders>
              <w:top w:val="doub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Pr>
                <w:rFonts w:ascii="Arial" w:hAnsi="Arial" w:cs="Arial"/>
                <w:lang/>
              </w:rPr>
              <w:lastRenderedPageBreak/>
              <w:t>0 – не</w:t>
            </w:r>
          </w:p>
          <w:p w:rsidR="00C5132C" w:rsidRPr="00CA0C9A" w:rsidRDefault="00C5132C" w:rsidP="001858E0">
            <w:pPr>
              <w:shd w:val="clear" w:color="auto" w:fill="FFFFFF" w:themeFill="background1"/>
              <w:jc w:val="center"/>
              <w:rPr>
                <w:rFonts w:ascii="Arial" w:hAnsi="Arial" w:cs="Arial"/>
                <w:lang/>
              </w:rPr>
            </w:pPr>
            <w:r>
              <w:rPr>
                <w:rFonts w:ascii="Arial" w:hAnsi="Arial" w:cs="Arial"/>
                <w:lang/>
              </w:rPr>
              <w:t>1 - да</w:t>
            </w:r>
          </w:p>
        </w:tc>
        <w:tc>
          <w:tcPr>
            <w:tcW w:w="1460" w:type="dxa"/>
            <w:gridSpan w:val="4"/>
            <w:tcBorders>
              <w:top w:val="double" w:sz="4" w:space="0" w:color="auto"/>
            </w:tcBorders>
            <w:shd w:val="clear" w:color="auto" w:fill="FFFFFF" w:themeFill="background1"/>
            <w:vAlign w:val="center"/>
          </w:tcPr>
          <w:p w:rsidR="00C5132C" w:rsidRPr="005202A9" w:rsidRDefault="00C5132C" w:rsidP="001858E0">
            <w:pPr>
              <w:shd w:val="clear" w:color="auto" w:fill="FFFFFF" w:themeFill="background1"/>
              <w:jc w:val="center"/>
              <w:rPr>
                <w:rFonts w:ascii="Arial" w:hAnsi="Arial" w:cs="Arial"/>
                <w:lang/>
              </w:rPr>
            </w:pPr>
            <w:r>
              <w:rPr>
                <w:rFonts w:ascii="Arial" w:hAnsi="Arial" w:cs="Arial"/>
                <w:lang/>
              </w:rPr>
              <w:t>Службени лист града</w:t>
            </w:r>
            <w:r w:rsidRPr="00D03014">
              <w:rPr>
                <w:rFonts w:ascii="Arial" w:hAnsi="Arial" w:cs="Arial"/>
              </w:rPr>
              <w:t xml:space="preserve"> </w:t>
            </w:r>
            <w:r w:rsidRPr="00D03014">
              <w:rPr>
                <w:rFonts w:ascii="Arial" w:hAnsi="Arial" w:cs="Arial"/>
              </w:rPr>
              <w:lastRenderedPageBreak/>
              <w:t>Сомбор</w:t>
            </w:r>
            <w:r>
              <w:rPr>
                <w:rFonts w:ascii="Arial" w:hAnsi="Arial" w:cs="Arial"/>
                <w:lang/>
              </w:rPr>
              <w:t>а</w:t>
            </w:r>
          </w:p>
        </w:tc>
        <w:tc>
          <w:tcPr>
            <w:tcW w:w="1459" w:type="dxa"/>
            <w:gridSpan w:val="3"/>
            <w:tcBorders>
              <w:top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lastRenderedPageBreak/>
              <w:t>0</w:t>
            </w:r>
          </w:p>
        </w:tc>
        <w:tc>
          <w:tcPr>
            <w:tcW w:w="1458" w:type="dxa"/>
            <w:gridSpan w:val="3"/>
            <w:tcBorders>
              <w:top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Pr>
                <w:rFonts w:ascii="Arial" w:hAnsi="Arial" w:cs="Arial"/>
              </w:rPr>
              <w:t>20</w:t>
            </w:r>
            <w:r w:rsidR="001858E0">
              <w:rPr>
                <w:rFonts w:ascii="Arial" w:hAnsi="Arial" w:cs="Arial"/>
              </w:rPr>
              <w:t>19</w:t>
            </w:r>
          </w:p>
        </w:tc>
        <w:tc>
          <w:tcPr>
            <w:tcW w:w="1222" w:type="dxa"/>
            <w:gridSpan w:val="4"/>
            <w:tcBorders>
              <w:top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2" w:type="dxa"/>
            <w:gridSpan w:val="3"/>
            <w:tcBorders>
              <w:top w:val="double"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1" w:type="dxa"/>
            <w:gridSpan w:val="2"/>
            <w:tcBorders>
              <w:top w:val="double"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ouble"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r>
      <w:tr w:rsidR="00C5132C" w:rsidRPr="00E329E3" w:rsidTr="001858E0">
        <w:trPr>
          <w:trHeight w:val="400"/>
        </w:trPr>
        <w:tc>
          <w:tcPr>
            <w:tcW w:w="1878" w:type="dxa"/>
            <w:gridSpan w:val="2"/>
            <w:tcBorders>
              <w:top w:val="double" w:sz="4" w:space="0" w:color="auto"/>
              <w:left w:val="double" w:sz="4" w:space="0" w:color="auto"/>
              <w:bottom w:val="double" w:sz="4" w:space="0" w:color="auto"/>
            </w:tcBorders>
            <w:shd w:val="clear" w:color="auto" w:fill="FFFFFF" w:themeFill="background1"/>
            <w:vAlign w:val="center"/>
          </w:tcPr>
          <w:p w:rsidR="00C5132C" w:rsidRPr="00E329E3" w:rsidRDefault="00C5132C" w:rsidP="001858E0">
            <w:pPr>
              <w:shd w:val="clear" w:color="auto" w:fill="FFFFFF" w:themeFill="background1"/>
              <w:rPr>
                <w:rFonts w:ascii="Arial" w:hAnsi="Arial" w:cs="Arial"/>
                <w:lang/>
              </w:rPr>
            </w:pPr>
            <w:r>
              <w:rPr>
                <w:rFonts w:ascii="Arial" w:hAnsi="Arial" w:cs="Arial"/>
                <w:lang/>
              </w:rPr>
              <w:lastRenderedPageBreak/>
              <w:t>Проценат запослених у култури и туризму који су прошли неки вид стручне обуке</w:t>
            </w:r>
          </w:p>
        </w:tc>
        <w:tc>
          <w:tcPr>
            <w:tcW w:w="1463" w:type="dxa"/>
            <w:gridSpan w:val="5"/>
            <w:tcBorders>
              <w:top w:val="double" w:sz="4" w:space="0" w:color="auto"/>
              <w:bottom w:val="doub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Pr>
                <w:rFonts w:ascii="Arial" w:hAnsi="Arial" w:cs="Arial"/>
                <w:lang/>
              </w:rPr>
              <w:t>%</w:t>
            </w:r>
          </w:p>
        </w:tc>
        <w:tc>
          <w:tcPr>
            <w:tcW w:w="1460" w:type="dxa"/>
            <w:gridSpan w:val="4"/>
            <w:tcBorders>
              <w:top w:val="double" w:sz="4" w:space="0" w:color="auto"/>
              <w:bottom w:val="double" w:sz="4" w:space="0" w:color="auto"/>
            </w:tcBorders>
            <w:shd w:val="clear" w:color="auto" w:fill="FFFFFF" w:themeFill="background1"/>
            <w:vAlign w:val="center"/>
          </w:tcPr>
          <w:p w:rsidR="00C5132C" w:rsidRPr="00E329E3" w:rsidRDefault="00C5132C" w:rsidP="001858E0">
            <w:pPr>
              <w:shd w:val="clear" w:color="auto" w:fill="FFFFFF" w:themeFill="background1"/>
              <w:jc w:val="center"/>
              <w:rPr>
                <w:rFonts w:ascii="Arial" w:hAnsi="Arial" w:cs="Arial"/>
                <w:lang/>
              </w:rPr>
            </w:pPr>
            <w:r>
              <w:rPr>
                <w:rFonts w:ascii="Arial" w:hAnsi="Arial" w:cs="Arial"/>
                <w:lang/>
              </w:rPr>
              <w:t>Извештаји установа културе, ТО Сомбор</w:t>
            </w:r>
          </w:p>
        </w:tc>
        <w:tc>
          <w:tcPr>
            <w:tcW w:w="1459" w:type="dxa"/>
            <w:gridSpan w:val="3"/>
            <w:tcBorders>
              <w:top w:val="double" w:sz="4" w:space="0" w:color="auto"/>
              <w:bottom w:val="double" w:sz="4" w:space="0" w:color="auto"/>
            </w:tcBorders>
            <w:shd w:val="clear" w:color="auto" w:fill="FFFFFF" w:themeFill="background1"/>
            <w:vAlign w:val="center"/>
          </w:tcPr>
          <w:p w:rsidR="00C5132C" w:rsidRPr="00E329E3" w:rsidRDefault="00C5132C" w:rsidP="001858E0">
            <w:pPr>
              <w:shd w:val="clear" w:color="auto" w:fill="FFFFFF" w:themeFill="background1"/>
              <w:jc w:val="center"/>
              <w:rPr>
                <w:rFonts w:ascii="Arial" w:hAnsi="Arial" w:cs="Arial"/>
                <w:lang/>
              </w:rPr>
            </w:pPr>
            <w:r>
              <w:rPr>
                <w:rFonts w:ascii="Arial" w:hAnsi="Arial" w:cs="Arial"/>
                <w:lang/>
              </w:rPr>
              <w:t>0</w:t>
            </w:r>
          </w:p>
        </w:tc>
        <w:tc>
          <w:tcPr>
            <w:tcW w:w="1458" w:type="dxa"/>
            <w:gridSpan w:val="3"/>
            <w:tcBorders>
              <w:top w:val="double" w:sz="4" w:space="0" w:color="auto"/>
              <w:bottom w:val="double" w:sz="4" w:space="0" w:color="auto"/>
            </w:tcBorders>
            <w:shd w:val="clear" w:color="auto" w:fill="FFFFFF" w:themeFill="background1"/>
            <w:vAlign w:val="center"/>
          </w:tcPr>
          <w:p w:rsidR="00C5132C" w:rsidRPr="00E329E3" w:rsidRDefault="001858E0" w:rsidP="001858E0">
            <w:pPr>
              <w:shd w:val="clear" w:color="auto" w:fill="FFFFFF" w:themeFill="background1"/>
              <w:jc w:val="center"/>
              <w:rPr>
                <w:rFonts w:ascii="Arial" w:hAnsi="Arial" w:cs="Arial"/>
                <w:lang/>
              </w:rPr>
            </w:pPr>
            <w:r>
              <w:rPr>
                <w:rFonts w:ascii="Arial" w:hAnsi="Arial" w:cs="Arial"/>
                <w:lang/>
              </w:rPr>
              <w:t>2019</w:t>
            </w:r>
          </w:p>
        </w:tc>
        <w:tc>
          <w:tcPr>
            <w:tcW w:w="1222" w:type="dxa"/>
            <w:gridSpan w:val="4"/>
            <w:tcBorders>
              <w:top w:val="double" w:sz="4" w:space="0" w:color="auto"/>
              <w:bottom w:val="double" w:sz="4" w:space="0" w:color="auto"/>
            </w:tcBorders>
            <w:shd w:val="clear" w:color="auto" w:fill="FFFFFF" w:themeFill="background1"/>
            <w:vAlign w:val="center"/>
          </w:tcPr>
          <w:p w:rsidR="00C5132C" w:rsidRPr="00E329E3" w:rsidRDefault="00C5132C" w:rsidP="001858E0">
            <w:pPr>
              <w:shd w:val="clear" w:color="auto" w:fill="FFFFFF" w:themeFill="background1"/>
              <w:jc w:val="center"/>
              <w:rPr>
                <w:rFonts w:ascii="Arial" w:hAnsi="Arial" w:cs="Arial"/>
                <w:lang/>
              </w:rPr>
            </w:pPr>
            <w:r>
              <w:rPr>
                <w:rFonts w:ascii="Arial" w:hAnsi="Arial" w:cs="Arial"/>
                <w:lang/>
              </w:rPr>
              <w:t>7%</w:t>
            </w:r>
          </w:p>
        </w:tc>
        <w:tc>
          <w:tcPr>
            <w:tcW w:w="1222" w:type="dxa"/>
            <w:gridSpan w:val="3"/>
            <w:tcBorders>
              <w:top w:val="double" w:sz="4" w:space="0" w:color="auto"/>
              <w:bottom w:val="double" w:sz="4" w:space="0" w:color="auto"/>
              <w:right w:val="single" w:sz="4" w:space="0" w:color="auto"/>
            </w:tcBorders>
            <w:shd w:val="clear" w:color="auto" w:fill="FFFFFF" w:themeFill="background1"/>
            <w:vAlign w:val="center"/>
          </w:tcPr>
          <w:p w:rsidR="00C5132C" w:rsidRPr="00E329E3" w:rsidRDefault="00C5132C" w:rsidP="001858E0">
            <w:pPr>
              <w:shd w:val="clear" w:color="auto" w:fill="FFFFFF" w:themeFill="background1"/>
              <w:jc w:val="center"/>
              <w:rPr>
                <w:rFonts w:ascii="Arial" w:hAnsi="Arial" w:cs="Arial"/>
                <w:lang/>
              </w:rPr>
            </w:pPr>
            <w:r>
              <w:rPr>
                <w:rFonts w:ascii="Arial" w:hAnsi="Arial" w:cs="Arial"/>
                <w:lang/>
              </w:rPr>
              <w:t>15%</w:t>
            </w:r>
          </w:p>
        </w:tc>
        <w:tc>
          <w:tcPr>
            <w:tcW w:w="1221" w:type="dxa"/>
            <w:gridSpan w:val="2"/>
            <w:tcBorders>
              <w:top w:val="double" w:sz="4" w:space="0" w:color="auto"/>
              <w:bottom w:val="double" w:sz="4" w:space="0" w:color="auto"/>
              <w:right w:val="single" w:sz="4" w:space="0" w:color="auto"/>
            </w:tcBorders>
            <w:shd w:val="clear" w:color="auto" w:fill="FFFFFF" w:themeFill="background1"/>
            <w:vAlign w:val="center"/>
          </w:tcPr>
          <w:p w:rsidR="00C5132C" w:rsidRPr="00E329E3" w:rsidRDefault="00C5132C" w:rsidP="001858E0">
            <w:pPr>
              <w:shd w:val="clear" w:color="auto" w:fill="FFFFFF" w:themeFill="background1"/>
              <w:jc w:val="center"/>
              <w:rPr>
                <w:rFonts w:ascii="Arial" w:hAnsi="Arial" w:cs="Arial"/>
                <w:lang/>
              </w:rPr>
            </w:pPr>
            <w:r>
              <w:rPr>
                <w:rFonts w:ascii="Arial" w:hAnsi="Arial" w:cs="Arial"/>
                <w:lang/>
              </w:rPr>
              <w:t>20%</w:t>
            </w:r>
          </w:p>
        </w:tc>
        <w:tc>
          <w:tcPr>
            <w:tcW w:w="1226" w:type="dxa"/>
            <w:gridSpan w:val="4"/>
            <w:tcBorders>
              <w:top w:val="double" w:sz="4" w:space="0" w:color="auto"/>
              <w:bottom w:val="double" w:sz="4" w:space="0" w:color="auto"/>
              <w:right w:val="single" w:sz="4" w:space="0" w:color="auto"/>
            </w:tcBorders>
            <w:shd w:val="clear" w:color="auto" w:fill="FFFFFF" w:themeFill="background1"/>
            <w:vAlign w:val="center"/>
          </w:tcPr>
          <w:p w:rsidR="00C5132C" w:rsidRPr="00E329E3" w:rsidRDefault="00C5132C" w:rsidP="001858E0">
            <w:pPr>
              <w:shd w:val="clear" w:color="auto" w:fill="FFFFFF" w:themeFill="background1"/>
              <w:jc w:val="center"/>
              <w:rPr>
                <w:rFonts w:ascii="Arial" w:hAnsi="Arial" w:cs="Arial"/>
                <w:lang/>
              </w:rPr>
            </w:pPr>
            <w:r>
              <w:rPr>
                <w:rFonts w:ascii="Arial" w:hAnsi="Arial" w:cs="Arial"/>
                <w:lang/>
              </w:rPr>
              <w:t>25%</w:t>
            </w:r>
          </w:p>
        </w:tc>
        <w:tc>
          <w:tcPr>
            <w:tcW w:w="1223" w:type="dxa"/>
            <w:gridSpan w:val="2"/>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C5132C" w:rsidRPr="00E329E3" w:rsidRDefault="00C5132C" w:rsidP="001858E0">
            <w:pPr>
              <w:shd w:val="clear" w:color="auto" w:fill="FFFFFF" w:themeFill="background1"/>
              <w:jc w:val="center"/>
              <w:rPr>
                <w:rFonts w:ascii="Arial" w:hAnsi="Arial" w:cs="Arial"/>
                <w:lang/>
              </w:rPr>
            </w:pPr>
            <w:r>
              <w:rPr>
                <w:rFonts w:ascii="Arial" w:hAnsi="Arial" w:cs="Arial"/>
                <w:lang/>
              </w:rPr>
              <w:t>60%</w:t>
            </w:r>
          </w:p>
        </w:tc>
      </w:tr>
      <w:tr w:rsidR="00C5132C" w:rsidRPr="00E329E3"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C5132C" w:rsidRDefault="00C5132C" w:rsidP="001858E0">
            <w:pPr>
              <w:shd w:val="clear" w:color="auto" w:fill="FFFFFF" w:themeFill="background1"/>
              <w:rPr>
                <w:rFonts w:ascii="Arial" w:hAnsi="Arial" w:cs="Arial"/>
                <w:lang/>
              </w:rPr>
            </w:pPr>
            <w:r>
              <w:rPr>
                <w:rFonts w:ascii="Arial" w:hAnsi="Arial" w:cs="Arial"/>
                <w:lang/>
              </w:rPr>
              <w:t>Креиран јединствени календар манифестација и културних програма на територији града Сомбора</w:t>
            </w:r>
          </w:p>
        </w:tc>
        <w:tc>
          <w:tcPr>
            <w:tcW w:w="1463" w:type="dxa"/>
            <w:gridSpan w:val="5"/>
            <w:tcBorders>
              <w:top w:val="doub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Pr>
                <w:rFonts w:ascii="Arial" w:hAnsi="Arial" w:cs="Arial"/>
                <w:lang/>
              </w:rPr>
              <w:t>0 – не</w:t>
            </w:r>
          </w:p>
          <w:p w:rsidR="00C5132C" w:rsidRDefault="00C5132C" w:rsidP="001858E0">
            <w:pPr>
              <w:shd w:val="clear" w:color="auto" w:fill="FFFFFF" w:themeFill="background1"/>
              <w:jc w:val="center"/>
              <w:rPr>
                <w:rFonts w:ascii="Arial" w:hAnsi="Arial" w:cs="Arial"/>
                <w:lang/>
              </w:rPr>
            </w:pPr>
            <w:r>
              <w:rPr>
                <w:rFonts w:ascii="Arial" w:hAnsi="Arial" w:cs="Arial"/>
                <w:lang/>
              </w:rPr>
              <w:t>1 - да</w:t>
            </w:r>
          </w:p>
        </w:tc>
        <w:tc>
          <w:tcPr>
            <w:tcW w:w="1460" w:type="dxa"/>
            <w:gridSpan w:val="4"/>
            <w:tcBorders>
              <w:top w:val="double" w:sz="4" w:space="0" w:color="auto"/>
            </w:tcBorders>
            <w:shd w:val="clear" w:color="auto" w:fill="FFFFFF" w:themeFill="background1"/>
            <w:vAlign w:val="center"/>
          </w:tcPr>
          <w:p w:rsidR="00C5132C" w:rsidRPr="00BF0A4F" w:rsidRDefault="00C5132C" w:rsidP="001858E0">
            <w:pPr>
              <w:shd w:val="clear" w:color="auto" w:fill="FFFFFF" w:themeFill="background1"/>
              <w:jc w:val="center"/>
              <w:rPr>
                <w:rFonts w:ascii="Arial" w:hAnsi="Arial" w:cs="Arial"/>
                <w:lang/>
              </w:rPr>
            </w:pPr>
            <w:r>
              <w:rPr>
                <w:rFonts w:ascii="Arial" w:hAnsi="Arial" w:cs="Arial"/>
                <w:lang/>
              </w:rPr>
              <w:t>Извештај ГУ Сомбор</w:t>
            </w:r>
          </w:p>
        </w:tc>
        <w:tc>
          <w:tcPr>
            <w:tcW w:w="1459" w:type="dxa"/>
            <w:gridSpan w:val="3"/>
            <w:tcBorders>
              <w:top w:val="doub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sidRPr="00D03014">
              <w:rPr>
                <w:rFonts w:ascii="Arial" w:hAnsi="Arial" w:cs="Arial"/>
              </w:rPr>
              <w:t>0</w:t>
            </w:r>
          </w:p>
        </w:tc>
        <w:tc>
          <w:tcPr>
            <w:tcW w:w="1458" w:type="dxa"/>
            <w:gridSpan w:val="3"/>
            <w:tcBorders>
              <w:top w:val="double" w:sz="4" w:space="0" w:color="auto"/>
            </w:tcBorders>
            <w:shd w:val="clear" w:color="auto" w:fill="FFFFFF" w:themeFill="background1"/>
            <w:vAlign w:val="center"/>
          </w:tcPr>
          <w:p w:rsidR="00C5132C" w:rsidRDefault="001858E0" w:rsidP="001858E0">
            <w:pPr>
              <w:shd w:val="clear" w:color="auto" w:fill="FFFFFF" w:themeFill="background1"/>
              <w:jc w:val="center"/>
              <w:rPr>
                <w:rFonts w:ascii="Arial" w:hAnsi="Arial" w:cs="Arial"/>
                <w:lang/>
              </w:rPr>
            </w:pPr>
            <w:r>
              <w:rPr>
                <w:rFonts w:ascii="Arial" w:hAnsi="Arial" w:cs="Arial"/>
              </w:rPr>
              <w:t>2019</w:t>
            </w:r>
          </w:p>
        </w:tc>
        <w:tc>
          <w:tcPr>
            <w:tcW w:w="1222" w:type="dxa"/>
            <w:gridSpan w:val="4"/>
            <w:tcBorders>
              <w:top w:val="double" w:sz="4" w:space="0" w:color="auto"/>
            </w:tcBorders>
            <w:shd w:val="clear" w:color="auto" w:fill="FFFFFF" w:themeFill="background1"/>
            <w:vAlign w:val="center"/>
          </w:tcPr>
          <w:p w:rsidR="00C5132C" w:rsidRPr="007E3D01" w:rsidRDefault="00C5132C" w:rsidP="001858E0">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sidRPr="00D03014">
              <w:rPr>
                <w:rFonts w:ascii="Arial" w:hAnsi="Arial" w:cs="Arial"/>
              </w:rPr>
              <w:t>1</w:t>
            </w:r>
          </w:p>
        </w:tc>
        <w:tc>
          <w:tcPr>
            <w:tcW w:w="1221" w:type="dxa"/>
            <w:gridSpan w:val="2"/>
            <w:tcBorders>
              <w:top w:val="double" w:sz="4" w:space="0" w:color="auto"/>
              <w:right w:val="sing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sidRPr="00D03014">
              <w:rPr>
                <w:rFonts w:ascii="Arial" w:hAnsi="Arial" w:cs="Arial"/>
              </w:rPr>
              <w:t>1</w:t>
            </w:r>
          </w:p>
        </w:tc>
        <w:tc>
          <w:tcPr>
            <w:tcW w:w="1226" w:type="dxa"/>
            <w:gridSpan w:val="4"/>
            <w:tcBorders>
              <w:top w:val="double" w:sz="4" w:space="0" w:color="auto"/>
              <w:right w:val="sing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sidRPr="00D03014">
              <w:rPr>
                <w:rFonts w:ascii="Arial" w:hAnsi="Arial" w:cs="Arial"/>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C5132C" w:rsidRDefault="00C5132C" w:rsidP="001858E0">
            <w:pPr>
              <w:shd w:val="clear" w:color="auto" w:fill="FFFFFF" w:themeFill="background1"/>
              <w:jc w:val="center"/>
              <w:rPr>
                <w:rFonts w:ascii="Arial" w:hAnsi="Arial" w:cs="Arial"/>
                <w:lang/>
              </w:rPr>
            </w:pPr>
            <w:r w:rsidRPr="00D03014">
              <w:rPr>
                <w:rFonts w:ascii="Arial" w:hAnsi="Arial" w:cs="Arial"/>
              </w:rPr>
              <w:t>1</w:t>
            </w:r>
          </w:p>
        </w:tc>
      </w:tr>
      <w:tr w:rsidR="00C5132C"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C5132C" w:rsidRPr="00D03014" w:rsidRDefault="00C5132C" w:rsidP="001858E0">
            <w:pPr>
              <w:rPr>
                <w:rFonts w:ascii="Arial" w:hAnsi="Arial" w:cs="Arial"/>
              </w:rPr>
            </w:pPr>
            <w:r w:rsidRPr="00D03014">
              <w:rPr>
                <w:rFonts w:ascii="Arial" w:hAnsi="Arial" w:cs="Arial"/>
                <w:b/>
                <w:sz w:val="24"/>
                <w:szCs w:val="24"/>
              </w:rPr>
              <w:t xml:space="preserve">Мера 1.1: Унапређење система управљања и координације у области културе </w:t>
            </w:r>
          </w:p>
        </w:tc>
      </w:tr>
      <w:tr w:rsidR="00C5132C" w:rsidRPr="00367057"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5132C" w:rsidRPr="00367057" w:rsidRDefault="00C5132C" w:rsidP="001858E0">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t xml:space="preserve"> </w:t>
            </w:r>
            <w:r>
              <w:rPr>
                <w:rFonts w:ascii="Arial" w:eastAsia="Times New Roman" w:hAnsi="Arial" w:cs="Arial"/>
                <w:color w:val="222222"/>
              </w:rPr>
              <w:t>Градска управа Сомбор</w:t>
            </w:r>
          </w:p>
        </w:tc>
      </w:tr>
      <w:tr w:rsidR="00C5132C"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5132C" w:rsidRPr="001858E0" w:rsidRDefault="00C5132C" w:rsidP="001858E0">
            <w:pPr>
              <w:rPr>
                <w:rFonts w:ascii="Arial" w:hAnsi="Arial" w:cs="Arial"/>
                <w:lang/>
              </w:rPr>
            </w:pPr>
            <w:r w:rsidRPr="00D03014">
              <w:rPr>
                <w:rFonts w:ascii="Arial" w:hAnsi="Arial" w:cs="Arial"/>
              </w:rPr>
              <w:t>Период спровођења:</w:t>
            </w:r>
            <w:r>
              <w:rPr>
                <w:rFonts w:ascii="Arial" w:hAnsi="Arial" w:cs="Arial"/>
                <w:lang/>
              </w:rPr>
              <w:t xml:space="preserve"> 2021-202</w:t>
            </w:r>
            <w:r w:rsidR="001858E0">
              <w:rPr>
                <w:rFonts w:ascii="Arial" w:hAnsi="Arial" w:cs="Arial"/>
                <w:lang/>
              </w:rPr>
              <w:t>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C5132C" w:rsidRPr="001858E0" w:rsidRDefault="00C5132C" w:rsidP="001858E0">
            <w:pPr>
              <w:rPr>
                <w:rFonts w:ascii="Arial" w:hAnsi="Arial" w:cs="Arial"/>
                <w:lang/>
              </w:rPr>
            </w:pPr>
            <w:r w:rsidRPr="00D03014">
              <w:rPr>
                <w:rFonts w:ascii="Arial" w:hAnsi="Arial" w:cs="Arial"/>
              </w:rPr>
              <w:t>Тип мере:</w:t>
            </w:r>
            <w:r w:rsidR="001858E0">
              <w:rPr>
                <w:rFonts w:ascii="Arial" w:hAnsi="Arial" w:cs="Arial"/>
              </w:rPr>
              <w:t xml:space="preserve"> </w:t>
            </w:r>
            <w:r w:rsidR="001858E0">
              <w:rPr>
                <w:rFonts w:ascii="Arial" w:hAnsi="Arial" w:cs="Arial"/>
                <w:lang/>
              </w:rPr>
              <w:t>и</w:t>
            </w:r>
            <w:r w:rsidR="001858E0" w:rsidRPr="001858E0">
              <w:rPr>
                <w:rFonts w:ascii="Arial" w:hAnsi="Arial" w:cs="Arial"/>
                <w:lang/>
              </w:rPr>
              <w:t>нституц</w:t>
            </w:r>
            <w:r w:rsidR="001858E0">
              <w:rPr>
                <w:rFonts w:ascii="Arial" w:hAnsi="Arial" w:cs="Arial"/>
                <w:lang/>
              </w:rPr>
              <w:t>ионално управљачко организациона; подстицајна</w:t>
            </w:r>
          </w:p>
        </w:tc>
      </w:tr>
      <w:tr w:rsidR="00EF6F4E" w:rsidRPr="00D03014" w:rsidTr="00EF6F4E">
        <w:trPr>
          <w:trHeight w:val="400"/>
        </w:trPr>
        <w:tc>
          <w:tcPr>
            <w:tcW w:w="1878" w:type="dxa"/>
            <w:gridSpan w:val="2"/>
            <w:tcBorders>
              <w:top w:val="double" w:sz="4" w:space="0" w:color="auto"/>
              <w:left w:val="double" w:sz="4" w:space="0" w:color="auto"/>
              <w:bottom w:val="doub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C5132C" w:rsidRPr="00D03014" w:rsidTr="001858E0">
        <w:trPr>
          <w:trHeight w:val="400"/>
        </w:trPr>
        <w:tc>
          <w:tcPr>
            <w:tcW w:w="1878" w:type="dxa"/>
            <w:gridSpan w:val="2"/>
            <w:tcBorders>
              <w:top w:val="double" w:sz="4" w:space="0" w:color="auto"/>
              <w:left w:val="double" w:sz="4" w:space="0" w:color="auto"/>
              <w:bottom w:val="dashSmallGap" w:sz="4" w:space="0" w:color="auto"/>
            </w:tcBorders>
            <w:shd w:val="clear" w:color="auto" w:fill="FFFFFF" w:themeFill="background1"/>
            <w:vAlign w:val="center"/>
          </w:tcPr>
          <w:p w:rsidR="00C5132C" w:rsidRPr="00CA0C9A" w:rsidRDefault="00C5132C" w:rsidP="001858E0">
            <w:pPr>
              <w:shd w:val="clear" w:color="auto" w:fill="FFFFFF" w:themeFill="background1"/>
              <w:rPr>
                <w:rFonts w:ascii="Arial" w:hAnsi="Arial" w:cs="Arial"/>
                <w:lang/>
              </w:rPr>
            </w:pPr>
            <w:r>
              <w:rPr>
                <w:rFonts w:ascii="Arial" w:hAnsi="Arial" w:cs="Arial"/>
                <w:lang/>
              </w:rPr>
              <w:t>Донет Меморандум о сарадњи између установа образовања и културе на територији града Сомбора</w:t>
            </w:r>
          </w:p>
        </w:tc>
        <w:tc>
          <w:tcPr>
            <w:tcW w:w="1463" w:type="dxa"/>
            <w:gridSpan w:val="5"/>
            <w:tcBorders>
              <w:top w:val="double" w:sz="4" w:space="0" w:color="auto"/>
              <w:bottom w:val="dashSmallGap" w:sz="4" w:space="0" w:color="auto"/>
            </w:tcBorders>
            <w:shd w:val="clear" w:color="auto" w:fill="FFFFFF" w:themeFill="background1"/>
            <w:vAlign w:val="center"/>
          </w:tcPr>
          <w:p w:rsidR="00C5132C" w:rsidRPr="00CA0C9A" w:rsidRDefault="00C5132C" w:rsidP="001858E0">
            <w:pPr>
              <w:shd w:val="clear" w:color="auto" w:fill="FFFFFF" w:themeFill="background1"/>
              <w:jc w:val="center"/>
              <w:rPr>
                <w:rFonts w:ascii="Arial" w:hAnsi="Arial" w:cs="Arial"/>
              </w:rPr>
            </w:pPr>
            <w:r w:rsidRPr="00CA0C9A">
              <w:rPr>
                <w:rFonts w:ascii="Arial" w:hAnsi="Arial" w:cs="Arial"/>
              </w:rPr>
              <w:t>0 – не</w:t>
            </w:r>
          </w:p>
          <w:p w:rsidR="00C5132C" w:rsidRPr="00D03014" w:rsidRDefault="00C5132C" w:rsidP="001858E0">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ouble" w:sz="4" w:space="0" w:color="auto"/>
              <w:bottom w:val="dashSmallGap"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5202A9">
              <w:rPr>
                <w:rFonts w:ascii="Arial" w:hAnsi="Arial" w:cs="Arial"/>
              </w:rPr>
              <w:t>Службени лист града Сомбора</w:t>
            </w:r>
          </w:p>
        </w:tc>
        <w:tc>
          <w:tcPr>
            <w:tcW w:w="1459" w:type="dxa"/>
            <w:gridSpan w:val="3"/>
            <w:tcBorders>
              <w:top w:val="double" w:sz="4" w:space="0" w:color="auto"/>
              <w:bottom w:val="dashSmallGap"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ouble" w:sz="4" w:space="0" w:color="auto"/>
              <w:bottom w:val="dashSmallGap" w:sz="4" w:space="0" w:color="auto"/>
            </w:tcBorders>
            <w:shd w:val="clear" w:color="auto" w:fill="FFFFFF" w:themeFill="background1"/>
            <w:vAlign w:val="center"/>
          </w:tcPr>
          <w:p w:rsidR="00C5132C" w:rsidRPr="00D03014" w:rsidRDefault="00735A65" w:rsidP="00735A65">
            <w:pPr>
              <w:shd w:val="clear" w:color="auto" w:fill="FFFFFF" w:themeFill="background1"/>
              <w:jc w:val="center"/>
              <w:rPr>
                <w:rFonts w:ascii="Arial" w:hAnsi="Arial" w:cs="Arial"/>
              </w:rPr>
            </w:pPr>
            <w:r>
              <w:rPr>
                <w:rFonts w:ascii="Arial" w:hAnsi="Arial" w:cs="Arial"/>
              </w:rPr>
              <w:t>2019</w:t>
            </w:r>
          </w:p>
        </w:tc>
        <w:tc>
          <w:tcPr>
            <w:tcW w:w="1222" w:type="dxa"/>
            <w:gridSpan w:val="4"/>
            <w:tcBorders>
              <w:top w:val="double" w:sz="4" w:space="0" w:color="auto"/>
              <w:bottom w:val="dashSmallGap"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2" w:type="dxa"/>
            <w:gridSpan w:val="3"/>
            <w:tcBorders>
              <w:top w:val="double" w:sz="4" w:space="0" w:color="auto"/>
              <w:bottom w:val="dashSmallGap"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1" w:type="dxa"/>
            <w:gridSpan w:val="2"/>
            <w:tcBorders>
              <w:top w:val="double" w:sz="4" w:space="0" w:color="auto"/>
              <w:bottom w:val="dashSmallGap"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ouble" w:sz="4" w:space="0" w:color="auto"/>
              <w:bottom w:val="dashSmallGap"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ouble" w:sz="4" w:space="0" w:color="auto"/>
              <w:left w:val="single" w:sz="4" w:space="0" w:color="auto"/>
              <w:bottom w:val="dashSmallGap" w:sz="4" w:space="0" w:color="auto"/>
              <w:right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r>
      <w:tr w:rsidR="00C5132C" w:rsidRPr="00D03014" w:rsidTr="001858E0">
        <w:trPr>
          <w:trHeight w:val="400"/>
        </w:trPr>
        <w:tc>
          <w:tcPr>
            <w:tcW w:w="1878" w:type="dxa"/>
            <w:gridSpan w:val="2"/>
            <w:tcBorders>
              <w:top w:val="dashSmallGap" w:sz="4" w:space="0" w:color="auto"/>
              <w:left w:val="double" w:sz="4" w:space="0" w:color="auto"/>
              <w:bottom w:val="dashSmallGap" w:sz="4" w:space="0" w:color="auto"/>
            </w:tcBorders>
            <w:shd w:val="clear" w:color="auto" w:fill="FFFFFF" w:themeFill="background1"/>
            <w:vAlign w:val="center"/>
          </w:tcPr>
          <w:p w:rsidR="00C5132C" w:rsidRPr="00CA0C9A" w:rsidRDefault="00C5132C" w:rsidP="001858E0">
            <w:pPr>
              <w:shd w:val="clear" w:color="auto" w:fill="FFFFFF" w:themeFill="background1"/>
              <w:rPr>
                <w:rFonts w:ascii="Arial" w:hAnsi="Arial" w:cs="Arial"/>
                <w:lang/>
              </w:rPr>
            </w:pPr>
            <w:r>
              <w:rPr>
                <w:rFonts w:ascii="Arial" w:hAnsi="Arial" w:cs="Arial"/>
                <w:lang/>
              </w:rPr>
              <w:t xml:space="preserve">Донета Одлука о плаћању пореза и </w:t>
            </w:r>
            <w:r>
              <w:rPr>
                <w:rFonts w:ascii="Arial" w:hAnsi="Arial" w:cs="Arial"/>
                <w:lang/>
              </w:rPr>
              <w:lastRenderedPageBreak/>
              <w:t>доприноса самосталним уметницима и стручњацима у култури на територији града Сомбора</w:t>
            </w:r>
          </w:p>
        </w:tc>
        <w:tc>
          <w:tcPr>
            <w:tcW w:w="1463" w:type="dxa"/>
            <w:gridSpan w:val="5"/>
            <w:tcBorders>
              <w:top w:val="dashSmallGap" w:sz="4" w:space="0" w:color="auto"/>
              <w:bottom w:val="dashSmallGap" w:sz="4" w:space="0" w:color="auto"/>
            </w:tcBorders>
            <w:shd w:val="clear" w:color="auto" w:fill="FFFFFF" w:themeFill="background1"/>
            <w:vAlign w:val="center"/>
          </w:tcPr>
          <w:p w:rsidR="00C5132C" w:rsidRPr="00CA0C9A" w:rsidRDefault="00C5132C" w:rsidP="001858E0">
            <w:pPr>
              <w:shd w:val="clear" w:color="auto" w:fill="FFFFFF" w:themeFill="background1"/>
              <w:jc w:val="center"/>
              <w:rPr>
                <w:rFonts w:ascii="Arial" w:hAnsi="Arial" w:cs="Arial"/>
              </w:rPr>
            </w:pPr>
            <w:r w:rsidRPr="00CA0C9A">
              <w:rPr>
                <w:rFonts w:ascii="Arial" w:hAnsi="Arial" w:cs="Arial"/>
              </w:rPr>
              <w:lastRenderedPageBreak/>
              <w:t>0 – не</w:t>
            </w:r>
          </w:p>
          <w:p w:rsidR="00C5132C" w:rsidRPr="00D03014" w:rsidRDefault="00C5132C" w:rsidP="001858E0">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ashSmallGap" w:sz="4" w:space="0" w:color="auto"/>
              <w:bottom w:val="dashSmallGap"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5202A9">
              <w:rPr>
                <w:rFonts w:ascii="Arial" w:hAnsi="Arial" w:cs="Arial"/>
              </w:rPr>
              <w:t>Службени лист града Сомбора</w:t>
            </w:r>
          </w:p>
        </w:tc>
        <w:tc>
          <w:tcPr>
            <w:tcW w:w="1459" w:type="dxa"/>
            <w:gridSpan w:val="3"/>
            <w:tcBorders>
              <w:top w:val="dashSmallGap" w:sz="4" w:space="0" w:color="auto"/>
              <w:bottom w:val="dashSmallGap"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ashSmallGap" w:sz="4" w:space="0" w:color="auto"/>
              <w:bottom w:val="dashSmallGap" w:sz="4" w:space="0" w:color="auto"/>
            </w:tcBorders>
            <w:shd w:val="clear" w:color="auto" w:fill="FFFFFF" w:themeFill="background1"/>
            <w:vAlign w:val="center"/>
          </w:tcPr>
          <w:p w:rsidR="00C5132C" w:rsidRPr="00D03014" w:rsidRDefault="00735A65" w:rsidP="001858E0">
            <w:pPr>
              <w:shd w:val="clear" w:color="auto" w:fill="FFFFFF" w:themeFill="background1"/>
              <w:jc w:val="center"/>
              <w:rPr>
                <w:rFonts w:ascii="Arial" w:hAnsi="Arial" w:cs="Arial"/>
              </w:rPr>
            </w:pPr>
            <w:r>
              <w:rPr>
                <w:rFonts w:ascii="Arial" w:hAnsi="Arial" w:cs="Arial"/>
              </w:rPr>
              <w:t>2019</w:t>
            </w:r>
          </w:p>
        </w:tc>
        <w:tc>
          <w:tcPr>
            <w:tcW w:w="1222" w:type="dxa"/>
            <w:gridSpan w:val="4"/>
            <w:tcBorders>
              <w:top w:val="dashSmallGap" w:sz="4" w:space="0" w:color="auto"/>
              <w:bottom w:val="dashSmallGap" w:sz="4" w:space="0" w:color="auto"/>
            </w:tcBorders>
            <w:shd w:val="clear" w:color="auto" w:fill="FFFFFF" w:themeFill="background1"/>
            <w:vAlign w:val="center"/>
          </w:tcPr>
          <w:p w:rsidR="00C5132C" w:rsidRPr="00CA0C9A" w:rsidRDefault="00C5132C" w:rsidP="001858E0">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ashSmallGap" w:sz="4" w:space="0" w:color="auto"/>
              <w:bottom w:val="dashSmallGap"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1" w:type="dxa"/>
            <w:gridSpan w:val="2"/>
            <w:tcBorders>
              <w:top w:val="dashSmallGap" w:sz="4" w:space="0" w:color="auto"/>
              <w:bottom w:val="dashSmallGap"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ashSmallGap" w:sz="4" w:space="0" w:color="auto"/>
              <w:bottom w:val="dashSmallGap" w:sz="4" w:space="0" w:color="auto"/>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r>
      <w:tr w:rsidR="00C5132C" w:rsidRPr="00D03014" w:rsidTr="001858E0">
        <w:trPr>
          <w:trHeight w:val="400"/>
        </w:trPr>
        <w:tc>
          <w:tcPr>
            <w:tcW w:w="1878" w:type="dxa"/>
            <w:gridSpan w:val="2"/>
            <w:tcBorders>
              <w:top w:val="dashSmallGap" w:sz="4" w:space="0" w:color="auto"/>
              <w:left w:val="double" w:sz="4" w:space="0" w:color="auto"/>
              <w:bottom w:val="nil"/>
            </w:tcBorders>
            <w:shd w:val="clear" w:color="auto" w:fill="FFFFFF" w:themeFill="background1"/>
            <w:vAlign w:val="center"/>
          </w:tcPr>
          <w:p w:rsidR="00C5132C" w:rsidRDefault="00C5132C" w:rsidP="001858E0">
            <w:pPr>
              <w:shd w:val="clear" w:color="auto" w:fill="FFFFFF" w:themeFill="background1"/>
              <w:rPr>
                <w:rFonts w:ascii="Arial" w:hAnsi="Arial" w:cs="Arial"/>
                <w:lang/>
              </w:rPr>
            </w:pPr>
            <w:r>
              <w:rPr>
                <w:rFonts w:ascii="Arial" w:hAnsi="Arial" w:cs="Arial"/>
                <w:lang/>
              </w:rPr>
              <w:lastRenderedPageBreak/>
              <w:t>Донета Одлука о моделу начина уступања атељеа ликовним уметницима на територији града Сомбора</w:t>
            </w:r>
          </w:p>
        </w:tc>
        <w:tc>
          <w:tcPr>
            <w:tcW w:w="1463" w:type="dxa"/>
            <w:gridSpan w:val="5"/>
            <w:tcBorders>
              <w:top w:val="dashSmallGap" w:sz="4" w:space="0" w:color="auto"/>
              <w:bottom w:val="nil"/>
            </w:tcBorders>
            <w:shd w:val="clear" w:color="auto" w:fill="FFFFFF" w:themeFill="background1"/>
            <w:vAlign w:val="center"/>
          </w:tcPr>
          <w:p w:rsidR="00C5132C" w:rsidRPr="00CA0C9A" w:rsidRDefault="00C5132C" w:rsidP="001858E0">
            <w:pPr>
              <w:shd w:val="clear" w:color="auto" w:fill="FFFFFF" w:themeFill="background1"/>
              <w:jc w:val="center"/>
              <w:rPr>
                <w:rFonts w:ascii="Arial" w:hAnsi="Arial" w:cs="Arial"/>
              </w:rPr>
            </w:pPr>
            <w:r w:rsidRPr="00CA0C9A">
              <w:rPr>
                <w:rFonts w:ascii="Arial" w:hAnsi="Arial" w:cs="Arial"/>
              </w:rPr>
              <w:t>0 – не</w:t>
            </w:r>
          </w:p>
          <w:p w:rsidR="00C5132C" w:rsidRPr="00CA0C9A" w:rsidRDefault="00C5132C" w:rsidP="001858E0">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ashSmallGap" w:sz="4" w:space="0" w:color="auto"/>
              <w:bottom w:val="nil"/>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5202A9">
              <w:rPr>
                <w:rFonts w:ascii="Arial" w:hAnsi="Arial" w:cs="Arial"/>
              </w:rPr>
              <w:t>Службени лист града Сомбора</w:t>
            </w:r>
          </w:p>
        </w:tc>
        <w:tc>
          <w:tcPr>
            <w:tcW w:w="1459" w:type="dxa"/>
            <w:gridSpan w:val="3"/>
            <w:tcBorders>
              <w:top w:val="dashSmallGap" w:sz="4" w:space="0" w:color="auto"/>
              <w:bottom w:val="nil"/>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ashSmallGap" w:sz="4" w:space="0" w:color="auto"/>
              <w:bottom w:val="nil"/>
            </w:tcBorders>
            <w:shd w:val="clear" w:color="auto" w:fill="FFFFFF" w:themeFill="background1"/>
            <w:vAlign w:val="center"/>
          </w:tcPr>
          <w:p w:rsidR="00C5132C" w:rsidRPr="00D03014" w:rsidRDefault="00F07120" w:rsidP="00F07120">
            <w:pPr>
              <w:shd w:val="clear" w:color="auto" w:fill="FFFFFF" w:themeFill="background1"/>
              <w:jc w:val="center"/>
              <w:rPr>
                <w:rFonts w:ascii="Arial" w:hAnsi="Arial" w:cs="Arial"/>
              </w:rPr>
            </w:pPr>
            <w:r>
              <w:rPr>
                <w:rFonts w:ascii="Arial" w:hAnsi="Arial" w:cs="Arial"/>
              </w:rPr>
              <w:t>2019</w:t>
            </w:r>
          </w:p>
        </w:tc>
        <w:tc>
          <w:tcPr>
            <w:tcW w:w="1222" w:type="dxa"/>
            <w:gridSpan w:val="4"/>
            <w:tcBorders>
              <w:top w:val="dashSmallGap" w:sz="4" w:space="0" w:color="auto"/>
              <w:bottom w:val="nil"/>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Pr>
                <w:rFonts w:ascii="Arial" w:hAnsi="Arial" w:cs="Arial"/>
                <w:lang/>
              </w:rPr>
              <w:t>0</w:t>
            </w:r>
          </w:p>
        </w:tc>
        <w:tc>
          <w:tcPr>
            <w:tcW w:w="1222" w:type="dxa"/>
            <w:gridSpan w:val="3"/>
            <w:tcBorders>
              <w:top w:val="dashSmallGap" w:sz="4" w:space="0" w:color="auto"/>
              <w:bottom w:val="nil"/>
              <w:right w:val="single" w:sz="4" w:space="0" w:color="auto"/>
            </w:tcBorders>
            <w:shd w:val="clear" w:color="auto" w:fill="FFFFFF" w:themeFill="background1"/>
            <w:vAlign w:val="center"/>
          </w:tcPr>
          <w:p w:rsidR="00C5132C" w:rsidRPr="00CA0C9A" w:rsidRDefault="00C5132C" w:rsidP="001858E0">
            <w:pPr>
              <w:shd w:val="clear" w:color="auto" w:fill="FFFFFF" w:themeFill="background1"/>
              <w:jc w:val="center"/>
              <w:rPr>
                <w:rFonts w:ascii="Arial" w:hAnsi="Arial" w:cs="Arial"/>
                <w:lang/>
              </w:rPr>
            </w:pPr>
            <w:r>
              <w:rPr>
                <w:rFonts w:ascii="Arial" w:hAnsi="Arial" w:cs="Arial"/>
                <w:lang/>
              </w:rPr>
              <w:t>0</w:t>
            </w:r>
          </w:p>
        </w:tc>
        <w:tc>
          <w:tcPr>
            <w:tcW w:w="1221" w:type="dxa"/>
            <w:gridSpan w:val="2"/>
            <w:tcBorders>
              <w:top w:val="dashSmallGap" w:sz="4" w:space="0" w:color="auto"/>
              <w:bottom w:val="nil"/>
              <w:right w:val="single" w:sz="4" w:space="0" w:color="auto"/>
            </w:tcBorders>
            <w:shd w:val="clear" w:color="auto" w:fill="FFFFFF" w:themeFill="background1"/>
            <w:vAlign w:val="center"/>
          </w:tcPr>
          <w:p w:rsidR="00C5132C" w:rsidRPr="00CA0C9A" w:rsidRDefault="00C5132C" w:rsidP="001858E0">
            <w:pPr>
              <w:shd w:val="clear" w:color="auto" w:fill="FFFFFF" w:themeFill="background1"/>
              <w:jc w:val="center"/>
              <w:rPr>
                <w:rFonts w:ascii="Arial" w:hAnsi="Arial" w:cs="Arial"/>
                <w:lang/>
              </w:rPr>
            </w:pPr>
            <w:r>
              <w:rPr>
                <w:rFonts w:ascii="Arial" w:hAnsi="Arial" w:cs="Arial"/>
                <w:lang/>
              </w:rPr>
              <w:t>0</w:t>
            </w:r>
          </w:p>
        </w:tc>
        <w:tc>
          <w:tcPr>
            <w:tcW w:w="1226" w:type="dxa"/>
            <w:gridSpan w:val="4"/>
            <w:tcBorders>
              <w:top w:val="dashSmallGap" w:sz="4" w:space="0" w:color="auto"/>
              <w:bottom w:val="nil"/>
              <w:right w:val="sing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ashSmallGap" w:sz="4" w:space="0" w:color="auto"/>
              <w:left w:val="single" w:sz="4" w:space="0" w:color="auto"/>
              <w:bottom w:val="nil"/>
              <w:right w:val="double" w:sz="4" w:space="0" w:color="auto"/>
            </w:tcBorders>
            <w:shd w:val="clear" w:color="auto" w:fill="FFFFFF" w:themeFill="background1"/>
            <w:vAlign w:val="center"/>
          </w:tcPr>
          <w:p w:rsidR="00C5132C" w:rsidRPr="00D03014" w:rsidRDefault="00C5132C" w:rsidP="001858E0">
            <w:pPr>
              <w:shd w:val="clear" w:color="auto" w:fill="FFFFFF" w:themeFill="background1"/>
              <w:jc w:val="center"/>
              <w:rPr>
                <w:rFonts w:ascii="Arial" w:hAnsi="Arial" w:cs="Arial"/>
              </w:rPr>
            </w:pPr>
            <w:r w:rsidRPr="00D03014">
              <w:rPr>
                <w:rFonts w:ascii="Arial" w:hAnsi="Arial" w:cs="Arial"/>
              </w:rPr>
              <w:t>1</w:t>
            </w:r>
          </w:p>
        </w:tc>
      </w:tr>
      <w:tr w:rsidR="00C5132C" w:rsidRPr="00D03014" w:rsidTr="001858E0">
        <w:trPr>
          <w:trHeight w:val="398"/>
        </w:trPr>
        <w:tc>
          <w:tcPr>
            <w:tcW w:w="2531" w:type="dxa"/>
            <w:gridSpan w:val="5"/>
            <w:vMerge w:val="restart"/>
            <w:tcBorders>
              <w:left w:val="double" w:sz="4" w:space="0" w:color="auto"/>
              <w:bottom w:val="double" w:sz="4" w:space="0" w:color="auto"/>
              <w:right w:val="double" w:sz="4" w:space="0" w:color="auto"/>
            </w:tcBorders>
            <w:shd w:val="clear" w:color="auto" w:fill="A8D08D" w:themeFill="accent6" w:themeFillTint="99"/>
            <w:vAlign w:val="center"/>
          </w:tcPr>
          <w:p w:rsidR="00C5132C" w:rsidRPr="00D03014" w:rsidRDefault="00C5132C" w:rsidP="001858E0">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43"/>
            </w:r>
          </w:p>
        </w:tc>
        <w:tc>
          <w:tcPr>
            <w:tcW w:w="2145" w:type="dxa"/>
            <w:gridSpan w:val="5"/>
            <w:vMerge w:val="restart"/>
            <w:tcBorders>
              <w:left w:val="double" w:sz="4" w:space="0" w:color="auto"/>
              <w:right w:val="double" w:sz="4" w:space="0" w:color="auto"/>
            </w:tcBorders>
            <w:shd w:val="clear" w:color="auto" w:fill="A8D08D" w:themeFill="accent6" w:themeFillTint="99"/>
            <w:vAlign w:val="center"/>
          </w:tcPr>
          <w:p w:rsidR="00C5132C" w:rsidRPr="00D03014" w:rsidRDefault="00C5132C" w:rsidP="001858E0">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44"/>
            </w:r>
          </w:p>
        </w:tc>
        <w:tc>
          <w:tcPr>
            <w:tcW w:w="9156" w:type="dxa"/>
            <w:gridSpan w:val="22"/>
            <w:tcBorders>
              <w:left w:val="double" w:sz="4" w:space="0" w:color="auto"/>
              <w:right w:val="double" w:sz="4" w:space="0" w:color="auto"/>
            </w:tcBorders>
            <w:shd w:val="clear" w:color="auto" w:fill="A8D08D" w:themeFill="accent6" w:themeFillTint="99"/>
            <w:vAlign w:val="center"/>
          </w:tcPr>
          <w:p w:rsidR="00C5132C" w:rsidRPr="00D03014" w:rsidRDefault="00C5132C" w:rsidP="00F61C95">
            <w:pPr>
              <w:jc w:val="center"/>
              <w:rPr>
                <w:rFonts w:ascii="Arial" w:hAnsi="Arial" w:cs="Arial"/>
              </w:rPr>
            </w:pPr>
            <w:r w:rsidRPr="00D03014">
              <w:rPr>
                <w:rFonts w:ascii="Arial" w:hAnsi="Arial" w:cs="Arial"/>
              </w:rPr>
              <w:t xml:space="preserve"> Укупна процењена финансијска средства у дин.</w:t>
            </w:r>
          </w:p>
        </w:tc>
      </w:tr>
      <w:tr w:rsidR="00EF6F4E"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т+4</w:t>
            </w:r>
          </w:p>
        </w:tc>
      </w:tr>
      <w:tr w:rsidR="00DE7094" w:rsidRPr="00D03014" w:rsidTr="00DE7094">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DE7094" w:rsidRPr="00D2040D" w:rsidRDefault="00DE7094" w:rsidP="00DE7094">
            <w:pPr>
              <w:jc w:val="center"/>
              <w:rPr>
                <w:rFonts w:ascii="Arial" w:hAnsi="Arial" w:cs="Arial"/>
                <w:lang/>
              </w:rPr>
            </w:pPr>
            <w:r w:rsidRPr="00D2040D">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DE7094" w:rsidRPr="00D03014" w:rsidRDefault="00DE7094" w:rsidP="00DE709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DE7094" w:rsidRPr="001858E0" w:rsidRDefault="00DE7094" w:rsidP="00DE7094">
            <w:pPr>
              <w:jc w:val="center"/>
              <w:rPr>
                <w:rFonts w:ascii="Arial" w:hAnsi="Arial" w:cs="Arial"/>
                <w:lang/>
              </w:rPr>
            </w:pPr>
            <w:r>
              <w:rPr>
                <w:rFonts w:ascii="Arial" w:hAnsi="Arial" w:cs="Arial"/>
                <w:lang/>
              </w:rPr>
              <w:t>50.400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DE7094" w:rsidRPr="00D03014" w:rsidRDefault="00DE7094" w:rsidP="00DE7094">
            <w:pPr>
              <w:jc w:val="center"/>
              <w:rPr>
                <w:rFonts w:ascii="Arial" w:hAnsi="Arial" w:cs="Arial"/>
              </w:rPr>
            </w:pPr>
            <w:r>
              <w:rPr>
                <w:rFonts w:ascii="Arial" w:hAnsi="Arial" w:cs="Arial"/>
              </w:rPr>
              <w:t>374.400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DE7094" w:rsidRPr="00D03014" w:rsidRDefault="00DE7094" w:rsidP="00DE7094">
            <w:pPr>
              <w:jc w:val="center"/>
              <w:rPr>
                <w:rFonts w:ascii="Arial" w:hAnsi="Arial" w:cs="Arial"/>
              </w:rPr>
            </w:pPr>
            <w:r>
              <w:rPr>
                <w:rFonts w:ascii="Arial" w:hAnsi="Arial" w:cs="Arial"/>
                <w:lang/>
              </w:rPr>
              <w:t>590.400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DE7094" w:rsidRPr="00D03014" w:rsidRDefault="00DE7094" w:rsidP="00DE7094">
            <w:pPr>
              <w:jc w:val="center"/>
              <w:rPr>
                <w:rFonts w:ascii="Arial" w:hAnsi="Arial" w:cs="Arial"/>
              </w:rPr>
            </w:pPr>
            <w:r>
              <w:rPr>
                <w:rFonts w:ascii="Arial" w:hAnsi="Arial" w:cs="Arial"/>
                <w:lang/>
              </w:rPr>
              <w:t>806.400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DE7094" w:rsidRPr="00D03014" w:rsidRDefault="00DE7094" w:rsidP="00DE7094">
            <w:pPr>
              <w:jc w:val="center"/>
              <w:rPr>
                <w:rFonts w:ascii="Arial" w:hAnsi="Arial" w:cs="Arial"/>
              </w:rPr>
            </w:pPr>
            <w:r>
              <w:rPr>
                <w:rFonts w:ascii="Arial" w:hAnsi="Arial" w:cs="Arial"/>
                <w:lang/>
              </w:rPr>
              <w:t>806.400</w:t>
            </w:r>
          </w:p>
        </w:tc>
      </w:tr>
      <w:tr w:rsidR="00C5132C"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C5132C" w:rsidRPr="00DE7094" w:rsidRDefault="00DE7094" w:rsidP="001858E0">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C5132C" w:rsidRPr="00D03014" w:rsidRDefault="00C5132C" w:rsidP="001858E0">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C5132C" w:rsidRPr="00D03014" w:rsidRDefault="00DE7094" w:rsidP="001858E0">
            <w:pPr>
              <w:jc w:val="center"/>
              <w:rPr>
                <w:rFonts w:ascii="Arial" w:hAnsi="Arial" w:cs="Arial"/>
              </w:rPr>
            </w:pPr>
            <w:r>
              <w:rPr>
                <w:rFonts w:ascii="Arial" w:hAnsi="Arial" w:cs="Arial"/>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C5132C" w:rsidRPr="00D03014" w:rsidRDefault="00DE7094" w:rsidP="001858E0">
            <w:pPr>
              <w:jc w:val="center"/>
              <w:rPr>
                <w:rFonts w:ascii="Arial" w:hAnsi="Arial" w:cs="Arial"/>
              </w:rPr>
            </w:pPr>
            <w:r>
              <w:rPr>
                <w:rFonts w:ascii="Arial" w:hAnsi="Arial" w:cs="Arial"/>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C5132C" w:rsidRPr="00D03014" w:rsidRDefault="00DE7094" w:rsidP="001858E0">
            <w:pPr>
              <w:jc w:val="center"/>
              <w:rPr>
                <w:rFonts w:ascii="Arial" w:hAnsi="Arial" w:cs="Arial"/>
              </w:rPr>
            </w:pPr>
            <w:r>
              <w:rPr>
                <w:rFonts w:ascii="Arial" w:hAnsi="Arial" w:cs="Arial"/>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C5132C" w:rsidRPr="00D03014" w:rsidRDefault="00DE7094" w:rsidP="001858E0">
            <w:pPr>
              <w:jc w:val="center"/>
              <w:rPr>
                <w:rFonts w:ascii="Arial" w:hAnsi="Arial" w:cs="Arial"/>
              </w:rPr>
            </w:pPr>
            <w:r>
              <w:rPr>
                <w:rFonts w:ascii="Arial" w:hAnsi="Arial" w:cs="Arial"/>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C5132C" w:rsidRPr="00D03014" w:rsidRDefault="00DE7094" w:rsidP="001858E0">
            <w:pPr>
              <w:jc w:val="center"/>
              <w:rPr>
                <w:rFonts w:ascii="Arial" w:hAnsi="Arial" w:cs="Arial"/>
              </w:rPr>
            </w:pPr>
            <w:r>
              <w:rPr>
                <w:rFonts w:ascii="Arial" w:hAnsi="Arial" w:cs="Arial"/>
              </w:rPr>
              <w:t>/</w:t>
            </w:r>
          </w:p>
        </w:tc>
      </w:tr>
      <w:tr w:rsidR="00C5132C" w:rsidRPr="00D03014"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C5132C" w:rsidRPr="009F2563" w:rsidRDefault="00C5132C" w:rsidP="001858E0">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C5132C" w:rsidRPr="009F2563" w:rsidRDefault="00C5132C" w:rsidP="001858E0">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C5132C" w:rsidRPr="009F2563" w:rsidRDefault="00C5132C" w:rsidP="001858E0">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45"/>
            </w:r>
          </w:p>
        </w:tc>
        <w:tc>
          <w:tcPr>
            <w:tcW w:w="1269" w:type="dxa"/>
            <w:gridSpan w:val="3"/>
            <w:vMerge w:val="restart"/>
            <w:tcBorders>
              <w:top w:val="double" w:sz="4" w:space="0" w:color="auto"/>
            </w:tcBorders>
            <w:shd w:val="clear" w:color="auto" w:fill="FFF2CC" w:themeFill="accent4" w:themeFillTint="33"/>
            <w:vAlign w:val="center"/>
          </w:tcPr>
          <w:p w:rsidR="00C5132C" w:rsidRPr="009F2563" w:rsidRDefault="00C5132C" w:rsidP="001858E0">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46"/>
            </w:r>
          </w:p>
        </w:tc>
        <w:tc>
          <w:tcPr>
            <w:tcW w:w="5727" w:type="dxa"/>
            <w:gridSpan w:val="13"/>
            <w:tcBorders>
              <w:top w:val="double" w:sz="4" w:space="0" w:color="auto"/>
              <w:right w:val="double" w:sz="4" w:space="0" w:color="auto"/>
            </w:tcBorders>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Укупна процењена финанси</w:t>
            </w:r>
            <w:r w:rsidR="00EF6F4E">
              <w:rPr>
                <w:rFonts w:ascii="Arial" w:hAnsi="Arial" w:cs="Arial"/>
                <w:sz w:val="20"/>
                <w:szCs w:val="20"/>
              </w:rPr>
              <w:t xml:space="preserve">јска средства по изворима у </w:t>
            </w:r>
            <w:r w:rsidRPr="009F2563">
              <w:rPr>
                <w:rFonts w:ascii="Arial" w:hAnsi="Arial" w:cs="Arial"/>
                <w:sz w:val="20"/>
                <w:szCs w:val="20"/>
              </w:rPr>
              <w:t>дин.</w:t>
            </w:r>
            <w:r w:rsidRPr="009F2563">
              <w:rPr>
                <w:rFonts w:ascii="Arial" w:hAnsi="Arial" w:cs="Arial"/>
                <w:sz w:val="20"/>
                <w:szCs w:val="20"/>
                <w:vertAlign w:val="superscript"/>
              </w:rPr>
              <w:footnoteReference w:id="47"/>
            </w:r>
          </w:p>
        </w:tc>
      </w:tr>
      <w:tr w:rsidR="00C5132C" w:rsidRPr="00D03014" w:rsidTr="001858E0">
        <w:trPr>
          <w:trHeight w:val="386"/>
        </w:trPr>
        <w:tc>
          <w:tcPr>
            <w:tcW w:w="1725" w:type="dxa"/>
            <w:vMerge/>
            <w:tcBorders>
              <w:left w:val="double" w:sz="4" w:space="0" w:color="auto"/>
            </w:tcBorders>
            <w:shd w:val="clear" w:color="auto" w:fill="FFF2CC" w:themeFill="accent4" w:themeFillTint="33"/>
            <w:vAlign w:val="center"/>
          </w:tcPr>
          <w:p w:rsidR="00C5132C" w:rsidRPr="009F2563" w:rsidRDefault="00C5132C" w:rsidP="001858E0">
            <w:pPr>
              <w:rPr>
                <w:rFonts w:ascii="Arial" w:hAnsi="Arial" w:cs="Arial"/>
                <w:sz w:val="20"/>
                <w:szCs w:val="20"/>
              </w:rPr>
            </w:pPr>
          </w:p>
        </w:tc>
        <w:tc>
          <w:tcPr>
            <w:tcW w:w="1301" w:type="dxa"/>
            <w:gridSpan w:val="5"/>
            <w:vMerge/>
            <w:shd w:val="clear" w:color="auto" w:fill="FFF2CC" w:themeFill="accent4" w:themeFillTint="33"/>
            <w:vAlign w:val="center"/>
          </w:tcPr>
          <w:p w:rsidR="00C5132C" w:rsidRPr="009F2563" w:rsidRDefault="00C5132C" w:rsidP="001858E0">
            <w:pPr>
              <w:rPr>
                <w:rFonts w:ascii="Arial" w:hAnsi="Arial" w:cs="Arial"/>
                <w:sz w:val="20"/>
                <w:szCs w:val="20"/>
              </w:rPr>
            </w:pPr>
          </w:p>
        </w:tc>
        <w:tc>
          <w:tcPr>
            <w:tcW w:w="1487" w:type="dxa"/>
            <w:gridSpan w:val="3"/>
            <w:vMerge/>
            <w:shd w:val="clear" w:color="auto" w:fill="FFF2CC" w:themeFill="accent4" w:themeFillTint="33"/>
            <w:vAlign w:val="center"/>
          </w:tcPr>
          <w:p w:rsidR="00C5132C" w:rsidRPr="009F2563" w:rsidRDefault="00C5132C" w:rsidP="001858E0">
            <w:pPr>
              <w:rPr>
                <w:rFonts w:ascii="Arial" w:hAnsi="Arial" w:cs="Arial"/>
                <w:sz w:val="20"/>
                <w:szCs w:val="20"/>
              </w:rPr>
            </w:pPr>
          </w:p>
        </w:tc>
        <w:tc>
          <w:tcPr>
            <w:tcW w:w="1284" w:type="dxa"/>
            <w:gridSpan w:val="3"/>
            <w:vMerge/>
            <w:shd w:val="clear" w:color="auto" w:fill="FFF2CC" w:themeFill="accent4" w:themeFillTint="33"/>
            <w:vAlign w:val="center"/>
          </w:tcPr>
          <w:p w:rsidR="00C5132C" w:rsidRPr="009F2563" w:rsidRDefault="00C5132C" w:rsidP="001858E0">
            <w:pPr>
              <w:jc w:val="center"/>
              <w:rPr>
                <w:rFonts w:ascii="Arial" w:hAnsi="Arial" w:cs="Arial"/>
                <w:sz w:val="20"/>
                <w:szCs w:val="20"/>
              </w:rPr>
            </w:pPr>
          </w:p>
        </w:tc>
        <w:tc>
          <w:tcPr>
            <w:tcW w:w="1039" w:type="dxa"/>
            <w:gridSpan w:val="4"/>
            <w:vMerge/>
            <w:shd w:val="clear" w:color="auto" w:fill="FFF2CC" w:themeFill="accent4" w:themeFillTint="33"/>
            <w:vAlign w:val="center"/>
          </w:tcPr>
          <w:p w:rsidR="00C5132C" w:rsidRPr="009F2563" w:rsidRDefault="00C5132C" w:rsidP="001858E0">
            <w:pPr>
              <w:jc w:val="center"/>
              <w:rPr>
                <w:rFonts w:ascii="Arial" w:hAnsi="Arial" w:cs="Arial"/>
                <w:sz w:val="20"/>
                <w:szCs w:val="20"/>
              </w:rPr>
            </w:pPr>
          </w:p>
        </w:tc>
        <w:tc>
          <w:tcPr>
            <w:tcW w:w="1269" w:type="dxa"/>
            <w:gridSpan w:val="3"/>
            <w:vMerge/>
            <w:shd w:val="clear" w:color="auto" w:fill="FFF2CC" w:themeFill="accent4" w:themeFillTint="33"/>
            <w:vAlign w:val="center"/>
          </w:tcPr>
          <w:p w:rsidR="00C5132C" w:rsidRPr="009F2563" w:rsidRDefault="00C5132C" w:rsidP="001858E0">
            <w:pPr>
              <w:jc w:val="center"/>
              <w:rPr>
                <w:rFonts w:ascii="Arial" w:hAnsi="Arial" w:cs="Arial"/>
                <w:sz w:val="20"/>
                <w:szCs w:val="20"/>
              </w:rPr>
            </w:pPr>
          </w:p>
        </w:tc>
        <w:tc>
          <w:tcPr>
            <w:tcW w:w="1145" w:type="dxa"/>
            <w:gridSpan w:val="3"/>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C5132C" w:rsidRPr="009F2563" w:rsidRDefault="00C5132C" w:rsidP="001858E0">
            <w:pPr>
              <w:jc w:val="center"/>
              <w:rPr>
                <w:rFonts w:ascii="Arial" w:hAnsi="Arial" w:cs="Arial"/>
                <w:sz w:val="20"/>
                <w:szCs w:val="20"/>
              </w:rPr>
            </w:pPr>
            <w:r w:rsidRPr="009F2563">
              <w:rPr>
                <w:rFonts w:ascii="Arial" w:hAnsi="Arial" w:cs="Arial"/>
                <w:sz w:val="20"/>
                <w:szCs w:val="20"/>
              </w:rPr>
              <w:t>2025</w:t>
            </w:r>
          </w:p>
        </w:tc>
      </w:tr>
      <w:tr w:rsidR="00370BA4" w:rsidRPr="00D03014" w:rsidTr="00DE7094">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1.1.1.</w:t>
            </w:r>
          </w:p>
          <w:p w:rsidR="00370BA4" w:rsidRPr="00D03014" w:rsidRDefault="00370BA4" w:rsidP="00370BA4">
            <w:r w:rsidRPr="00D03014">
              <w:t>Оснивање Савета за културу на нивоу града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D03014" w:rsidRDefault="00370BA4" w:rsidP="00370BA4">
            <w:pPr>
              <w:jc w:val="right"/>
            </w:pPr>
            <w:r>
              <w:t>2021</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DE7094" w:rsidRDefault="00370BA4" w:rsidP="00370BA4">
            <w:pPr>
              <w:jc w:val="right"/>
            </w:pPr>
            <w:r w:rsidRPr="00DE7094">
              <w:t>25.200</w:t>
            </w:r>
          </w:p>
        </w:tc>
        <w:tc>
          <w:tcPr>
            <w:tcW w:w="1145" w:type="dxa"/>
            <w:gridSpan w:val="3"/>
            <w:shd w:val="clear" w:color="auto" w:fill="auto"/>
            <w:vAlign w:val="center"/>
          </w:tcPr>
          <w:p w:rsidR="00370BA4" w:rsidRPr="00DE7094" w:rsidRDefault="00370BA4" w:rsidP="00370BA4">
            <w:pPr>
              <w:jc w:val="right"/>
            </w:pPr>
            <w:r w:rsidRPr="00DE7094">
              <w:t>25.200</w:t>
            </w:r>
          </w:p>
        </w:tc>
        <w:tc>
          <w:tcPr>
            <w:tcW w:w="1146" w:type="dxa"/>
            <w:gridSpan w:val="2"/>
            <w:tcBorders>
              <w:right w:val="single" w:sz="4" w:space="0" w:color="auto"/>
            </w:tcBorders>
            <w:shd w:val="clear" w:color="auto" w:fill="auto"/>
            <w:vAlign w:val="center"/>
          </w:tcPr>
          <w:p w:rsidR="00370BA4" w:rsidRPr="00DE7094" w:rsidRDefault="00370BA4" w:rsidP="00370BA4">
            <w:pPr>
              <w:jc w:val="right"/>
            </w:pPr>
            <w:r w:rsidRPr="00DE7094">
              <w:t>25.200</w:t>
            </w:r>
          </w:p>
        </w:tc>
        <w:tc>
          <w:tcPr>
            <w:tcW w:w="1145" w:type="dxa"/>
            <w:gridSpan w:val="4"/>
            <w:tcBorders>
              <w:left w:val="single" w:sz="4" w:space="0" w:color="auto"/>
              <w:right w:val="single" w:sz="4" w:space="0" w:color="auto"/>
            </w:tcBorders>
            <w:shd w:val="clear" w:color="auto" w:fill="auto"/>
            <w:vAlign w:val="center"/>
          </w:tcPr>
          <w:p w:rsidR="00370BA4" w:rsidRPr="00DE7094" w:rsidRDefault="00370BA4" w:rsidP="00370BA4">
            <w:pPr>
              <w:jc w:val="right"/>
            </w:pPr>
            <w:r w:rsidRPr="00DE7094">
              <w:t>25.200</w:t>
            </w:r>
          </w:p>
        </w:tc>
        <w:tc>
          <w:tcPr>
            <w:tcW w:w="1146" w:type="dxa"/>
            <w:tcBorders>
              <w:left w:val="single" w:sz="4" w:space="0" w:color="auto"/>
              <w:right w:val="double" w:sz="4" w:space="0" w:color="auto"/>
            </w:tcBorders>
            <w:shd w:val="clear" w:color="auto" w:fill="auto"/>
            <w:vAlign w:val="center"/>
          </w:tcPr>
          <w:p w:rsidR="00370BA4" w:rsidRPr="00DE7094" w:rsidRDefault="00370BA4" w:rsidP="00370BA4">
            <w:pPr>
              <w:jc w:val="right"/>
            </w:pPr>
            <w:r w:rsidRPr="00DE7094">
              <w:t>25.200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lastRenderedPageBreak/>
              <w:t>1.1.2.</w:t>
            </w:r>
          </w:p>
          <w:p w:rsidR="00370BA4" w:rsidRPr="00D03014" w:rsidRDefault="00370BA4" w:rsidP="00370BA4">
            <w:r w:rsidRPr="00D03014">
              <w:t>Доношење Меморандума о сарадњи између установа образовања и културе</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установе образовања</w:t>
            </w:r>
          </w:p>
          <w:p w:rsidR="00370BA4" w:rsidRPr="00D03014" w:rsidRDefault="00370BA4" w:rsidP="00370BA4">
            <w:r w:rsidRPr="00D03014">
              <w:t>установе културе</w:t>
            </w:r>
          </w:p>
        </w:tc>
        <w:tc>
          <w:tcPr>
            <w:tcW w:w="1284" w:type="dxa"/>
            <w:gridSpan w:val="3"/>
            <w:vAlign w:val="center"/>
          </w:tcPr>
          <w:p w:rsidR="00370BA4" w:rsidRPr="00D03014" w:rsidRDefault="00370BA4" w:rsidP="00370BA4">
            <w:pPr>
              <w:jc w:val="right"/>
            </w:pPr>
            <w:r>
              <w:t>2021</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DE7094" w:rsidRDefault="00370BA4" w:rsidP="00370BA4">
            <w:pPr>
              <w:jc w:val="right"/>
            </w:pPr>
            <w:r w:rsidRPr="00DE7094">
              <w:t>0</w:t>
            </w:r>
          </w:p>
        </w:tc>
        <w:tc>
          <w:tcPr>
            <w:tcW w:w="1145" w:type="dxa"/>
            <w:gridSpan w:val="3"/>
            <w:shd w:val="clear" w:color="auto" w:fill="auto"/>
            <w:vAlign w:val="center"/>
          </w:tcPr>
          <w:p w:rsidR="00370BA4" w:rsidRPr="00DE7094" w:rsidRDefault="00370BA4" w:rsidP="00370BA4">
            <w:pPr>
              <w:jc w:val="right"/>
            </w:pPr>
            <w:r w:rsidRPr="00DE7094">
              <w:t>0</w:t>
            </w:r>
          </w:p>
        </w:tc>
        <w:tc>
          <w:tcPr>
            <w:tcW w:w="1146" w:type="dxa"/>
            <w:gridSpan w:val="2"/>
            <w:tcBorders>
              <w:right w:val="single" w:sz="4" w:space="0" w:color="auto"/>
            </w:tcBorders>
            <w:shd w:val="clear" w:color="auto" w:fill="auto"/>
            <w:vAlign w:val="center"/>
          </w:tcPr>
          <w:p w:rsidR="00370BA4" w:rsidRPr="00DE7094" w:rsidRDefault="00370BA4" w:rsidP="00370BA4">
            <w:pPr>
              <w:jc w:val="right"/>
            </w:pPr>
            <w:r w:rsidRPr="00DE7094">
              <w:t>0</w:t>
            </w:r>
          </w:p>
        </w:tc>
        <w:tc>
          <w:tcPr>
            <w:tcW w:w="1145" w:type="dxa"/>
            <w:gridSpan w:val="4"/>
            <w:tcBorders>
              <w:left w:val="single" w:sz="4" w:space="0" w:color="auto"/>
              <w:right w:val="single" w:sz="4" w:space="0" w:color="auto"/>
            </w:tcBorders>
            <w:shd w:val="clear" w:color="auto" w:fill="auto"/>
            <w:vAlign w:val="center"/>
          </w:tcPr>
          <w:p w:rsidR="00370BA4" w:rsidRPr="00DE7094" w:rsidRDefault="00370BA4" w:rsidP="00370BA4">
            <w:pPr>
              <w:jc w:val="right"/>
            </w:pPr>
            <w:r w:rsidRPr="00DE7094">
              <w:t>0</w:t>
            </w:r>
          </w:p>
        </w:tc>
        <w:tc>
          <w:tcPr>
            <w:tcW w:w="1146" w:type="dxa"/>
            <w:tcBorders>
              <w:left w:val="single" w:sz="4" w:space="0" w:color="auto"/>
              <w:right w:val="double" w:sz="4" w:space="0" w:color="auto"/>
            </w:tcBorders>
            <w:shd w:val="clear" w:color="auto" w:fill="auto"/>
            <w:vAlign w:val="center"/>
          </w:tcPr>
          <w:p w:rsidR="00370BA4" w:rsidRPr="00DE7094" w:rsidRDefault="00370BA4" w:rsidP="00370BA4">
            <w:pPr>
              <w:jc w:val="right"/>
            </w:pPr>
            <w:r w:rsidRPr="00DE7094">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 xml:space="preserve">1.1.3. </w:t>
            </w:r>
          </w:p>
          <w:p w:rsidR="00370BA4" w:rsidRPr="00D03014" w:rsidRDefault="00370BA4" w:rsidP="00370BA4">
            <w:r w:rsidRPr="00D03014">
              <w:t>Укључивање наставника у рад УО установа културе</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D03014" w:rsidRDefault="00370BA4" w:rsidP="00370BA4">
            <w:pPr>
              <w:jc w:val="right"/>
            </w:pPr>
            <w:r w:rsidRPr="00D03014">
              <w:t>2021</w:t>
            </w:r>
          </w:p>
        </w:tc>
        <w:tc>
          <w:tcPr>
            <w:tcW w:w="1039" w:type="dxa"/>
            <w:gridSpan w:val="4"/>
            <w:vAlign w:val="center"/>
          </w:tcPr>
          <w:p w:rsidR="00370BA4" w:rsidRPr="00D03014" w:rsidRDefault="00370BA4" w:rsidP="00370BA4">
            <w:pPr>
              <w:jc w:val="center"/>
            </w:pPr>
            <w:r w:rsidRPr="00D03014">
              <w:t>ГУ Сомбор</w:t>
            </w:r>
          </w:p>
        </w:tc>
        <w:tc>
          <w:tcPr>
            <w:tcW w:w="1269" w:type="dxa"/>
            <w:gridSpan w:val="3"/>
            <w:vAlign w:val="center"/>
          </w:tcPr>
          <w:p w:rsidR="00370BA4" w:rsidRPr="00DE7094" w:rsidRDefault="00370BA4" w:rsidP="00370BA4">
            <w:pPr>
              <w:jc w:val="right"/>
            </w:pPr>
          </w:p>
        </w:tc>
        <w:tc>
          <w:tcPr>
            <w:tcW w:w="1145" w:type="dxa"/>
            <w:gridSpan w:val="3"/>
            <w:shd w:val="clear" w:color="auto" w:fill="auto"/>
            <w:vAlign w:val="center"/>
          </w:tcPr>
          <w:p w:rsidR="00370BA4" w:rsidRPr="00DE7094" w:rsidRDefault="00370BA4" w:rsidP="00370BA4">
            <w:pPr>
              <w:jc w:val="right"/>
            </w:pPr>
            <w:r w:rsidRPr="00DE7094">
              <w:t>0</w:t>
            </w:r>
          </w:p>
        </w:tc>
        <w:tc>
          <w:tcPr>
            <w:tcW w:w="1145" w:type="dxa"/>
            <w:gridSpan w:val="3"/>
            <w:shd w:val="clear" w:color="auto" w:fill="auto"/>
            <w:vAlign w:val="center"/>
          </w:tcPr>
          <w:p w:rsidR="00370BA4" w:rsidRPr="00DE7094" w:rsidRDefault="00370BA4" w:rsidP="00370BA4">
            <w:pPr>
              <w:jc w:val="right"/>
            </w:pPr>
            <w:r w:rsidRPr="00DE7094">
              <w:t>0</w:t>
            </w:r>
          </w:p>
        </w:tc>
        <w:tc>
          <w:tcPr>
            <w:tcW w:w="1146" w:type="dxa"/>
            <w:gridSpan w:val="2"/>
            <w:tcBorders>
              <w:right w:val="single" w:sz="4" w:space="0" w:color="auto"/>
            </w:tcBorders>
            <w:shd w:val="clear" w:color="auto" w:fill="auto"/>
            <w:vAlign w:val="center"/>
          </w:tcPr>
          <w:p w:rsidR="00370BA4" w:rsidRPr="00DE7094" w:rsidRDefault="00370BA4" w:rsidP="00370BA4">
            <w:pPr>
              <w:jc w:val="right"/>
            </w:pPr>
            <w:r w:rsidRPr="00DE7094">
              <w:t>0</w:t>
            </w:r>
          </w:p>
        </w:tc>
        <w:tc>
          <w:tcPr>
            <w:tcW w:w="1145" w:type="dxa"/>
            <w:gridSpan w:val="4"/>
            <w:tcBorders>
              <w:left w:val="single" w:sz="4" w:space="0" w:color="auto"/>
              <w:right w:val="single" w:sz="4" w:space="0" w:color="auto"/>
            </w:tcBorders>
            <w:shd w:val="clear" w:color="auto" w:fill="auto"/>
            <w:vAlign w:val="center"/>
          </w:tcPr>
          <w:p w:rsidR="00370BA4" w:rsidRPr="00DE7094" w:rsidRDefault="00370BA4" w:rsidP="00370BA4">
            <w:pPr>
              <w:jc w:val="right"/>
            </w:pPr>
            <w:r w:rsidRPr="00DE7094">
              <w:t>0</w:t>
            </w:r>
          </w:p>
        </w:tc>
        <w:tc>
          <w:tcPr>
            <w:tcW w:w="1146" w:type="dxa"/>
            <w:tcBorders>
              <w:left w:val="single" w:sz="4" w:space="0" w:color="auto"/>
              <w:right w:val="double" w:sz="4" w:space="0" w:color="auto"/>
            </w:tcBorders>
            <w:shd w:val="clear" w:color="auto" w:fill="auto"/>
            <w:vAlign w:val="center"/>
          </w:tcPr>
          <w:p w:rsidR="00370BA4" w:rsidRPr="00DE7094" w:rsidRDefault="00370BA4" w:rsidP="00370BA4">
            <w:pPr>
              <w:jc w:val="right"/>
            </w:pPr>
            <w:r w:rsidRPr="00DE7094">
              <w:t>0</w:t>
            </w:r>
          </w:p>
        </w:tc>
      </w:tr>
      <w:tr w:rsidR="00370BA4" w:rsidRPr="00D03014" w:rsidTr="00DE7094">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E466C0" w:rsidRDefault="00370BA4" w:rsidP="00370BA4">
            <w:r w:rsidRPr="00E466C0">
              <w:t>1.1.4.</w:t>
            </w:r>
          </w:p>
          <w:p w:rsidR="00370BA4" w:rsidRPr="00E466C0" w:rsidRDefault="00370BA4" w:rsidP="00370BA4">
            <w:r w:rsidRPr="00E466C0">
              <w:t>Оснивање Савета аматера у култури на нивоу града</w:t>
            </w:r>
          </w:p>
        </w:tc>
        <w:tc>
          <w:tcPr>
            <w:tcW w:w="1301" w:type="dxa"/>
            <w:gridSpan w:val="5"/>
            <w:vAlign w:val="center"/>
          </w:tcPr>
          <w:p w:rsidR="00370BA4" w:rsidRPr="00E466C0" w:rsidRDefault="00370BA4" w:rsidP="00370BA4">
            <w:r w:rsidRPr="00E466C0">
              <w:t>ГУ Сомбор</w:t>
            </w:r>
          </w:p>
        </w:tc>
        <w:tc>
          <w:tcPr>
            <w:tcW w:w="1487" w:type="dxa"/>
            <w:gridSpan w:val="3"/>
            <w:vAlign w:val="center"/>
          </w:tcPr>
          <w:p w:rsidR="00370BA4" w:rsidRPr="00E466C0" w:rsidRDefault="00370BA4" w:rsidP="00370BA4">
            <w:r w:rsidRPr="00E466C0">
              <w:t>Културни центар „Лаза Костић“</w:t>
            </w:r>
          </w:p>
        </w:tc>
        <w:tc>
          <w:tcPr>
            <w:tcW w:w="1284" w:type="dxa"/>
            <w:gridSpan w:val="3"/>
            <w:vAlign w:val="center"/>
          </w:tcPr>
          <w:p w:rsidR="00370BA4" w:rsidRPr="00DE7094" w:rsidRDefault="00370BA4" w:rsidP="00370BA4">
            <w:pPr>
              <w:jc w:val="right"/>
              <w:rPr>
                <w:lang/>
              </w:rPr>
            </w:pPr>
            <w:r>
              <w:t>202</w:t>
            </w:r>
            <w:r>
              <w:rPr>
                <w:lang/>
              </w:rPr>
              <w:t>1</w:t>
            </w:r>
          </w:p>
        </w:tc>
        <w:tc>
          <w:tcPr>
            <w:tcW w:w="1039" w:type="dxa"/>
            <w:gridSpan w:val="4"/>
            <w:vAlign w:val="center"/>
          </w:tcPr>
          <w:p w:rsidR="00370BA4" w:rsidRPr="00E22DAD" w:rsidRDefault="00370BA4" w:rsidP="00370BA4">
            <w:pPr>
              <w:rPr>
                <w:strike/>
                <w:highlight w:val="yellow"/>
              </w:rPr>
            </w:pPr>
            <w:r w:rsidRPr="00D03014">
              <w:t>ГУ Сомбор</w:t>
            </w:r>
          </w:p>
        </w:tc>
        <w:tc>
          <w:tcPr>
            <w:tcW w:w="1269" w:type="dxa"/>
            <w:gridSpan w:val="3"/>
            <w:shd w:val="clear" w:color="auto" w:fill="auto"/>
            <w:vAlign w:val="center"/>
          </w:tcPr>
          <w:p w:rsidR="00370BA4" w:rsidRPr="00DE7094" w:rsidRDefault="00370BA4" w:rsidP="00370BA4">
            <w:pPr>
              <w:jc w:val="right"/>
            </w:pPr>
          </w:p>
        </w:tc>
        <w:tc>
          <w:tcPr>
            <w:tcW w:w="1145" w:type="dxa"/>
            <w:gridSpan w:val="3"/>
            <w:shd w:val="clear" w:color="auto" w:fill="auto"/>
            <w:vAlign w:val="center"/>
          </w:tcPr>
          <w:p w:rsidR="00370BA4" w:rsidRPr="00DE7094" w:rsidRDefault="00370BA4" w:rsidP="00370BA4">
            <w:pPr>
              <w:jc w:val="right"/>
            </w:pPr>
            <w:r w:rsidRPr="00DE7094">
              <w:t>25.200</w:t>
            </w:r>
          </w:p>
        </w:tc>
        <w:tc>
          <w:tcPr>
            <w:tcW w:w="1145" w:type="dxa"/>
            <w:gridSpan w:val="3"/>
            <w:shd w:val="clear" w:color="auto" w:fill="auto"/>
            <w:vAlign w:val="center"/>
          </w:tcPr>
          <w:p w:rsidR="00370BA4" w:rsidRPr="00DE7094" w:rsidRDefault="00370BA4" w:rsidP="00370BA4">
            <w:pPr>
              <w:jc w:val="right"/>
            </w:pPr>
            <w:r w:rsidRPr="00DE7094">
              <w:t>25.200</w:t>
            </w:r>
          </w:p>
        </w:tc>
        <w:tc>
          <w:tcPr>
            <w:tcW w:w="1146" w:type="dxa"/>
            <w:gridSpan w:val="2"/>
            <w:tcBorders>
              <w:right w:val="single" w:sz="4" w:space="0" w:color="auto"/>
            </w:tcBorders>
            <w:shd w:val="clear" w:color="auto" w:fill="auto"/>
            <w:vAlign w:val="center"/>
          </w:tcPr>
          <w:p w:rsidR="00370BA4" w:rsidRPr="00DE7094" w:rsidRDefault="00370BA4" w:rsidP="00370BA4">
            <w:pPr>
              <w:jc w:val="right"/>
            </w:pPr>
            <w:r w:rsidRPr="00DE7094">
              <w:t>25.200</w:t>
            </w:r>
          </w:p>
        </w:tc>
        <w:tc>
          <w:tcPr>
            <w:tcW w:w="1145" w:type="dxa"/>
            <w:gridSpan w:val="4"/>
            <w:tcBorders>
              <w:left w:val="single" w:sz="4" w:space="0" w:color="auto"/>
              <w:right w:val="single" w:sz="4" w:space="0" w:color="auto"/>
            </w:tcBorders>
            <w:shd w:val="clear" w:color="auto" w:fill="auto"/>
            <w:vAlign w:val="center"/>
          </w:tcPr>
          <w:p w:rsidR="00370BA4" w:rsidRPr="00DE7094" w:rsidRDefault="00370BA4" w:rsidP="00370BA4">
            <w:pPr>
              <w:jc w:val="right"/>
            </w:pPr>
            <w:r w:rsidRPr="00DE7094">
              <w:t>25.200</w:t>
            </w:r>
          </w:p>
        </w:tc>
        <w:tc>
          <w:tcPr>
            <w:tcW w:w="1146" w:type="dxa"/>
            <w:tcBorders>
              <w:left w:val="single" w:sz="4" w:space="0" w:color="auto"/>
              <w:right w:val="double" w:sz="4" w:space="0" w:color="auto"/>
            </w:tcBorders>
            <w:shd w:val="clear" w:color="auto" w:fill="auto"/>
            <w:vAlign w:val="center"/>
          </w:tcPr>
          <w:p w:rsidR="00370BA4" w:rsidRPr="00DE7094" w:rsidRDefault="00370BA4" w:rsidP="00370BA4">
            <w:pPr>
              <w:jc w:val="right"/>
            </w:pPr>
            <w:r w:rsidRPr="00DE7094">
              <w:t>25.200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1.1.5.</w:t>
            </w:r>
          </w:p>
          <w:p w:rsidR="00370BA4" w:rsidRPr="00D03014" w:rsidRDefault="00370BA4" w:rsidP="00370BA4">
            <w:r w:rsidRPr="00D03014">
              <w:t>Успостављање система редовних састанака надлежног члана градског већа и представника установа културе, уз присуство и цивилног сектора према потребама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D03014" w:rsidRDefault="00370BA4" w:rsidP="00370BA4">
            <w:pPr>
              <w:jc w:val="right"/>
            </w:pPr>
            <w:r>
              <w:t>2021</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E7094" w:rsidRDefault="00370BA4" w:rsidP="00370BA4">
            <w:pPr>
              <w:jc w:val="right"/>
            </w:pPr>
          </w:p>
        </w:tc>
        <w:tc>
          <w:tcPr>
            <w:tcW w:w="1145" w:type="dxa"/>
            <w:gridSpan w:val="3"/>
            <w:shd w:val="clear" w:color="auto" w:fill="auto"/>
            <w:vAlign w:val="center"/>
          </w:tcPr>
          <w:p w:rsidR="00370BA4" w:rsidRPr="00DE7094" w:rsidRDefault="00370BA4" w:rsidP="00370BA4">
            <w:pPr>
              <w:jc w:val="right"/>
            </w:pPr>
            <w:r w:rsidRPr="00DE7094">
              <w:t>0</w:t>
            </w:r>
          </w:p>
        </w:tc>
        <w:tc>
          <w:tcPr>
            <w:tcW w:w="1145" w:type="dxa"/>
            <w:gridSpan w:val="3"/>
            <w:shd w:val="clear" w:color="auto" w:fill="auto"/>
            <w:vAlign w:val="center"/>
          </w:tcPr>
          <w:p w:rsidR="00370BA4" w:rsidRPr="00DE7094" w:rsidRDefault="00370BA4" w:rsidP="00370BA4">
            <w:pPr>
              <w:jc w:val="right"/>
            </w:pPr>
            <w:r w:rsidRPr="00DE7094">
              <w:t>0</w:t>
            </w:r>
          </w:p>
        </w:tc>
        <w:tc>
          <w:tcPr>
            <w:tcW w:w="1146" w:type="dxa"/>
            <w:gridSpan w:val="2"/>
            <w:tcBorders>
              <w:right w:val="single" w:sz="4" w:space="0" w:color="auto"/>
            </w:tcBorders>
            <w:shd w:val="clear" w:color="auto" w:fill="auto"/>
            <w:vAlign w:val="center"/>
          </w:tcPr>
          <w:p w:rsidR="00370BA4" w:rsidRPr="00DE7094" w:rsidRDefault="00370BA4" w:rsidP="00370BA4">
            <w:pPr>
              <w:jc w:val="right"/>
            </w:pPr>
            <w:r w:rsidRPr="00DE7094">
              <w:t>0</w:t>
            </w:r>
          </w:p>
        </w:tc>
        <w:tc>
          <w:tcPr>
            <w:tcW w:w="1145" w:type="dxa"/>
            <w:gridSpan w:val="4"/>
            <w:tcBorders>
              <w:left w:val="single" w:sz="4" w:space="0" w:color="auto"/>
              <w:right w:val="single" w:sz="4" w:space="0" w:color="auto"/>
            </w:tcBorders>
            <w:shd w:val="clear" w:color="auto" w:fill="auto"/>
            <w:vAlign w:val="center"/>
          </w:tcPr>
          <w:p w:rsidR="00370BA4" w:rsidRPr="00DE7094" w:rsidRDefault="00370BA4" w:rsidP="00370BA4">
            <w:pPr>
              <w:jc w:val="right"/>
            </w:pPr>
            <w:r w:rsidRPr="00DE7094">
              <w:t>0</w:t>
            </w:r>
          </w:p>
        </w:tc>
        <w:tc>
          <w:tcPr>
            <w:tcW w:w="1146" w:type="dxa"/>
            <w:tcBorders>
              <w:left w:val="single" w:sz="4" w:space="0" w:color="auto"/>
              <w:right w:val="double" w:sz="4" w:space="0" w:color="auto"/>
            </w:tcBorders>
            <w:shd w:val="clear" w:color="auto" w:fill="auto"/>
            <w:vAlign w:val="center"/>
          </w:tcPr>
          <w:p w:rsidR="00370BA4" w:rsidRPr="00DE7094" w:rsidRDefault="00370BA4" w:rsidP="00370BA4">
            <w:pPr>
              <w:jc w:val="right"/>
            </w:pPr>
            <w:r w:rsidRPr="00DE7094">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1.1.6.</w:t>
            </w:r>
          </w:p>
          <w:p w:rsidR="00370BA4" w:rsidRPr="00D03014" w:rsidRDefault="00370BA4" w:rsidP="00370BA4">
            <w:r w:rsidRPr="00D03014">
              <w:t xml:space="preserve">Доношење и спровођење Одлуке о </w:t>
            </w:r>
            <w:r w:rsidRPr="00D03014">
              <w:lastRenderedPageBreak/>
              <w:t xml:space="preserve">плаћању пореза и доприноса самосталним уметницима и стручњацима у култури </w:t>
            </w:r>
          </w:p>
        </w:tc>
        <w:tc>
          <w:tcPr>
            <w:tcW w:w="1301" w:type="dxa"/>
            <w:gridSpan w:val="5"/>
            <w:vAlign w:val="center"/>
          </w:tcPr>
          <w:p w:rsidR="00370BA4" w:rsidRPr="00D03014" w:rsidRDefault="00370BA4" w:rsidP="00370BA4">
            <w:r w:rsidRPr="00D03014">
              <w:lastRenderedPageBreak/>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376E16" w:rsidRDefault="00370BA4" w:rsidP="00370BA4">
            <w:pPr>
              <w:jc w:val="right"/>
              <w:rPr>
                <w:lang/>
              </w:rPr>
            </w:pPr>
            <w:r w:rsidRPr="00D03014">
              <w:t>2021</w:t>
            </w:r>
            <w:r>
              <w:rPr>
                <w:lang/>
              </w:rPr>
              <w:t xml:space="preserve"> - 2025</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E7094" w:rsidRDefault="00370BA4" w:rsidP="00370BA4">
            <w:pPr>
              <w:jc w:val="right"/>
              <w:rPr>
                <w:lang/>
              </w:rPr>
            </w:pPr>
          </w:p>
        </w:tc>
        <w:tc>
          <w:tcPr>
            <w:tcW w:w="1145" w:type="dxa"/>
            <w:gridSpan w:val="3"/>
            <w:shd w:val="clear" w:color="auto" w:fill="auto"/>
            <w:vAlign w:val="center"/>
          </w:tcPr>
          <w:p w:rsidR="00370BA4" w:rsidRPr="00FA6EDB" w:rsidRDefault="00370BA4" w:rsidP="00370BA4">
            <w:pPr>
              <w:jc w:val="right"/>
            </w:pPr>
            <w:r w:rsidRPr="00FA6EDB">
              <w:t>0</w:t>
            </w:r>
          </w:p>
        </w:tc>
        <w:tc>
          <w:tcPr>
            <w:tcW w:w="1145" w:type="dxa"/>
            <w:gridSpan w:val="3"/>
            <w:shd w:val="clear" w:color="auto" w:fill="auto"/>
            <w:vAlign w:val="center"/>
          </w:tcPr>
          <w:p w:rsidR="00370BA4" w:rsidRPr="00FA6EDB" w:rsidRDefault="00370BA4" w:rsidP="00370BA4">
            <w:pPr>
              <w:jc w:val="right"/>
            </w:pPr>
            <w:r w:rsidRPr="00FA6EDB">
              <w:t>324.000</w:t>
            </w:r>
          </w:p>
        </w:tc>
        <w:tc>
          <w:tcPr>
            <w:tcW w:w="1146" w:type="dxa"/>
            <w:gridSpan w:val="2"/>
            <w:tcBorders>
              <w:right w:val="single" w:sz="4" w:space="0" w:color="auto"/>
            </w:tcBorders>
            <w:shd w:val="clear" w:color="auto" w:fill="auto"/>
            <w:vAlign w:val="center"/>
          </w:tcPr>
          <w:p w:rsidR="00370BA4" w:rsidRPr="00FA6EDB" w:rsidRDefault="00370BA4" w:rsidP="00370BA4">
            <w:pPr>
              <w:jc w:val="right"/>
            </w:pPr>
            <w:r w:rsidRPr="00FA6EDB">
              <w:t>540.000</w:t>
            </w:r>
          </w:p>
        </w:tc>
        <w:tc>
          <w:tcPr>
            <w:tcW w:w="1145" w:type="dxa"/>
            <w:gridSpan w:val="4"/>
            <w:tcBorders>
              <w:left w:val="single" w:sz="4" w:space="0" w:color="auto"/>
              <w:right w:val="single" w:sz="4" w:space="0" w:color="auto"/>
            </w:tcBorders>
            <w:shd w:val="clear" w:color="auto" w:fill="auto"/>
            <w:vAlign w:val="center"/>
          </w:tcPr>
          <w:p w:rsidR="00370BA4" w:rsidRPr="00FA6EDB" w:rsidRDefault="00370BA4" w:rsidP="00370BA4">
            <w:pPr>
              <w:jc w:val="right"/>
            </w:pPr>
            <w:r w:rsidRPr="00FA6EDB">
              <w:t>756.000</w:t>
            </w:r>
          </w:p>
        </w:tc>
        <w:tc>
          <w:tcPr>
            <w:tcW w:w="1146" w:type="dxa"/>
            <w:tcBorders>
              <w:left w:val="single" w:sz="4" w:space="0" w:color="auto"/>
              <w:right w:val="double" w:sz="4" w:space="0" w:color="auto"/>
            </w:tcBorders>
            <w:shd w:val="clear" w:color="auto" w:fill="auto"/>
            <w:vAlign w:val="center"/>
          </w:tcPr>
          <w:p w:rsidR="00370BA4" w:rsidRPr="00FA6EDB" w:rsidRDefault="00370BA4" w:rsidP="00370BA4">
            <w:pPr>
              <w:jc w:val="right"/>
            </w:pPr>
            <w:r w:rsidRPr="00FA6EDB">
              <w:t>756.000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lastRenderedPageBreak/>
              <w:t>1.1.7.</w:t>
            </w:r>
          </w:p>
          <w:p w:rsidR="00370BA4" w:rsidRPr="00D03014" w:rsidRDefault="00370BA4" w:rsidP="00370BA4">
            <w:r w:rsidRPr="00D03014">
              <w:t>Доношење одлуке о моделу и начину уступања атељеа локалним уметницима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tc>
        <w:tc>
          <w:tcPr>
            <w:tcW w:w="1284" w:type="dxa"/>
            <w:gridSpan w:val="3"/>
            <w:vAlign w:val="center"/>
          </w:tcPr>
          <w:p w:rsidR="00370BA4" w:rsidRPr="00D03014" w:rsidRDefault="00370BA4" w:rsidP="00370BA4">
            <w:pPr>
              <w:jc w:val="right"/>
            </w:pPr>
            <w:r>
              <w:t>2024</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FA6EDB" w:rsidRDefault="00370BA4" w:rsidP="00370BA4">
            <w:pPr>
              <w:jc w:val="right"/>
            </w:pPr>
            <w:r w:rsidRPr="00FA6EDB">
              <w:t>0</w:t>
            </w:r>
          </w:p>
        </w:tc>
        <w:tc>
          <w:tcPr>
            <w:tcW w:w="1145" w:type="dxa"/>
            <w:gridSpan w:val="3"/>
            <w:shd w:val="clear" w:color="auto" w:fill="auto"/>
            <w:vAlign w:val="center"/>
          </w:tcPr>
          <w:p w:rsidR="00370BA4" w:rsidRPr="00FA6EDB" w:rsidRDefault="00370BA4" w:rsidP="00370BA4">
            <w:pPr>
              <w:jc w:val="right"/>
            </w:pPr>
            <w:r w:rsidRPr="00FA6EDB">
              <w:t>0</w:t>
            </w:r>
          </w:p>
        </w:tc>
        <w:tc>
          <w:tcPr>
            <w:tcW w:w="1146" w:type="dxa"/>
            <w:gridSpan w:val="2"/>
            <w:tcBorders>
              <w:right w:val="single" w:sz="4" w:space="0" w:color="auto"/>
            </w:tcBorders>
            <w:shd w:val="clear" w:color="auto" w:fill="auto"/>
            <w:vAlign w:val="center"/>
          </w:tcPr>
          <w:p w:rsidR="00370BA4" w:rsidRPr="00FA6EDB" w:rsidRDefault="00370BA4" w:rsidP="00370BA4">
            <w:pPr>
              <w:jc w:val="right"/>
            </w:pPr>
            <w:r w:rsidRPr="00FA6EDB">
              <w:t>0</w:t>
            </w:r>
          </w:p>
        </w:tc>
        <w:tc>
          <w:tcPr>
            <w:tcW w:w="1145" w:type="dxa"/>
            <w:gridSpan w:val="4"/>
            <w:tcBorders>
              <w:left w:val="single" w:sz="4" w:space="0" w:color="auto"/>
              <w:bottom w:val="single" w:sz="4" w:space="0" w:color="auto"/>
              <w:right w:val="single" w:sz="4" w:space="0" w:color="auto"/>
            </w:tcBorders>
            <w:shd w:val="clear" w:color="auto" w:fill="auto"/>
            <w:vAlign w:val="center"/>
          </w:tcPr>
          <w:p w:rsidR="00370BA4" w:rsidRPr="00FA6EDB" w:rsidRDefault="00370BA4" w:rsidP="00370BA4">
            <w:pPr>
              <w:jc w:val="right"/>
            </w:pPr>
            <w:r w:rsidRPr="00FA6EDB">
              <w:t>0</w:t>
            </w:r>
          </w:p>
        </w:tc>
        <w:tc>
          <w:tcPr>
            <w:tcW w:w="1146" w:type="dxa"/>
            <w:tcBorders>
              <w:left w:val="single" w:sz="4" w:space="0" w:color="auto"/>
              <w:right w:val="double" w:sz="4" w:space="0" w:color="auto"/>
            </w:tcBorders>
            <w:shd w:val="clear" w:color="auto" w:fill="auto"/>
            <w:vAlign w:val="center"/>
          </w:tcPr>
          <w:p w:rsidR="00370BA4" w:rsidRPr="00FA6EDB" w:rsidRDefault="00370BA4" w:rsidP="00370BA4">
            <w:pPr>
              <w:jc w:val="right"/>
            </w:pPr>
            <w:r w:rsidRPr="00FA6EDB">
              <w:t>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58155B">
              <w:rPr>
                <w:rFonts w:ascii="Arial" w:hAnsi="Arial" w:cs="Arial"/>
                <w:b/>
                <w:sz w:val="24"/>
                <w:szCs w:val="24"/>
              </w:rPr>
              <w:t>Мера 1.2: Унапређење кадровске структуре запослених у установама културе</w:t>
            </w:r>
          </w:p>
        </w:tc>
      </w:tr>
      <w:tr w:rsidR="00370BA4" w:rsidRPr="00367057"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t xml:space="preserve"> </w:t>
            </w:r>
            <w:r>
              <w:rPr>
                <w:rFonts w:ascii="Arial" w:eastAsia="Times New Roman" w:hAnsi="Arial" w:cs="Arial"/>
                <w:color w:val="222222"/>
              </w:rPr>
              <w:t>Градска управа Сомбор</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rPr>
              <w:t>Тип мере:</w:t>
            </w:r>
            <w:r>
              <w:t xml:space="preserve"> </w:t>
            </w:r>
            <w:r w:rsidRPr="00FA6EDB">
              <w:rPr>
                <w:rFonts w:ascii="Arial" w:hAnsi="Arial" w:cs="Arial"/>
              </w:rPr>
              <w:t>институционално управљачко организациона</w:t>
            </w:r>
          </w:p>
        </w:tc>
      </w:tr>
      <w:tr w:rsidR="00EF6F4E" w:rsidRPr="00D03014" w:rsidTr="001858E0">
        <w:trPr>
          <w:trHeight w:val="400"/>
        </w:trPr>
        <w:tc>
          <w:tcPr>
            <w:tcW w:w="1878" w:type="dxa"/>
            <w:gridSpan w:val="2"/>
            <w:tcBorders>
              <w:top w:val="double" w:sz="4" w:space="0" w:color="auto"/>
              <w:left w:val="double" w:sz="4" w:space="0" w:color="auto"/>
              <w:bottom w:val="doub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3A0430" w:rsidRDefault="00370BA4" w:rsidP="00370BA4">
            <w:pPr>
              <w:shd w:val="clear" w:color="auto" w:fill="FFFFFF" w:themeFill="background1"/>
              <w:rPr>
                <w:rFonts w:ascii="Arial" w:hAnsi="Arial" w:cs="Arial"/>
                <w:lang/>
              </w:rPr>
            </w:pPr>
            <w:r>
              <w:rPr>
                <w:rFonts w:ascii="Arial" w:hAnsi="Arial" w:cs="Arial"/>
                <w:lang/>
              </w:rPr>
              <w:t>Израђена анализа стања људских ресурса и потреба за новим кадром у установама културе</w:t>
            </w:r>
          </w:p>
        </w:tc>
        <w:tc>
          <w:tcPr>
            <w:tcW w:w="1463" w:type="dxa"/>
            <w:gridSpan w:val="5"/>
            <w:tcBorders>
              <w:top w:val="double" w:sz="4" w:space="0" w:color="auto"/>
            </w:tcBorders>
            <w:shd w:val="clear" w:color="auto" w:fill="FFFFFF" w:themeFill="background1"/>
            <w:vAlign w:val="center"/>
          </w:tcPr>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t>0 – не</w:t>
            </w:r>
          </w:p>
          <w:p w:rsidR="00370BA4" w:rsidRPr="00D03014" w:rsidRDefault="00370BA4" w:rsidP="00370BA4">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lang/>
              </w:rPr>
              <w:t xml:space="preserve">Извештај </w:t>
            </w:r>
            <w:r w:rsidRPr="00D03014">
              <w:rPr>
                <w:rFonts w:ascii="Arial" w:hAnsi="Arial" w:cs="Arial"/>
              </w:rPr>
              <w:t>ГУ Сомбор</w:t>
            </w:r>
          </w:p>
        </w:tc>
        <w:tc>
          <w:tcPr>
            <w:tcW w:w="1459"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ouble" w:sz="4" w:space="0" w:color="auto"/>
            </w:tcBorders>
            <w:shd w:val="clear" w:color="auto" w:fill="FFFFFF" w:themeFill="background1"/>
            <w:vAlign w:val="center"/>
          </w:tcPr>
          <w:p w:rsidR="00370BA4" w:rsidRPr="00FA6EDB" w:rsidRDefault="00370BA4" w:rsidP="00370BA4">
            <w:pPr>
              <w:shd w:val="clear" w:color="auto" w:fill="FFFFFF" w:themeFill="background1"/>
              <w:jc w:val="center"/>
              <w:rPr>
                <w:rFonts w:ascii="Arial" w:hAnsi="Arial" w:cs="Arial"/>
                <w:lang/>
              </w:rPr>
            </w:pPr>
            <w:r>
              <w:rPr>
                <w:rFonts w:ascii="Arial" w:hAnsi="Arial" w:cs="Arial"/>
                <w:lang/>
              </w:rPr>
              <w:t>2019</w:t>
            </w:r>
          </w:p>
        </w:tc>
        <w:tc>
          <w:tcPr>
            <w:tcW w:w="1222" w:type="dxa"/>
            <w:gridSpan w:val="4"/>
            <w:tcBorders>
              <w:top w:val="double" w:sz="4" w:space="0" w:color="auto"/>
            </w:tcBorders>
            <w:shd w:val="clear" w:color="auto" w:fill="FFFFFF" w:themeFill="background1"/>
            <w:vAlign w:val="center"/>
          </w:tcPr>
          <w:p w:rsidR="00370BA4" w:rsidRPr="003A0430" w:rsidRDefault="00370BA4" w:rsidP="00370BA4">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1" w:type="dxa"/>
            <w:gridSpan w:val="2"/>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 xml:space="preserve">Редефинисан модел координатора у руралним </w:t>
            </w:r>
            <w:r>
              <w:rPr>
                <w:rFonts w:ascii="Arial" w:hAnsi="Arial" w:cs="Arial"/>
                <w:lang/>
              </w:rPr>
              <w:lastRenderedPageBreak/>
              <w:t>подручјима</w:t>
            </w:r>
          </w:p>
        </w:tc>
        <w:tc>
          <w:tcPr>
            <w:tcW w:w="1463" w:type="dxa"/>
            <w:gridSpan w:val="5"/>
            <w:tcBorders>
              <w:top w:val="double" w:sz="4" w:space="0" w:color="auto"/>
            </w:tcBorders>
            <w:shd w:val="clear" w:color="auto" w:fill="FFFFFF" w:themeFill="background1"/>
            <w:vAlign w:val="center"/>
          </w:tcPr>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lastRenderedPageBreak/>
              <w:t>0 – не</w:t>
            </w:r>
          </w:p>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 xml:space="preserve">Извештај </w:t>
            </w:r>
            <w:r w:rsidRPr="00D03014">
              <w:rPr>
                <w:rFonts w:ascii="Arial" w:hAnsi="Arial" w:cs="Arial"/>
              </w:rPr>
              <w:t>ГУ Сомбор</w:t>
            </w:r>
          </w:p>
        </w:tc>
        <w:tc>
          <w:tcPr>
            <w:tcW w:w="1459"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rPr>
              <w:t>2019</w:t>
            </w:r>
          </w:p>
        </w:tc>
        <w:tc>
          <w:tcPr>
            <w:tcW w:w="1222" w:type="dxa"/>
            <w:gridSpan w:val="4"/>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370BA4" w:rsidRPr="003A0430" w:rsidRDefault="00370BA4" w:rsidP="00370BA4">
            <w:pPr>
              <w:shd w:val="clear" w:color="auto" w:fill="FFFFFF" w:themeFill="background1"/>
              <w:jc w:val="center"/>
              <w:rPr>
                <w:rFonts w:ascii="Arial" w:hAnsi="Arial" w:cs="Arial"/>
                <w:lang/>
              </w:rPr>
            </w:pPr>
            <w:r>
              <w:rPr>
                <w:rFonts w:ascii="Arial" w:hAnsi="Arial" w:cs="Arial"/>
                <w:lang/>
              </w:rPr>
              <w:t>0</w:t>
            </w:r>
          </w:p>
        </w:tc>
        <w:tc>
          <w:tcPr>
            <w:tcW w:w="1221" w:type="dxa"/>
            <w:gridSpan w:val="2"/>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lastRenderedPageBreak/>
              <w:t>Израђен план волонтирања у установама културе и на манифестацијама</w:t>
            </w:r>
          </w:p>
        </w:tc>
        <w:tc>
          <w:tcPr>
            <w:tcW w:w="1463" w:type="dxa"/>
            <w:gridSpan w:val="5"/>
            <w:tcBorders>
              <w:top w:val="double" w:sz="4" w:space="0" w:color="auto"/>
            </w:tcBorders>
            <w:shd w:val="clear" w:color="auto" w:fill="FFFFFF" w:themeFill="background1"/>
            <w:vAlign w:val="center"/>
          </w:tcPr>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t>0 – не</w:t>
            </w:r>
          </w:p>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 xml:space="preserve">Извештај </w:t>
            </w:r>
            <w:r w:rsidRPr="00D03014">
              <w:rPr>
                <w:rFonts w:ascii="Arial" w:hAnsi="Arial" w:cs="Arial"/>
              </w:rPr>
              <w:t>ГУ Сомбор</w:t>
            </w:r>
          </w:p>
        </w:tc>
        <w:tc>
          <w:tcPr>
            <w:tcW w:w="1459"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rPr>
              <w:t>2019</w:t>
            </w:r>
          </w:p>
        </w:tc>
        <w:tc>
          <w:tcPr>
            <w:tcW w:w="1222" w:type="dxa"/>
            <w:gridSpan w:val="4"/>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1" w:type="dxa"/>
            <w:gridSpan w:val="2"/>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r>
      <w:tr w:rsidR="00370BA4" w:rsidRPr="00D03014" w:rsidTr="001858E0">
        <w:trPr>
          <w:trHeight w:val="398"/>
        </w:trPr>
        <w:tc>
          <w:tcPr>
            <w:tcW w:w="2531" w:type="dxa"/>
            <w:gridSpan w:val="5"/>
            <w:vMerge w:val="restart"/>
            <w:tcBorders>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48"/>
            </w:r>
          </w:p>
        </w:tc>
        <w:tc>
          <w:tcPr>
            <w:tcW w:w="2145" w:type="dxa"/>
            <w:gridSpan w:val="5"/>
            <w:vMerge w:val="restart"/>
            <w:tcBorders>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49"/>
            </w:r>
          </w:p>
        </w:tc>
        <w:tc>
          <w:tcPr>
            <w:tcW w:w="9156" w:type="dxa"/>
            <w:gridSpan w:val="22"/>
            <w:tcBorders>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 xml:space="preserve"> Укупна проце</w:t>
            </w:r>
            <w:r w:rsidR="00EF6F4E">
              <w:rPr>
                <w:rFonts w:ascii="Arial" w:hAnsi="Arial" w:cs="Arial"/>
              </w:rPr>
              <w:t xml:space="preserve">њена финансијска средства у </w:t>
            </w:r>
            <w:r w:rsidRPr="00D03014">
              <w:rPr>
                <w:rFonts w:ascii="Arial" w:hAnsi="Arial" w:cs="Arial"/>
              </w:rPr>
              <w:t>дин.</w:t>
            </w:r>
          </w:p>
        </w:tc>
      </w:tr>
      <w:tr w:rsidR="00EF6F4E"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w:t>
            </w:r>
            <w:r>
              <w:rPr>
                <w:rFonts w:ascii="Arial" w:hAnsi="Arial" w:cs="Arial"/>
              </w:rPr>
              <w:t>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FA6EDB" w:rsidRDefault="00370BA4"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FA6EDB" w:rsidRDefault="00370BA4"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Default="00370BA4" w:rsidP="00370BA4">
            <w:pPr>
              <w:jc w:val="center"/>
              <w:rPr>
                <w:rFonts w:ascii="Arial" w:hAnsi="Arial" w:cs="Arial"/>
                <w:lang/>
              </w:rPr>
            </w:pPr>
            <w:r>
              <w:rPr>
                <w:rFonts w:ascii="Arial" w:hAnsi="Arial" w:cs="Arial"/>
                <w:lang/>
              </w:rPr>
              <w:t>240.000</w:t>
            </w:r>
          </w:p>
          <w:p w:rsidR="00370BA4" w:rsidRPr="00FA6EDB" w:rsidRDefault="00370BA4" w:rsidP="00370BA4">
            <w:pPr>
              <w:jc w:val="center"/>
              <w:rPr>
                <w:rFonts w:ascii="Arial" w:hAnsi="Arial" w:cs="Arial"/>
                <w:lang/>
              </w:rPr>
            </w:pPr>
            <w:r>
              <w:rPr>
                <w:rFonts w:ascii="Arial" w:hAnsi="Arial" w:cs="Arial"/>
                <w:lang/>
              </w:rPr>
              <w:t>1.200.000*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FA6EDB" w:rsidRDefault="00370BA4" w:rsidP="00370BA4">
            <w:pPr>
              <w:jc w:val="center"/>
              <w:rPr>
                <w:rFonts w:ascii="Arial" w:hAnsi="Arial" w:cs="Arial"/>
                <w:lang/>
              </w:rPr>
            </w:pPr>
            <w:r>
              <w:rPr>
                <w:rFonts w:ascii="Arial" w:hAnsi="Arial" w:cs="Arial"/>
                <w:lang/>
              </w:rPr>
              <w:t>3.400.000*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Default="00370BA4" w:rsidP="00370BA4">
            <w:pPr>
              <w:jc w:val="center"/>
              <w:rPr>
                <w:rFonts w:ascii="Arial" w:hAnsi="Arial" w:cs="Arial"/>
                <w:lang/>
              </w:rPr>
            </w:pPr>
            <w:r>
              <w:rPr>
                <w:rFonts w:ascii="Arial" w:hAnsi="Arial" w:cs="Arial"/>
                <w:lang/>
              </w:rPr>
              <w:t>1.360.000</w:t>
            </w:r>
          </w:p>
          <w:p w:rsidR="00370BA4" w:rsidRPr="00FA6EDB" w:rsidRDefault="00370BA4" w:rsidP="00370BA4">
            <w:pPr>
              <w:jc w:val="center"/>
              <w:rPr>
                <w:rFonts w:ascii="Arial" w:hAnsi="Arial" w:cs="Arial"/>
                <w:lang/>
              </w:rPr>
            </w:pPr>
            <w:r>
              <w:rPr>
                <w:rFonts w:ascii="Arial" w:hAnsi="Arial" w:cs="Arial"/>
                <w:lang/>
              </w:rPr>
              <w:t>5.800.000*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FA6EDB" w:rsidRDefault="00370BA4" w:rsidP="00370BA4">
            <w:pPr>
              <w:jc w:val="center"/>
              <w:rPr>
                <w:rFonts w:ascii="Arial" w:hAnsi="Arial" w:cs="Arial"/>
                <w:lang/>
              </w:rPr>
            </w:pPr>
            <w:r>
              <w:rPr>
                <w:rFonts w:ascii="Arial" w:hAnsi="Arial" w:cs="Arial"/>
                <w:lang/>
              </w:rPr>
              <w:t>8.200.000*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FA6EDB" w:rsidRDefault="00370BA4"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r>
      <w:tr w:rsidR="00370BA4" w:rsidRPr="00D03014"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50"/>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51"/>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Укупна процењена финанс</w:t>
            </w:r>
            <w:r w:rsidR="00EF6F4E">
              <w:rPr>
                <w:rFonts w:ascii="Arial" w:hAnsi="Arial" w:cs="Arial"/>
                <w:sz w:val="20"/>
                <w:szCs w:val="20"/>
              </w:rPr>
              <w:t>ијска средства по изворима у</w:t>
            </w:r>
            <w:r w:rsidRPr="009F2563">
              <w:rPr>
                <w:rFonts w:ascii="Arial" w:hAnsi="Arial" w:cs="Arial"/>
                <w:sz w:val="20"/>
                <w:szCs w:val="20"/>
              </w:rPr>
              <w:t xml:space="preserve"> дин.</w:t>
            </w:r>
            <w:r w:rsidRPr="009F2563">
              <w:rPr>
                <w:rFonts w:ascii="Arial" w:hAnsi="Arial" w:cs="Arial"/>
                <w:sz w:val="20"/>
                <w:szCs w:val="20"/>
                <w:vertAlign w:val="superscript"/>
              </w:rPr>
              <w:footnoteReference w:id="52"/>
            </w:r>
          </w:p>
        </w:tc>
      </w:tr>
      <w:tr w:rsidR="00370BA4" w:rsidRPr="00D03014"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1.2.1.</w:t>
            </w:r>
          </w:p>
          <w:p w:rsidR="00370BA4" w:rsidRPr="00D03014" w:rsidRDefault="00370BA4" w:rsidP="00370BA4">
            <w:r w:rsidRPr="00D03014">
              <w:t>Анализа стања и потреба људских ресурса у установама културе</w:t>
            </w:r>
          </w:p>
        </w:tc>
        <w:tc>
          <w:tcPr>
            <w:tcW w:w="1301" w:type="dxa"/>
            <w:gridSpan w:val="5"/>
            <w:vAlign w:val="center"/>
          </w:tcPr>
          <w:p w:rsidR="00370BA4" w:rsidRPr="00A4564F" w:rsidRDefault="00370BA4" w:rsidP="00370BA4">
            <w:pPr>
              <w:rPr>
                <w:color w:val="00B050"/>
                <w:lang/>
              </w:rPr>
            </w:pPr>
            <w:r w:rsidRPr="00A4564F">
              <w:rPr>
                <w:lang/>
              </w:rPr>
              <w:t>ГУ Сомбор</w:t>
            </w:r>
          </w:p>
        </w:tc>
        <w:tc>
          <w:tcPr>
            <w:tcW w:w="1487" w:type="dxa"/>
            <w:gridSpan w:val="3"/>
            <w:vAlign w:val="center"/>
          </w:tcPr>
          <w:p w:rsidR="00370BA4" w:rsidRPr="00D03014" w:rsidRDefault="00370BA4" w:rsidP="00370BA4">
            <w:r w:rsidRPr="00A4564F">
              <w:t>/</w:t>
            </w:r>
          </w:p>
        </w:tc>
        <w:tc>
          <w:tcPr>
            <w:tcW w:w="1284" w:type="dxa"/>
            <w:gridSpan w:val="3"/>
            <w:vAlign w:val="center"/>
          </w:tcPr>
          <w:p w:rsidR="00370BA4" w:rsidRPr="00D03014" w:rsidRDefault="00370BA4" w:rsidP="00370BA4">
            <w:pPr>
              <w:jc w:val="right"/>
            </w:pPr>
            <w:r w:rsidRPr="00D03014">
              <w:t>2021</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FA6EDB" w:rsidRDefault="00370BA4" w:rsidP="00370BA4">
            <w:pPr>
              <w:jc w:val="right"/>
              <w:rPr>
                <w:lang/>
              </w:rPr>
            </w:pPr>
            <w:r>
              <w:rPr>
                <w:lang/>
              </w:rPr>
              <w:t>0</w:t>
            </w:r>
          </w:p>
        </w:tc>
        <w:tc>
          <w:tcPr>
            <w:tcW w:w="1145" w:type="dxa"/>
            <w:gridSpan w:val="3"/>
            <w:shd w:val="clear" w:color="auto" w:fill="auto"/>
            <w:vAlign w:val="center"/>
          </w:tcPr>
          <w:p w:rsidR="00370BA4" w:rsidRPr="00FA6EDB" w:rsidRDefault="00370BA4" w:rsidP="00370BA4">
            <w:pPr>
              <w:jc w:val="right"/>
            </w:pPr>
            <w:r w:rsidRPr="00FA6EDB">
              <w:t>240.000</w:t>
            </w:r>
          </w:p>
        </w:tc>
        <w:tc>
          <w:tcPr>
            <w:tcW w:w="1146" w:type="dxa"/>
            <w:gridSpan w:val="2"/>
            <w:tcBorders>
              <w:right w:val="single" w:sz="4" w:space="0" w:color="auto"/>
            </w:tcBorders>
            <w:shd w:val="clear" w:color="auto" w:fill="auto"/>
            <w:vAlign w:val="center"/>
          </w:tcPr>
          <w:p w:rsidR="00370BA4" w:rsidRPr="00FA6EDB" w:rsidRDefault="00370BA4" w:rsidP="00370BA4">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370BA4" w:rsidRPr="00FA6EDB" w:rsidRDefault="00370BA4" w:rsidP="00370BA4">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370BA4" w:rsidRPr="00FA6EDB" w:rsidRDefault="00370BA4" w:rsidP="00370BA4">
            <w:pPr>
              <w:jc w:val="right"/>
              <w:rPr>
                <w:lang/>
              </w:rPr>
            </w:pPr>
            <w:r>
              <w:rPr>
                <w:lang/>
              </w:rPr>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1.2.2.</w:t>
            </w:r>
          </w:p>
          <w:p w:rsidR="00370BA4" w:rsidRPr="00D03014" w:rsidRDefault="00370BA4" w:rsidP="00370BA4">
            <w:r w:rsidRPr="00D03014">
              <w:t xml:space="preserve">Повећање броја запослених у култури града Сомбора на </w:t>
            </w:r>
            <w:r w:rsidRPr="00D03014">
              <w:lastRenderedPageBreak/>
              <w:t>основу анализе</w:t>
            </w:r>
          </w:p>
        </w:tc>
        <w:tc>
          <w:tcPr>
            <w:tcW w:w="1301" w:type="dxa"/>
            <w:gridSpan w:val="5"/>
            <w:vAlign w:val="center"/>
          </w:tcPr>
          <w:p w:rsidR="00370BA4" w:rsidRPr="00D03014" w:rsidRDefault="00370BA4" w:rsidP="00370BA4">
            <w:r w:rsidRPr="00D03014">
              <w:lastRenderedPageBreak/>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D03014" w:rsidRDefault="00370BA4" w:rsidP="00370BA4">
            <w:pPr>
              <w:jc w:val="right"/>
            </w:pPr>
            <w:r w:rsidRPr="00D03014">
              <w:t>2025</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FA6EDB" w:rsidRDefault="00370BA4" w:rsidP="00370BA4">
            <w:pPr>
              <w:jc w:val="right"/>
            </w:pPr>
            <w:r w:rsidRPr="00FA6EDB">
              <w:t>0</w:t>
            </w:r>
          </w:p>
        </w:tc>
        <w:tc>
          <w:tcPr>
            <w:tcW w:w="1145" w:type="dxa"/>
            <w:gridSpan w:val="3"/>
            <w:shd w:val="clear" w:color="auto" w:fill="auto"/>
            <w:vAlign w:val="center"/>
          </w:tcPr>
          <w:p w:rsidR="00370BA4" w:rsidRPr="00FA6EDB" w:rsidRDefault="00370BA4" w:rsidP="00370BA4">
            <w:pPr>
              <w:jc w:val="right"/>
            </w:pPr>
            <w:r w:rsidRPr="00FA6EDB">
              <w:t>1.200.000*</w:t>
            </w:r>
          </w:p>
        </w:tc>
        <w:tc>
          <w:tcPr>
            <w:tcW w:w="1146" w:type="dxa"/>
            <w:gridSpan w:val="2"/>
            <w:tcBorders>
              <w:right w:val="single" w:sz="4" w:space="0" w:color="auto"/>
            </w:tcBorders>
            <w:shd w:val="clear" w:color="auto" w:fill="auto"/>
            <w:vAlign w:val="center"/>
          </w:tcPr>
          <w:p w:rsidR="00370BA4" w:rsidRPr="00FA6EDB" w:rsidRDefault="00370BA4" w:rsidP="00370BA4">
            <w:pPr>
              <w:jc w:val="right"/>
              <w:rPr>
                <w:lang/>
              </w:rPr>
            </w:pPr>
            <w:r>
              <w:rPr>
                <w:lang/>
              </w:rPr>
              <w:t>2.400.000*</w:t>
            </w:r>
          </w:p>
        </w:tc>
        <w:tc>
          <w:tcPr>
            <w:tcW w:w="1145" w:type="dxa"/>
            <w:gridSpan w:val="4"/>
            <w:tcBorders>
              <w:left w:val="single" w:sz="4" w:space="0" w:color="auto"/>
              <w:right w:val="single" w:sz="4" w:space="0" w:color="auto"/>
            </w:tcBorders>
            <w:shd w:val="clear" w:color="auto" w:fill="auto"/>
            <w:vAlign w:val="center"/>
          </w:tcPr>
          <w:p w:rsidR="00370BA4" w:rsidRPr="00FA6EDB" w:rsidRDefault="00370BA4" w:rsidP="00370BA4">
            <w:pPr>
              <w:jc w:val="right"/>
              <w:rPr>
                <w:lang/>
              </w:rPr>
            </w:pPr>
            <w:r>
              <w:rPr>
                <w:lang/>
              </w:rPr>
              <w:t>4.800.000*</w:t>
            </w:r>
          </w:p>
        </w:tc>
        <w:tc>
          <w:tcPr>
            <w:tcW w:w="1146" w:type="dxa"/>
            <w:tcBorders>
              <w:left w:val="single" w:sz="4" w:space="0" w:color="auto"/>
              <w:right w:val="double" w:sz="4" w:space="0" w:color="auto"/>
            </w:tcBorders>
            <w:shd w:val="clear" w:color="auto" w:fill="auto"/>
            <w:vAlign w:val="center"/>
          </w:tcPr>
          <w:p w:rsidR="00370BA4" w:rsidRPr="00FA6EDB" w:rsidRDefault="00370BA4" w:rsidP="00370BA4">
            <w:pPr>
              <w:jc w:val="right"/>
              <w:rPr>
                <w:lang/>
              </w:rPr>
            </w:pPr>
            <w:r>
              <w:rPr>
                <w:lang/>
              </w:rPr>
              <w:t>7.200.000*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lastRenderedPageBreak/>
              <w:t>1.2.3.</w:t>
            </w:r>
          </w:p>
          <w:p w:rsidR="00370BA4" w:rsidRPr="00D03014" w:rsidRDefault="00370BA4" w:rsidP="00370BA4">
            <w:r w:rsidRPr="00D03014">
              <w:t>Редефинисање модела координатора у руралним подручјима у складу са потребама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D03014" w:rsidRDefault="00370BA4" w:rsidP="00370BA4">
            <w:pPr>
              <w:jc w:val="right"/>
            </w:pPr>
            <w:r w:rsidRPr="00D03014">
              <w:t>2022</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6846FA" w:rsidRDefault="00370BA4" w:rsidP="00370BA4">
            <w:pPr>
              <w:jc w:val="right"/>
              <w:rPr>
                <w:lang/>
              </w:rPr>
            </w:pPr>
            <w:r>
              <w:rPr>
                <w:lang/>
              </w:rPr>
              <w:t>0</w:t>
            </w:r>
          </w:p>
        </w:tc>
        <w:tc>
          <w:tcPr>
            <w:tcW w:w="1145" w:type="dxa"/>
            <w:gridSpan w:val="3"/>
            <w:shd w:val="clear" w:color="auto" w:fill="auto"/>
            <w:vAlign w:val="center"/>
          </w:tcPr>
          <w:p w:rsidR="00370BA4" w:rsidRPr="006846FA" w:rsidRDefault="00370BA4" w:rsidP="00370BA4">
            <w:pPr>
              <w:jc w:val="right"/>
              <w:rPr>
                <w:lang/>
              </w:rPr>
            </w:pPr>
            <w:r>
              <w:rPr>
                <w:lang/>
              </w:rPr>
              <w:t>0</w:t>
            </w:r>
          </w:p>
        </w:tc>
        <w:tc>
          <w:tcPr>
            <w:tcW w:w="1146" w:type="dxa"/>
            <w:gridSpan w:val="2"/>
            <w:tcBorders>
              <w:right w:val="single" w:sz="4" w:space="0" w:color="auto"/>
            </w:tcBorders>
            <w:shd w:val="clear" w:color="auto" w:fill="auto"/>
            <w:vAlign w:val="center"/>
          </w:tcPr>
          <w:p w:rsidR="00370BA4" w:rsidRPr="006846FA" w:rsidRDefault="00370BA4" w:rsidP="00370BA4">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370BA4" w:rsidRPr="006846FA" w:rsidRDefault="00370BA4" w:rsidP="00370BA4">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370BA4" w:rsidRPr="006846FA" w:rsidRDefault="00370BA4" w:rsidP="00370BA4">
            <w:pPr>
              <w:jc w:val="right"/>
              <w:rPr>
                <w:lang/>
              </w:rPr>
            </w:pPr>
            <w:r>
              <w:rPr>
                <w:lang/>
              </w:rPr>
              <w:t>0</w:t>
            </w:r>
          </w:p>
        </w:tc>
      </w:tr>
      <w:tr w:rsidR="00370BA4"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vAlign w:val="center"/>
          </w:tcPr>
          <w:p w:rsidR="00370BA4" w:rsidRPr="00D03014" w:rsidRDefault="00370BA4" w:rsidP="00370BA4">
            <w:r w:rsidRPr="00D03014">
              <w:t>1.2.4.</w:t>
            </w:r>
          </w:p>
          <w:p w:rsidR="00370BA4" w:rsidRPr="00D03014" w:rsidRDefault="00370BA4" w:rsidP="00370BA4">
            <w:r w:rsidRPr="00D03014">
              <w:t>Дефинисање плана и реализација обука за запослене у култури и туризму у складу са потребама на годишњем нивоу</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установе културе, ТО Сомбор</w:t>
            </w:r>
          </w:p>
        </w:tc>
        <w:tc>
          <w:tcPr>
            <w:tcW w:w="1284" w:type="dxa"/>
            <w:gridSpan w:val="3"/>
            <w:vAlign w:val="center"/>
          </w:tcPr>
          <w:p w:rsidR="00370BA4" w:rsidRPr="00D03014" w:rsidRDefault="00370BA4" w:rsidP="00370BA4">
            <w:pPr>
              <w:jc w:val="right"/>
            </w:pPr>
            <w:r w:rsidRPr="00D03014">
              <w:t xml:space="preserve">континуирано </w:t>
            </w:r>
          </w:p>
          <w:p w:rsidR="00370BA4" w:rsidRPr="00D03014" w:rsidRDefault="00370BA4" w:rsidP="00370BA4">
            <w:pPr>
              <w:jc w:val="right"/>
            </w:pPr>
            <w:r w:rsidRPr="00D03014">
              <w:t>2025</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E22DAD" w:rsidRDefault="00370BA4" w:rsidP="00370BA4">
            <w:pPr>
              <w:rPr>
                <w:strike/>
                <w:highlight w:val="yellow"/>
              </w:rPr>
            </w:pPr>
          </w:p>
        </w:tc>
        <w:tc>
          <w:tcPr>
            <w:tcW w:w="1145" w:type="dxa"/>
            <w:gridSpan w:val="3"/>
            <w:shd w:val="clear" w:color="auto" w:fill="auto"/>
            <w:vAlign w:val="center"/>
          </w:tcPr>
          <w:p w:rsidR="00370BA4" w:rsidRPr="006846FA" w:rsidRDefault="00370BA4" w:rsidP="00370BA4">
            <w:pPr>
              <w:jc w:val="right"/>
              <w:rPr>
                <w:lang/>
              </w:rPr>
            </w:pPr>
            <w:r w:rsidRPr="006846FA">
              <w:rPr>
                <w:lang/>
              </w:rPr>
              <w:t>0</w:t>
            </w:r>
          </w:p>
        </w:tc>
        <w:tc>
          <w:tcPr>
            <w:tcW w:w="1145" w:type="dxa"/>
            <w:gridSpan w:val="3"/>
            <w:shd w:val="clear" w:color="auto" w:fill="auto"/>
            <w:vAlign w:val="center"/>
          </w:tcPr>
          <w:p w:rsidR="00370BA4" w:rsidRPr="006846FA" w:rsidRDefault="00370BA4" w:rsidP="00370BA4">
            <w:pPr>
              <w:jc w:val="right"/>
              <w:rPr>
                <w:lang/>
              </w:rPr>
            </w:pPr>
            <w:r w:rsidRPr="006846FA">
              <w:rPr>
                <w:lang/>
              </w:rPr>
              <w:t>0</w:t>
            </w:r>
          </w:p>
        </w:tc>
        <w:tc>
          <w:tcPr>
            <w:tcW w:w="1146" w:type="dxa"/>
            <w:gridSpan w:val="2"/>
            <w:tcBorders>
              <w:right w:val="single" w:sz="4" w:space="0" w:color="auto"/>
            </w:tcBorders>
            <w:shd w:val="clear" w:color="auto" w:fill="auto"/>
            <w:vAlign w:val="center"/>
          </w:tcPr>
          <w:p w:rsidR="00370BA4" w:rsidRPr="006846FA" w:rsidRDefault="00370BA4" w:rsidP="00370BA4">
            <w:pPr>
              <w:jc w:val="right"/>
              <w:rPr>
                <w:lang/>
              </w:rPr>
            </w:pPr>
            <w:r w:rsidRPr="006846FA">
              <w:rPr>
                <w:lang/>
              </w:rPr>
              <w:t>0</w:t>
            </w:r>
          </w:p>
        </w:tc>
        <w:tc>
          <w:tcPr>
            <w:tcW w:w="1145" w:type="dxa"/>
            <w:gridSpan w:val="4"/>
            <w:tcBorders>
              <w:left w:val="single" w:sz="4" w:space="0" w:color="auto"/>
              <w:right w:val="single" w:sz="4" w:space="0" w:color="auto"/>
            </w:tcBorders>
            <w:shd w:val="clear" w:color="auto" w:fill="auto"/>
            <w:vAlign w:val="center"/>
          </w:tcPr>
          <w:p w:rsidR="00370BA4" w:rsidRPr="006846FA" w:rsidRDefault="00370BA4" w:rsidP="00370BA4">
            <w:pPr>
              <w:jc w:val="right"/>
              <w:rPr>
                <w:lang/>
              </w:rPr>
            </w:pPr>
            <w:r w:rsidRPr="006846FA">
              <w:rPr>
                <w:lang/>
              </w:rPr>
              <w:t>0</w:t>
            </w:r>
          </w:p>
        </w:tc>
        <w:tc>
          <w:tcPr>
            <w:tcW w:w="1146" w:type="dxa"/>
            <w:tcBorders>
              <w:left w:val="single" w:sz="4" w:space="0" w:color="auto"/>
              <w:right w:val="double" w:sz="4" w:space="0" w:color="auto"/>
            </w:tcBorders>
            <w:shd w:val="clear" w:color="auto" w:fill="auto"/>
            <w:vAlign w:val="center"/>
          </w:tcPr>
          <w:p w:rsidR="00370BA4" w:rsidRPr="006846FA" w:rsidRDefault="00370BA4" w:rsidP="00370BA4">
            <w:pPr>
              <w:jc w:val="right"/>
              <w:rPr>
                <w:lang/>
              </w:rPr>
            </w:pPr>
            <w:r w:rsidRPr="006846FA">
              <w:rPr>
                <w:lang/>
              </w:rPr>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1.2.5.</w:t>
            </w:r>
          </w:p>
          <w:p w:rsidR="00370BA4" w:rsidRPr="00D03014" w:rsidRDefault="00370BA4" w:rsidP="00370BA4">
            <w:r w:rsidRPr="00D03014">
              <w:t xml:space="preserve">Израда плана волонтирања у установама културе и манифестацијама  града Сомбора </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установе културе, ТО Сомбор, ОЦД</w:t>
            </w:r>
          </w:p>
        </w:tc>
        <w:tc>
          <w:tcPr>
            <w:tcW w:w="1284" w:type="dxa"/>
            <w:gridSpan w:val="3"/>
            <w:vAlign w:val="center"/>
          </w:tcPr>
          <w:p w:rsidR="00370BA4" w:rsidRPr="00D03014" w:rsidRDefault="00370BA4" w:rsidP="00370BA4">
            <w:pPr>
              <w:jc w:val="right"/>
            </w:pPr>
            <w:r>
              <w:t>2023</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6846FA" w:rsidRDefault="00370BA4" w:rsidP="00370BA4">
            <w:pPr>
              <w:jc w:val="right"/>
              <w:rPr>
                <w:lang/>
              </w:rPr>
            </w:pPr>
            <w:r>
              <w:rPr>
                <w:lang/>
              </w:rPr>
              <w:t>0</w:t>
            </w:r>
          </w:p>
        </w:tc>
        <w:tc>
          <w:tcPr>
            <w:tcW w:w="1145" w:type="dxa"/>
            <w:gridSpan w:val="3"/>
            <w:shd w:val="clear" w:color="auto" w:fill="auto"/>
            <w:vAlign w:val="center"/>
          </w:tcPr>
          <w:p w:rsidR="00370BA4" w:rsidRPr="006846FA" w:rsidRDefault="00370BA4" w:rsidP="00370BA4">
            <w:pPr>
              <w:jc w:val="right"/>
              <w:rPr>
                <w:lang/>
              </w:rPr>
            </w:pPr>
            <w:r>
              <w:rPr>
                <w:lang/>
              </w:rPr>
              <w:t>0</w:t>
            </w:r>
          </w:p>
        </w:tc>
        <w:tc>
          <w:tcPr>
            <w:tcW w:w="1146" w:type="dxa"/>
            <w:gridSpan w:val="2"/>
            <w:tcBorders>
              <w:right w:val="single" w:sz="4" w:space="0" w:color="auto"/>
            </w:tcBorders>
            <w:shd w:val="clear" w:color="auto" w:fill="auto"/>
            <w:vAlign w:val="center"/>
          </w:tcPr>
          <w:p w:rsidR="00370BA4" w:rsidRPr="006846FA" w:rsidRDefault="00370BA4" w:rsidP="00370BA4">
            <w:pPr>
              <w:jc w:val="right"/>
              <w:rPr>
                <w:lang/>
              </w:rPr>
            </w:pPr>
            <w:r>
              <w:rPr>
                <w:lang/>
              </w:rPr>
              <w:t>1.000.000*</w:t>
            </w:r>
          </w:p>
        </w:tc>
        <w:tc>
          <w:tcPr>
            <w:tcW w:w="1145" w:type="dxa"/>
            <w:gridSpan w:val="4"/>
            <w:tcBorders>
              <w:left w:val="single" w:sz="4" w:space="0" w:color="auto"/>
              <w:right w:val="single" w:sz="4" w:space="0" w:color="auto"/>
            </w:tcBorders>
            <w:shd w:val="clear" w:color="auto" w:fill="auto"/>
            <w:vAlign w:val="center"/>
          </w:tcPr>
          <w:p w:rsidR="00370BA4" w:rsidRPr="006846FA" w:rsidRDefault="00370BA4" w:rsidP="00370BA4">
            <w:pPr>
              <w:jc w:val="right"/>
              <w:rPr>
                <w:lang/>
              </w:rPr>
            </w:pPr>
            <w:r>
              <w:rPr>
                <w:lang/>
              </w:rPr>
              <w:t>1.000.000*</w:t>
            </w:r>
          </w:p>
        </w:tc>
        <w:tc>
          <w:tcPr>
            <w:tcW w:w="1146" w:type="dxa"/>
            <w:tcBorders>
              <w:left w:val="single" w:sz="4" w:space="0" w:color="auto"/>
              <w:right w:val="double" w:sz="4" w:space="0" w:color="auto"/>
            </w:tcBorders>
            <w:shd w:val="clear" w:color="auto" w:fill="auto"/>
            <w:vAlign w:val="center"/>
          </w:tcPr>
          <w:p w:rsidR="00370BA4" w:rsidRPr="006846FA" w:rsidRDefault="00370BA4" w:rsidP="00370BA4">
            <w:pPr>
              <w:jc w:val="right"/>
              <w:rPr>
                <w:lang/>
              </w:rPr>
            </w:pPr>
            <w:r>
              <w:rPr>
                <w:lang/>
              </w:rPr>
              <w:t>1.000.000*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1.2.6.</w:t>
            </w:r>
          </w:p>
          <w:p w:rsidR="00370BA4" w:rsidRPr="00D03014" w:rsidRDefault="00370BA4" w:rsidP="00370BA4">
            <w:r w:rsidRPr="00D03014">
              <w:t xml:space="preserve">Формирање волонтерског сервиса на нивоу града који би укључивао активности у области </w:t>
            </w:r>
            <w:r w:rsidRPr="00D03014">
              <w:lastRenderedPageBreak/>
              <w:t>културе</w:t>
            </w:r>
          </w:p>
        </w:tc>
        <w:tc>
          <w:tcPr>
            <w:tcW w:w="1301" w:type="dxa"/>
            <w:gridSpan w:val="5"/>
            <w:vAlign w:val="center"/>
          </w:tcPr>
          <w:p w:rsidR="00370BA4" w:rsidRPr="00D03014" w:rsidRDefault="00370BA4" w:rsidP="00370BA4">
            <w:r w:rsidRPr="00D03014">
              <w:lastRenderedPageBreak/>
              <w:t>Канцеларија за младе</w:t>
            </w:r>
          </w:p>
        </w:tc>
        <w:tc>
          <w:tcPr>
            <w:tcW w:w="1487" w:type="dxa"/>
            <w:gridSpan w:val="3"/>
            <w:vAlign w:val="center"/>
          </w:tcPr>
          <w:p w:rsidR="00370BA4" w:rsidRPr="00D03014" w:rsidRDefault="00370BA4" w:rsidP="00370BA4">
            <w:r w:rsidRPr="00D03014">
              <w:t>ГУ Сомбор</w:t>
            </w:r>
          </w:p>
        </w:tc>
        <w:tc>
          <w:tcPr>
            <w:tcW w:w="1284" w:type="dxa"/>
            <w:gridSpan w:val="3"/>
            <w:vAlign w:val="center"/>
          </w:tcPr>
          <w:p w:rsidR="00370BA4" w:rsidRPr="00376E16" w:rsidRDefault="00370BA4" w:rsidP="00370BA4">
            <w:pPr>
              <w:jc w:val="right"/>
              <w:rPr>
                <w:lang/>
              </w:rPr>
            </w:pPr>
            <w:r>
              <w:t>202</w:t>
            </w:r>
            <w:r>
              <w:rPr>
                <w:lang/>
              </w:rPr>
              <w:t>4</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6846FA" w:rsidRDefault="00370BA4" w:rsidP="00370BA4">
            <w:pPr>
              <w:jc w:val="right"/>
              <w:rPr>
                <w:lang/>
              </w:rPr>
            </w:pPr>
            <w:r>
              <w:rPr>
                <w:lang/>
              </w:rPr>
              <w:t>0</w:t>
            </w:r>
          </w:p>
        </w:tc>
        <w:tc>
          <w:tcPr>
            <w:tcW w:w="1145" w:type="dxa"/>
            <w:gridSpan w:val="3"/>
            <w:shd w:val="clear" w:color="auto" w:fill="auto"/>
            <w:vAlign w:val="center"/>
          </w:tcPr>
          <w:p w:rsidR="00370BA4" w:rsidRPr="006846FA" w:rsidRDefault="00370BA4" w:rsidP="00370BA4">
            <w:pPr>
              <w:jc w:val="right"/>
              <w:rPr>
                <w:lang/>
              </w:rPr>
            </w:pPr>
            <w:r>
              <w:rPr>
                <w:lang/>
              </w:rPr>
              <w:t>0</w:t>
            </w:r>
          </w:p>
        </w:tc>
        <w:tc>
          <w:tcPr>
            <w:tcW w:w="1146" w:type="dxa"/>
            <w:gridSpan w:val="2"/>
            <w:tcBorders>
              <w:right w:val="single" w:sz="4" w:space="0" w:color="auto"/>
            </w:tcBorders>
            <w:shd w:val="clear" w:color="auto" w:fill="auto"/>
            <w:vAlign w:val="center"/>
          </w:tcPr>
          <w:p w:rsidR="00370BA4" w:rsidRPr="006846FA" w:rsidRDefault="00370BA4" w:rsidP="00370BA4">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370BA4" w:rsidRPr="006846FA" w:rsidRDefault="00370BA4" w:rsidP="00370BA4">
            <w:pPr>
              <w:jc w:val="right"/>
              <w:rPr>
                <w:lang/>
              </w:rPr>
            </w:pPr>
            <w:r>
              <w:rPr>
                <w:lang/>
              </w:rPr>
              <w:t>1.360.000*</w:t>
            </w:r>
          </w:p>
        </w:tc>
        <w:tc>
          <w:tcPr>
            <w:tcW w:w="1146" w:type="dxa"/>
            <w:tcBorders>
              <w:left w:val="single" w:sz="4" w:space="0" w:color="auto"/>
              <w:right w:val="double" w:sz="4" w:space="0" w:color="auto"/>
            </w:tcBorders>
            <w:shd w:val="clear" w:color="auto" w:fill="auto"/>
            <w:vAlign w:val="center"/>
          </w:tcPr>
          <w:p w:rsidR="00370BA4" w:rsidRPr="006846FA" w:rsidRDefault="00370BA4" w:rsidP="00370BA4">
            <w:pPr>
              <w:jc w:val="right"/>
              <w:rPr>
                <w:lang/>
              </w:rPr>
            </w:pPr>
            <w:r>
              <w:rPr>
                <w:lang/>
              </w:rPr>
              <w:t>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58155B">
              <w:rPr>
                <w:rFonts w:ascii="Arial" w:hAnsi="Arial" w:cs="Arial"/>
                <w:b/>
                <w:sz w:val="24"/>
                <w:szCs w:val="24"/>
              </w:rPr>
              <w:lastRenderedPageBreak/>
              <w:t>Мера 1.3: Унапређење конкурса у области културе на нивоу града Сомбора</w:t>
            </w:r>
          </w:p>
        </w:tc>
      </w:tr>
      <w:tr w:rsidR="00370BA4" w:rsidRPr="00367057"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t xml:space="preserve"> </w:t>
            </w:r>
            <w:r>
              <w:rPr>
                <w:rFonts w:ascii="Arial" w:eastAsia="Times New Roman" w:hAnsi="Arial" w:cs="Arial"/>
                <w:color w:val="222222"/>
              </w:rPr>
              <w:t>Градска управа Сомбор</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6846FA" w:rsidRDefault="00370BA4" w:rsidP="00370BA4">
            <w:pPr>
              <w:rPr>
                <w:rFonts w:ascii="Arial" w:hAnsi="Arial" w:cs="Arial"/>
                <w:lang/>
              </w:rPr>
            </w:pPr>
            <w:r w:rsidRPr="00D03014">
              <w:rPr>
                <w:rFonts w:ascii="Arial" w:hAnsi="Arial" w:cs="Arial"/>
              </w:rPr>
              <w:t>Тип мере:</w:t>
            </w:r>
            <w:r>
              <w:rPr>
                <w:rFonts w:ascii="Arial" w:hAnsi="Arial" w:cs="Arial"/>
                <w:lang/>
              </w:rPr>
              <w:t xml:space="preserve"> подстицајна</w:t>
            </w:r>
          </w:p>
        </w:tc>
      </w:tr>
      <w:tr w:rsidR="00EF6F4E" w:rsidRPr="00D03014" w:rsidTr="001858E0">
        <w:trPr>
          <w:trHeight w:val="400"/>
        </w:trPr>
        <w:tc>
          <w:tcPr>
            <w:tcW w:w="1878" w:type="dxa"/>
            <w:gridSpan w:val="2"/>
            <w:tcBorders>
              <w:top w:val="double" w:sz="4" w:space="0" w:color="auto"/>
              <w:left w:val="double" w:sz="4" w:space="0" w:color="auto"/>
              <w:bottom w:val="doub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w:t>
            </w:r>
          </w:p>
        </w:tc>
        <w:tc>
          <w:tcPr>
            <w:tcW w:w="1222"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EC5514" w:rsidRDefault="00370BA4" w:rsidP="00370BA4">
            <w:pPr>
              <w:shd w:val="clear" w:color="auto" w:fill="FFFFFF" w:themeFill="background1"/>
              <w:rPr>
                <w:rFonts w:ascii="Arial" w:hAnsi="Arial" w:cs="Arial"/>
                <w:lang/>
              </w:rPr>
            </w:pPr>
            <w:r>
              <w:rPr>
                <w:rFonts w:ascii="Arial" w:hAnsi="Arial" w:cs="Arial"/>
                <w:lang/>
              </w:rPr>
              <w:t>Извршена категоризација фолклорних група</w:t>
            </w:r>
          </w:p>
        </w:tc>
        <w:tc>
          <w:tcPr>
            <w:tcW w:w="1463" w:type="dxa"/>
            <w:gridSpan w:val="5"/>
            <w:tcBorders>
              <w:top w:val="double" w:sz="4" w:space="0" w:color="auto"/>
            </w:tcBorders>
            <w:shd w:val="clear" w:color="auto" w:fill="FFFFFF" w:themeFill="background1"/>
            <w:vAlign w:val="center"/>
          </w:tcPr>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t>0 – не</w:t>
            </w:r>
          </w:p>
          <w:p w:rsidR="00370BA4" w:rsidRPr="00D03014" w:rsidRDefault="00370BA4" w:rsidP="00370BA4">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lang/>
              </w:rPr>
              <w:t>Извештај</w:t>
            </w:r>
            <w:r w:rsidRPr="00D03014">
              <w:rPr>
                <w:rFonts w:ascii="Arial" w:hAnsi="Arial" w:cs="Arial"/>
              </w:rPr>
              <w:t>ГУ Сомбор</w:t>
            </w:r>
          </w:p>
        </w:tc>
        <w:tc>
          <w:tcPr>
            <w:tcW w:w="1459"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rPr>
              <w:t>2019</w:t>
            </w:r>
          </w:p>
        </w:tc>
        <w:tc>
          <w:tcPr>
            <w:tcW w:w="1222" w:type="dxa"/>
            <w:gridSpan w:val="4"/>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lang/>
              </w:rPr>
              <w:t>1</w:t>
            </w:r>
          </w:p>
        </w:tc>
        <w:tc>
          <w:tcPr>
            <w:tcW w:w="1221" w:type="dxa"/>
            <w:gridSpan w:val="2"/>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Доступни подаци о реализацији пројеката подржаних на конкурсу на званичној интернет страници Града</w:t>
            </w:r>
          </w:p>
        </w:tc>
        <w:tc>
          <w:tcPr>
            <w:tcW w:w="1463" w:type="dxa"/>
            <w:gridSpan w:val="5"/>
            <w:tcBorders>
              <w:top w:val="double" w:sz="4" w:space="0" w:color="auto"/>
            </w:tcBorders>
            <w:shd w:val="clear" w:color="auto" w:fill="FFFFFF" w:themeFill="background1"/>
            <w:vAlign w:val="center"/>
          </w:tcPr>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t>0 – не</w:t>
            </w:r>
          </w:p>
          <w:p w:rsidR="00370BA4" w:rsidRPr="00CA0C9A" w:rsidRDefault="00370BA4" w:rsidP="00370BA4">
            <w:pPr>
              <w:shd w:val="clear" w:color="auto" w:fill="FFFFFF" w:themeFill="background1"/>
              <w:jc w:val="center"/>
              <w:rPr>
                <w:rFonts w:ascii="Arial" w:hAnsi="Arial" w:cs="Arial"/>
              </w:rPr>
            </w:pPr>
            <w:r w:rsidRPr="00CA0C9A">
              <w:rPr>
                <w:rFonts w:ascii="Arial" w:hAnsi="Arial" w:cs="Arial"/>
              </w:rPr>
              <w:t>1 - да</w:t>
            </w:r>
          </w:p>
        </w:tc>
        <w:tc>
          <w:tcPr>
            <w:tcW w:w="1460" w:type="dxa"/>
            <w:gridSpan w:val="4"/>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 xml:space="preserve">Званична интернет страница </w:t>
            </w:r>
            <w:r w:rsidRPr="00D03014">
              <w:rPr>
                <w:rFonts w:ascii="Arial" w:hAnsi="Arial" w:cs="Arial"/>
              </w:rPr>
              <w:t>ГУ Сомбор</w:t>
            </w:r>
          </w:p>
        </w:tc>
        <w:tc>
          <w:tcPr>
            <w:tcW w:w="1459"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0</w:t>
            </w:r>
          </w:p>
        </w:tc>
        <w:tc>
          <w:tcPr>
            <w:tcW w:w="1458" w:type="dxa"/>
            <w:gridSpan w:val="3"/>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Pr>
                <w:rFonts w:ascii="Arial" w:hAnsi="Arial" w:cs="Arial"/>
              </w:rPr>
              <w:t>2019</w:t>
            </w:r>
          </w:p>
        </w:tc>
        <w:tc>
          <w:tcPr>
            <w:tcW w:w="1222" w:type="dxa"/>
            <w:gridSpan w:val="4"/>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1</w:t>
            </w:r>
          </w:p>
        </w:tc>
        <w:tc>
          <w:tcPr>
            <w:tcW w:w="1221" w:type="dxa"/>
            <w:gridSpan w:val="2"/>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6" w:type="dxa"/>
            <w:gridSpan w:val="4"/>
            <w:tcBorders>
              <w:top w:val="double" w:sz="4" w:space="0" w:color="auto"/>
              <w:right w:val="sing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D03014">
              <w:rPr>
                <w:rFonts w:ascii="Arial" w:hAnsi="Arial" w:cs="Arial"/>
              </w:rPr>
              <w:t>1</w:t>
            </w:r>
          </w:p>
        </w:tc>
      </w:tr>
      <w:tr w:rsidR="00370BA4" w:rsidRPr="00D03014" w:rsidTr="001858E0">
        <w:trPr>
          <w:trHeight w:val="398"/>
        </w:trPr>
        <w:tc>
          <w:tcPr>
            <w:tcW w:w="2531" w:type="dxa"/>
            <w:gridSpan w:val="5"/>
            <w:vMerge w:val="restart"/>
            <w:tcBorders>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53"/>
            </w:r>
          </w:p>
        </w:tc>
        <w:tc>
          <w:tcPr>
            <w:tcW w:w="2145" w:type="dxa"/>
            <w:gridSpan w:val="5"/>
            <w:vMerge w:val="restart"/>
            <w:tcBorders>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54"/>
            </w:r>
          </w:p>
        </w:tc>
        <w:tc>
          <w:tcPr>
            <w:tcW w:w="9156" w:type="dxa"/>
            <w:gridSpan w:val="22"/>
            <w:tcBorders>
              <w:left w:val="double" w:sz="4" w:space="0" w:color="auto"/>
              <w:right w:val="double" w:sz="4" w:space="0" w:color="auto"/>
            </w:tcBorders>
            <w:shd w:val="clear" w:color="auto" w:fill="A8D08D" w:themeFill="accent6" w:themeFillTint="99"/>
            <w:vAlign w:val="center"/>
          </w:tcPr>
          <w:p w:rsidR="00370BA4" w:rsidRPr="00D03014" w:rsidRDefault="00370BA4" w:rsidP="00EF6F4E">
            <w:pPr>
              <w:jc w:val="center"/>
              <w:rPr>
                <w:rFonts w:ascii="Arial" w:hAnsi="Arial" w:cs="Arial"/>
              </w:rPr>
            </w:pPr>
            <w:r w:rsidRPr="00D03014">
              <w:rPr>
                <w:rFonts w:ascii="Arial" w:hAnsi="Arial" w:cs="Arial"/>
              </w:rPr>
              <w:t xml:space="preserve"> Укупна процењена финансијска средства у дин.</w:t>
            </w:r>
          </w:p>
        </w:tc>
      </w:tr>
      <w:tr w:rsidR="00EF6F4E"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240.000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r>
      <w:tr w:rsidR="00370BA4" w:rsidRPr="00D03014"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 xml:space="preserve">Орган који спроводи </w:t>
            </w:r>
            <w:r w:rsidRPr="009F2563">
              <w:rPr>
                <w:rFonts w:ascii="Arial" w:hAnsi="Arial" w:cs="Arial"/>
                <w:sz w:val="20"/>
                <w:szCs w:val="20"/>
              </w:rPr>
              <w:lastRenderedPageBreak/>
              <w:t>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lastRenderedPageBreak/>
              <w:t xml:space="preserve">Oргани партнери у </w:t>
            </w:r>
            <w:r w:rsidRPr="009F2563">
              <w:rPr>
                <w:rFonts w:ascii="Arial" w:hAnsi="Arial" w:cs="Arial"/>
                <w:sz w:val="20"/>
                <w:szCs w:val="20"/>
              </w:rPr>
              <w:lastRenderedPageBreak/>
              <w:t>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 xml:space="preserve">Рок за завршетак </w:t>
            </w:r>
            <w:r w:rsidRPr="009F2563">
              <w:rPr>
                <w:rFonts w:ascii="Arial" w:hAnsi="Arial" w:cs="Arial"/>
                <w:sz w:val="20"/>
                <w:szCs w:val="20"/>
              </w:rPr>
              <w:lastRenderedPageBreak/>
              <w:t>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Извор финанси</w:t>
            </w:r>
            <w:r w:rsidRPr="009F2563">
              <w:rPr>
                <w:rFonts w:ascii="Arial" w:hAnsi="Arial" w:cs="Arial"/>
                <w:sz w:val="20"/>
                <w:szCs w:val="20"/>
              </w:rPr>
              <w:lastRenderedPageBreak/>
              <w:t>рања</w:t>
            </w:r>
            <w:r w:rsidRPr="009F2563">
              <w:rPr>
                <w:rFonts w:ascii="Arial" w:hAnsi="Arial" w:cs="Arial"/>
                <w:sz w:val="20"/>
                <w:szCs w:val="20"/>
                <w:vertAlign w:val="superscript"/>
              </w:rPr>
              <w:footnoteReference w:id="55"/>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lastRenderedPageBreak/>
              <w:t>Веза са програмск</w:t>
            </w:r>
            <w:r w:rsidRPr="009F2563">
              <w:rPr>
                <w:rFonts w:ascii="Arial" w:hAnsi="Arial" w:cs="Arial"/>
                <w:sz w:val="20"/>
                <w:szCs w:val="20"/>
              </w:rPr>
              <w:lastRenderedPageBreak/>
              <w:t>им буџетом</w:t>
            </w:r>
            <w:r w:rsidRPr="009F2563">
              <w:rPr>
                <w:rFonts w:ascii="Arial" w:hAnsi="Arial" w:cs="Arial"/>
                <w:sz w:val="20"/>
                <w:szCs w:val="20"/>
                <w:vertAlign w:val="superscript"/>
              </w:rPr>
              <w:footnoteReference w:id="56"/>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Укупна процењена финанси</w:t>
            </w:r>
            <w:r w:rsidR="00EF6F4E">
              <w:rPr>
                <w:rFonts w:ascii="Arial" w:hAnsi="Arial" w:cs="Arial"/>
                <w:sz w:val="20"/>
                <w:szCs w:val="20"/>
              </w:rPr>
              <w:t xml:space="preserve">јска средства по изворима у </w:t>
            </w:r>
            <w:r w:rsidRPr="009F2563">
              <w:rPr>
                <w:rFonts w:ascii="Arial" w:hAnsi="Arial" w:cs="Arial"/>
                <w:sz w:val="20"/>
                <w:szCs w:val="20"/>
              </w:rPr>
              <w:t>дин.</w:t>
            </w:r>
            <w:r w:rsidRPr="009F2563">
              <w:rPr>
                <w:rFonts w:ascii="Arial" w:hAnsi="Arial" w:cs="Arial"/>
                <w:sz w:val="20"/>
                <w:szCs w:val="20"/>
                <w:vertAlign w:val="superscript"/>
              </w:rPr>
              <w:footnoteReference w:id="57"/>
            </w:r>
          </w:p>
        </w:tc>
      </w:tr>
      <w:tr w:rsidR="00370BA4" w:rsidRPr="00D03014"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lastRenderedPageBreak/>
              <w:t>1.3.1.</w:t>
            </w:r>
          </w:p>
          <w:p w:rsidR="00370BA4" w:rsidRPr="00D03014" w:rsidRDefault="00370BA4" w:rsidP="00370BA4">
            <w:r w:rsidRPr="00D03014">
              <w:t xml:space="preserve">Анализа и категоризација фолклорних група које функционишу на подручју града за потребе подршке на конкурсу града у култури </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Савет аматера</w:t>
            </w:r>
          </w:p>
        </w:tc>
        <w:tc>
          <w:tcPr>
            <w:tcW w:w="1284" w:type="dxa"/>
            <w:gridSpan w:val="3"/>
            <w:vAlign w:val="center"/>
          </w:tcPr>
          <w:p w:rsidR="00370BA4" w:rsidRPr="00D03014" w:rsidRDefault="00370BA4" w:rsidP="00370BA4">
            <w:pPr>
              <w:jc w:val="right"/>
            </w:pPr>
            <w:r>
              <w:t>2022</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6846FA" w:rsidRDefault="00370BA4" w:rsidP="00370BA4">
            <w:pPr>
              <w:jc w:val="right"/>
              <w:rPr>
                <w:lang/>
              </w:rPr>
            </w:pPr>
            <w:r w:rsidRPr="006846FA">
              <w:rPr>
                <w:lang/>
              </w:rPr>
              <w:t>0</w:t>
            </w:r>
          </w:p>
        </w:tc>
        <w:tc>
          <w:tcPr>
            <w:tcW w:w="1145" w:type="dxa"/>
            <w:gridSpan w:val="3"/>
            <w:shd w:val="clear" w:color="auto" w:fill="auto"/>
            <w:vAlign w:val="center"/>
          </w:tcPr>
          <w:p w:rsidR="00370BA4" w:rsidRPr="006846FA" w:rsidRDefault="00370BA4" w:rsidP="00370BA4">
            <w:pPr>
              <w:jc w:val="right"/>
              <w:rPr>
                <w:lang/>
              </w:rPr>
            </w:pPr>
            <w:r w:rsidRPr="006846FA">
              <w:rPr>
                <w:lang/>
              </w:rPr>
              <w:t>240.000</w:t>
            </w:r>
          </w:p>
        </w:tc>
        <w:tc>
          <w:tcPr>
            <w:tcW w:w="1146" w:type="dxa"/>
            <w:gridSpan w:val="2"/>
            <w:tcBorders>
              <w:right w:val="single" w:sz="4" w:space="0" w:color="auto"/>
            </w:tcBorders>
            <w:shd w:val="clear" w:color="auto" w:fill="auto"/>
            <w:vAlign w:val="center"/>
          </w:tcPr>
          <w:p w:rsidR="00370BA4" w:rsidRPr="006846FA" w:rsidRDefault="00370BA4" w:rsidP="00370BA4">
            <w:pPr>
              <w:jc w:val="right"/>
              <w:rPr>
                <w:lang/>
              </w:rPr>
            </w:pPr>
            <w:r w:rsidRPr="006846FA">
              <w:rPr>
                <w:lang/>
              </w:rPr>
              <w:t>0</w:t>
            </w:r>
          </w:p>
        </w:tc>
        <w:tc>
          <w:tcPr>
            <w:tcW w:w="1145" w:type="dxa"/>
            <w:gridSpan w:val="4"/>
            <w:tcBorders>
              <w:left w:val="single" w:sz="4" w:space="0" w:color="auto"/>
              <w:right w:val="single" w:sz="4" w:space="0" w:color="auto"/>
            </w:tcBorders>
            <w:shd w:val="clear" w:color="auto" w:fill="auto"/>
            <w:vAlign w:val="center"/>
          </w:tcPr>
          <w:p w:rsidR="00370BA4" w:rsidRPr="006846FA" w:rsidRDefault="00370BA4" w:rsidP="00370BA4">
            <w:pPr>
              <w:jc w:val="right"/>
              <w:rPr>
                <w:lang/>
              </w:rPr>
            </w:pPr>
            <w:r w:rsidRPr="006846FA">
              <w:rPr>
                <w:lang/>
              </w:rPr>
              <w:t>0</w:t>
            </w:r>
          </w:p>
        </w:tc>
        <w:tc>
          <w:tcPr>
            <w:tcW w:w="1146" w:type="dxa"/>
            <w:tcBorders>
              <w:left w:val="single" w:sz="4" w:space="0" w:color="auto"/>
              <w:right w:val="double" w:sz="4" w:space="0" w:color="auto"/>
            </w:tcBorders>
            <w:shd w:val="clear" w:color="auto" w:fill="auto"/>
            <w:vAlign w:val="center"/>
          </w:tcPr>
          <w:p w:rsidR="00370BA4" w:rsidRPr="006846FA" w:rsidRDefault="00370BA4" w:rsidP="00370BA4">
            <w:pPr>
              <w:jc w:val="right"/>
              <w:rPr>
                <w:lang/>
              </w:rPr>
            </w:pPr>
            <w:r w:rsidRPr="006846FA">
              <w:rPr>
                <w:lang/>
              </w:rPr>
              <w:t>0</w:t>
            </w:r>
          </w:p>
        </w:tc>
      </w:tr>
      <w:tr w:rsidR="00370BA4" w:rsidRPr="00D03014" w:rsidTr="006846FA">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1.3.2.</w:t>
            </w:r>
          </w:p>
          <w:p w:rsidR="00370BA4" w:rsidRPr="00D03014" w:rsidRDefault="00370BA4" w:rsidP="00370BA4">
            <w:r w:rsidRPr="00E22DAD">
              <w:t xml:space="preserve">Унапређење </w:t>
            </w:r>
            <w:r w:rsidRPr="00D03014">
              <w:t>система транспарентног извештавања о подржаним пројектима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D03014" w:rsidRDefault="00370BA4" w:rsidP="00370BA4">
            <w:pPr>
              <w:jc w:val="right"/>
            </w:pPr>
            <w:r w:rsidRPr="00D03014">
              <w:t>2021</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Default="00370BA4" w:rsidP="00370BA4">
            <w:pPr>
              <w:jc w:val="right"/>
              <w:rPr>
                <w:rFonts w:ascii="Arial" w:hAnsi="Arial" w:cs="Arial"/>
              </w:rPr>
            </w:pPr>
            <w:r w:rsidRPr="001740BA">
              <w:rPr>
                <w:lang/>
              </w:rPr>
              <w:t>0</w:t>
            </w:r>
          </w:p>
        </w:tc>
        <w:tc>
          <w:tcPr>
            <w:tcW w:w="1145" w:type="dxa"/>
            <w:gridSpan w:val="3"/>
            <w:shd w:val="clear" w:color="auto" w:fill="auto"/>
            <w:vAlign w:val="center"/>
          </w:tcPr>
          <w:p w:rsidR="00370BA4" w:rsidRPr="00D03014" w:rsidRDefault="00370BA4" w:rsidP="00370BA4">
            <w:pPr>
              <w:jc w:val="right"/>
              <w:rPr>
                <w:rFonts w:ascii="Arial" w:hAnsi="Arial" w:cs="Arial"/>
              </w:rPr>
            </w:pPr>
            <w:r w:rsidRPr="001740BA">
              <w:rPr>
                <w:lang/>
              </w:rPr>
              <w:t>0</w:t>
            </w:r>
          </w:p>
        </w:tc>
        <w:tc>
          <w:tcPr>
            <w:tcW w:w="1146" w:type="dxa"/>
            <w:gridSpan w:val="2"/>
            <w:tcBorders>
              <w:right w:val="single" w:sz="4" w:space="0" w:color="auto"/>
            </w:tcBorders>
            <w:shd w:val="clear" w:color="auto" w:fill="auto"/>
            <w:vAlign w:val="center"/>
          </w:tcPr>
          <w:p w:rsidR="00370BA4" w:rsidRPr="00D03014" w:rsidRDefault="00370BA4" w:rsidP="00370BA4">
            <w:pPr>
              <w:jc w:val="right"/>
              <w:rPr>
                <w:rFonts w:ascii="Arial" w:hAnsi="Arial" w:cs="Arial"/>
              </w:rPr>
            </w:pPr>
            <w:r w:rsidRPr="001740BA">
              <w:rPr>
                <w:lang/>
              </w:rPr>
              <w:t>0</w:t>
            </w:r>
          </w:p>
        </w:tc>
        <w:tc>
          <w:tcPr>
            <w:tcW w:w="1145" w:type="dxa"/>
            <w:gridSpan w:val="4"/>
            <w:tcBorders>
              <w:left w:val="single" w:sz="4" w:space="0" w:color="auto"/>
              <w:right w:val="single" w:sz="4" w:space="0" w:color="auto"/>
            </w:tcBorders>
            <w:shd w:val="clear" w:color="auto" w:fill="auto"/>
            <w:vAlign w:val="center"/>
          </w:tcPr>
          <w:p w:rsidR="00370BA4" w:rsidRPr="00D03014" w:rsidRDefault="00370BA4" w:rsidP="00370BA4">
            <w:pPr>
              <w:jc w:val="right"/>
              <w:rPr>
                <w:rFonts w:ascii="Arial" w:hAnsi="Arial" w:cs="Arial"/>
              </w:rPr>
            </w:pPr>
            <w:r w:rsidRPr="001740BA">
              <w:rPr>
                <w:lang/>
              </w:rPr>
              <w:t>0</w:t>
            </w:r>
          </w:p>
        </w:tc>
        <w:tc>
          <w:tcPr>
            <w:tcW w:w="1146" w:type="dxa"/>
            <w:tcBorders>
              <w:left w:val="single" w:sz="4" w:space="0" w:color="auto"/>
              <w:right w:val="double" w:sz="4" w:space="0" w:color="auto"/>
            </w:tcBorders>
            <w:shd w:val="clear" w:color="auto" w:fill="auto"/>
            <w:vAlign w:val="center"/>
          </w:tcPr>
          <w:p w:rsidR="00370BA4" w:rsidRPr="00D03014" w:rsidRDefault="00370BA4" w:rsidP="00370BA4">
            <w:pPr>
              <w:jc w:val="right"/>
              <w:rPr>
                <w:rFonts w:ascii="Arial" w:hAnsi="Arial" w:cs="Arial"/>
              </w:rPr>
            </w:pPr>
            <w:r w:rsidRPr="001740BA">
              <w:rPr>
                <w:lang/>
              </w:rPr>
              <w:t>0</w:t>
            </w:r>
          </w:p>
        </w:tc>
      </w:tr>
      <w:tr w:rsidR="00370BA4" w:rsidRPr="00D03014" w:rsidTr="006846FA">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rsidRPr="00D03014">
              <w:t>1.3.3.</w:t>
            </w:r>
          </w:p>
          <w:p w:rsidR="00370BA4" w:rsidRPr="00D03014" w:rsidRDefault="00370BA4" w:rsidP="00370BA4">
            <w:r w:rsidRPr="00E22DAD">
              <w:t xml:space="preserve">Унапређење </w:t>
            </w:r>
            <w:r w:rsidRPr="00D03014">
              <w:t>система мониторинга и евалуације подржаних пројеката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Савет аматера</w:t>
            </w:r>
          </w:p>
        </w:tc>
        <w:tc>
          <w:tcPr>
            <w:tcW w:w="1284" w:type="dxa"/>
            <w:gridSpan w:val="3"/>
            <w:vAlign w:val="center"/>
          </w:tcPr>
          <w:p w:rsidR="00370BA4" w:rsidRPr="00D03014" w:rsidRDefault="00370BA4" w:rsidP="00370BA4">
            <w:pPr>
              <w:jc w:val="right"/>
            </w:pPr>
            <w:r>
              <w:t>2022</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Default="00370BA4" w:rsidP="00370BA4">
            <w:pPr>
              <w:jc w:val="right"/>
              <w:rPr>
                <w:rFonts w:ascii="Arial" w:hAnsi="Arial" w:cs="Arial"/>
              </w:rPr>
            </w:pPr>
            <w:r w:rsidRPr="001740BA">
              <w:rPr>
                <w:lang/>
              </w:rPr>
              <w:t>0</w:t>
            </w:r>
          </w:p>
        </w:tc>
        <w:tc>
          <w:tcPr>
            <w:tcW w:w="1145" w:type="dxa"/>
            <w:gridSpan w:val="3"/>
            <w:shd w:val="clear" w:color="auto" w:fill="auto"/>
            <w:vAlign w:val="center"/>
          </w:tcPr>
          <w:p w:rsidR="00370BA4" w:rsidRPr="00D03014" w:rsidRDefault="00370BA4" w:rsidP="00370BA4">
            <w:pPr>
              <w:jc w:val="right"/>
              <w:rPr>
                <w:rFonts w:ascii="Arial" w:hAnsi="Arial" w:cs="Arial"/>
              </w:rPr>
            </w:pPr>
            <w:r w:rsidRPr="001740BA">
              <w:rPr>
                <w:lang/>
              </w:rPr>
              <w:t>0</w:t>
            </w:r>
          </w:p>
        </w:tc>
        <w:tc>
          <w:tcPr>
            <w:tcW w:w="1146" w:type="dxa"/>
            <w:gridSpan w:val="2"/>
            <w:tcBorders>
              <w:right w:val="single" w:sz="4" w:space="0" w:color="auto"/>
            </w:tcBorders>
            <w:shd w:val="clear" w:color="auto" w:fill="auto"/>
            <w:vAlign w:val="center"/>
          </w:tcPr>
          <w:p w:rsidR="00370BA4" w:rsidRPr="00D03014" w:rsidRDefault="00370BA4" w:rsidP="00370BA4">
            <w:pPr>
              <w:jc w:val="right"/>
              <w:rPr>
                <w:rFonts w:ascii="Arial" w:hAnsi="Arial" w:cs="Arial"/>
              </w:rPr>
            </w:pPr>
            <w:r w:rsidRPr="001740BA">
              <w:rPr>
                <w:lang/>
              </w:rPr>
              <w:t>0</w:t>
            </w:r>
          </w:p>
        </w:tc>
        <w:tc>
          <w:tcPr>
            <w:tcW w:w="1145" w:type="dxa"/>
            <w:gridSpan w:val="4"/>
            <w:tcBorders>
              <w:left w:val="single" w:sz="4" w:space="0" w:color="auto"/>
              <w:right w:val="single" w:sz="4" w:space="0" w:color="auto"/>
            </w:tcBorders>
            <w:shd w:val="clear" w:color="auto" w:fill="auto"/>
            <w:vAlign w:val="center"/>
          </w:tcPr>
          <w:p w:rsidR="00370BA4" w:rsidRPr="00D03014" w:rsidRDefault="00370BA4" w:rsidP="00370BA4">
            <w:pPr>
              <w:jc w:val="right"/>
              <w:rPr>
                <w:rFonts w:ascii="Arial" w:hAnsi="Arial" w:cs="Arial"/>
              </w:rPr>
            </w:pPr>
            <w:r w:rsidRPr="001740BA">
              <w:rPr>
                <w:lang/>
              </w:rPr>
              <w:t>0</w:t>
            </w:r>
          </w:p>
        </w:tc>
        <w:tc>
          <w:tcPr>
            <w:tcW w:w="1146" w:type="dxa"/>
            <w:tcBorders>
              <w:left w:val="single" w:sz="4" w:space="0" w:color="auto"/>
              <w:right w:val="double" w:sz="4" w:space="0" w:color="auto"/>
            </w:tcBorders>
            <w:shd w:val="clear" w:color="auto" w:fill="auto"/>
            <w:vAlign w:val="center"/>
          </w:tcPr>
          <w:p w:rsidR="00370BA4" w:rsidRPr="00D03014" w:rsidRDefault="00370BA4" w:rsidP="00370BA4">
            <w:pPr>
              <w:jc w:val="right"/>
              <w:rPr>
                <w:rFonts w:ascii="Arial" w:hAnsi="Arial" w:cs="Arial"/>
              </w:rPr>
            </w:pPr>
            <w:r w:rsidRPr="001740BA">
              <w:rPr>
                <w:lang/>
              </w:rPr>
              <w:t>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b/>
                <w:sz w:val="24"/>
                <w:szCs w:val="24"/>
              </w:rPr>
              <w:t>Мера 1.4: Успостављање система координације дешавања у области културе на нивоу града Сомбора</w:t>
            </w:r>
          </w:p>
        </w:tc>
      </w:tr>
      <w:tr w:rsidR="00370BA4" w:rsidRPr="00367057"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t xml:space="preserve"> </w:t>
            </w:r>
            <w:r>
              <w:rPr>
                <w:rFonts w:ascii="Arial" w:eastAsia="Times New Roman" w:hAnsi="Arial" w:cs="Arial"/>
                <w:color w:val="222222"/>
              </w:rPr>
              <w:t>Градска управа Сомбор</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rPr>
              <w:t>Тип мере:</w:t>
            </w:r>
            <w:r>
              <w:t xml:space="preserve"> </w:t>
            </w:r>
            <w:r w:rsidRPr="006846FA">
              <w:rPr>
                <w:rFonts w:ascii="Arial" w:hAnsi="Arial" w:cs="Arial"/>
              </w:rPr>
              <w:t>институционално управљачко организациона</w:t>
            </w:r>
          </w:p>
        </w:tc>
      </w:tr>
      <w:tr w:rsidR="00EF6F4E" w:rsidRPr="00D03014" w:rsidTr="001858E0">
        <w:trPr>
          <w:trHeight w:val="400"/>
        </w:trPr>
        <w:tc>
          <w:tcPr>
            <w:tcW w:w="1878" w:type="dxa"/>
            <w:gridSpan w:val="2"/>
            <w:tcBorders>
              <w:top w:val="double" w:sz="4" w:space="0" w:color="auto"/>
              <w:left w:val="double" w:sz="4" w:space="0" w:color="auto"/>
              <w:bottom w:val="doub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lastRenderedPageBreak/>
              <w:t>Показатељ(и) на нивоу посебног циља (показатељ исхода)</w:t>
            </w:r>
          </w:p>
        </w:tc>
        <w:tc>
          <w:tcPr>
            <w:tcW w:w="1463" w:type="dxa"/>
            <w:gridSpan w:val="5"/>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doub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5202A9" w:rsidRDefault="00370BA4" w:rsidP="00370BA4">
            <w:pPr>
              <w:shd w:val="clear" w:color="auto" w:fill="FFFFFF" w:themeFill="background1"/>
              <w:rPr>
                <w:rFonts w:ascii="Arial" w:hAnsi="Arial" w:cs="Arial"/>
                <w:lang/>
              </w:rPr>
            </w:pPr>
            <w:r>
              <w:rPr>
                <w:rFonts w:ascii="Arial" w:hAnsi="Arial" w:cs="Arial"/>
                <w:lang/>
              </w:rPr>
              <w:t>Број састанака организатора програма на годишњем нивоу</w:t>
            </w:r>
          </w:p>
        </w:tc>
        <w:tc>
          <w:tcPr>
            <w:tcW w:w="1463" w:type="dxa"/>
            <w:gridSpan w:val="5"/>
            <w:tcBorders>
              <w:top w:val="doub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број</w:t>
            </w:r>
          </w:p>
        </w:tc>
        <w:tc>
          <w:tcPr>
            <w:tcW w:w="1460" w:type="dxa"/>
            <w:gridSpan w:val="4"/>
            <w:tcBorders>
              <w:top w:val="doub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Извештаји установа културе, извештаји ОЦД</w:t>
            </w:r>
          </w:p>
        </w:tc>
        <w:tc>
          <w:tcPr>
            <w:tcW w:w="1459" w:type="dxa"/>
            <w:gridSpan w:val="3"/>
            <w:tcBorders>
              <w:top w:val="doub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0</w:t>
            </w:r>
          </w:p>
        </w:tc>
        <w:tc>
          <w:tcPr>
            <w:tcW w:w="1458" w:type="dxa"/>
            <w:gridSpan w:val="3"/>
            <w:tcBorders>
              <w:top w:val="double" w:sz="4" w:space="0" w:color="auto"/>
            </w:tcBorders>
            <w:shd w:val="clear" w:color="auto" w:fill="FFFFFF" w:themeFill="background1"/>
            <w:vAlign w:val="center"/>
          </w:tcPr>
          <w:p w:rsidR="00370BA4" w:rsidRPr="005202A9" w:rsidRDefault="00F07120" w:rsidP="00370BA4">
            <w:pPr>
              <w:shd w:val="clear" w:color="auto" w:fill="FFFFFF" w:themeFill="background1"/>
              <w:jc w:val="center"/>
              <w:rPr>
                <w:rFonts w:ascii="Arial" w:hAnsi="Arial" w:cs="Arial"/>
                <w:lang/>
              </w:rPr>
            </w:pPr>
            <w:r>
              <w:rPr>
                <w:rFonts w:ascii="Arial" w:hAnsi="Arial" w:cs="Arial"/>
                <w:lang/>
              </w:rPr>
              <w:t>2019</w:t>
            </w:r>
          </w:p>
        </w:tc>
        <w:tc>
          <w:tcPr>
            <w:tcW w:w="1222" w:type="dxa"/>
            <w:gridSpan w:val="4"/>
            <w:tcBorders>
              <w:top w:val="doub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4</w:t>
            </w:r>
          </w:p>
        </w:tc>
        <w:tc>
          <w:tcPr>
            <w:tcW w:w="1222" w:type="dxa"/>
            <w:gridSpan w:val="3"/>
            <w:tcBorders>
              <w:top w:val="double" w:sz="4" w:space="0" w:color="auto"/>
              <w:right w:val="sing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12</w:t>
            </w:r>
          </w:p>
        </w:tc>
        <w:tc>
          <w:tcPr>
            <w:tcW w:w="1221" w:type="dxa"/>
            <w:gridSpan w:val="2"/>
            <w:tcBorders>
              <w:top w:val="double" w:sz="4" w:space="0" w:color="auto"/>
              <w:right w:val="sing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20</w:t>
            </w:r>
          </w:p>
        </w:tc>
        <w:tc>
          <w:tcPr>
            <w:tcW w:w="1226" w:type="dxa"/>
            <w:gridSpan w:val="4"/>
            <w:tcBorders>
              <w:top w:val="double" w:sz="4" w:space="0" w:color="auto"/>
              <w:right w:val="sing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28</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Pr="005202A9" w:rsidRDefault="00370BA4" w:rsidP="00370BA4">
            <w:pPr>
              <w:shd w:val="clear" w:color="auto" w:fill="FFFFFF" w:themeFill="background1"/>
              <w:jc w:val="center"/>
              <w:rPr>
                <w:rFonts w:ascii="Arial" w:hAnsi="Arial" w:cs="Arial"/>
                <w:lang/>
              </w:rPr>
            </w:pPr>
            <w:r>
              <w:rPr>
                <w:rFonts w:ascii="Arial" w:hAnsi="Arial" w:cs="Arial"/>
                <w:lang/>
              </w:rPr>
              <w:t>36</w:t>
            </w:r>
          </w:p>
        </w:tc>
      </w:tr>
      <w:tr w:rsidR="00370BA4" w:rsidRPr="00D03014" w:rsidTr="001858E0">
        <w:trPr>
          <w:trHeight w:val="398"/>
        </w:trPr>
        <w:tc>
          <w:tcPr>
            <w:tcW w:w="2531" w:type="dxa"/>
            <w:gridSpan w:val="5"/>
            <w:vMerge w:val="restart"/>
            <w:tcBorders>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58"/>
            </w:r>
          </w:p>
        </w:tc>
        <w:tc>
          <w:tcPr>
            <w:tcW w:w="2145" w:type="dxa"/>
            <w:gridSpan w:val="5"/>
            <w:vMerge w:val="restart"/>
            <w:tcBorders>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59"/>
            </w:r>
          </w:p>
        </w:tc>
        <w:tc>
          <w:tcPr>
            <w:tcW w:w="9156" w:type="dxa"/>
            <w:gridSpan w:val="22"/>
            <w:tcBorders>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 xml:space="preserve"> Укупна проце</w:t>
            </w:r>
            <w:r w:rsidR="00EF6F4E">
              <w:rPr>
                <w:rFonts w:ascii="Arial" w:hAnsi="Arial" w:cs="Arial"/>
              </w:rPr>
              <w:t xml:space="preserve">њена финансијска средства у </w:t>
            </w:r>
            <w:r w:rsidRPr="00D03014">
              <w:rPr>
                <w:rFonts w:ascii="Arial" w:hAnsi="Arial" w:cs="Arial"/>
              </w:rPr>
              <w:t>дин.</w:t>
            </w:r>
          </w:p>
        </w:tc>
      </w:tr>
      <w:tr w:rsidR="00EF6F4E"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1.350.000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100.000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100.000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100.000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w:t>
            </w:r>
          </w:p>
        </w:tc>
      </w:tr>
      <w:tr w:rsidR="00370BA4" w:rsidRPr="00D03014"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60"/>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61"/>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Укупна процењена финансијска средс</w:t>
            </w:r>
            <w:r w:rsidR="00EF6F4E">
              <w:rPr>
                <w:rFonts w:ascii="Arial" w:hAnsi="Arial" w:cs="Arial"/>
                <w:sz w:val="20"/>
                <w:szCs w:val="20"/>
              </w:rPr>
              <w:t>тва по изворима у</w:t>
            </w:r>
            <w:r w:rsidRPr="009F2563">
              <w:rPr>
                <w:rFonts w:ascii="Arial" w:hAnsi="Arial" w:cs="Arial"/>
                <w:sz w:val="20"/>
                <w:szCs w:val="20"/>
              </w:rPr>
              <w:t xml:space="preserve"> дин.</w:t>
            </w:r>
            <w:r w:rsidRPr="009F2563">
              <w:rPr>
                <w:rFonts w:ascii="Arial" w:hAnsi="Arial" w:cs="Arial"/>
                <w:sz w:val="20"/>
                <w:szCs w:val="20"/>
                <w:vertAlign w:val="superscript"/>
              </w:rPr>
              <w:footnoteReference w:id="62"/>
            </w:r>
          </w:p>
        </w:tc>
      </w:tr>
      <w:tr w:rsidR="00370BA4" w:rsidRPr="00D03014"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t>1.4.1</w:t>
            </w:r>
            <w:r w:rsidRPr="00D03014">
              <w:t>.</w:t>
            </w:r>
          </w:p>
          <w:p w:rsidR="00370BA4" w:rsidRPr="00D03014" w:rsidRDefault="00370BA4" w:rsidP="00370BA4">
            <w:r w:rsidRPr="00D03014">
              <w:t>Креирање јединственог календара манифестација и програма (јавних, цивилних и приватних организатора)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ТО Сомбор, установе културе, ОЦД</w:t>
            </w:r>
          </w:p>
        </w:tc>
        <w:tc>
          <w:tcPr>
            <w:tcW w:w="1284" w:type="dxa"/>
            <w:gridSpan w:val="3"/>
            <w:vAlign w:val="center"/>
          </w:tcPr>
          <w:p w:rsidR="00370BA4" w:rsidRPr="00D03014" w:rsidRDefault="00370BA4" w:rsidP="00370BA4">
            <w:r>
              <w:t>2022</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6846FA" w:rsidRDefault="00370BA4" w:rsidP="00370BA4">
            <w:pPr>
              <w:jc w:val="right"/>
            </w:pPr>
            <w:r w:rsidRPr="006846FA">
              <w:t>0</w:t>
            </w:r>
          </w:p>
        </w:tc>
        <w:tc>
          <w:tcPr>
            <w:tcW w:w="1145" w:type="dxa"/>
            <w:gridSpan w:val="3"/>
            <w:shd w:val="clear" w:color="auto" w:fill="auto"/>
            <w:vAlign w:val="center"/>
          </w:tcPr>
          <w:p w:rsidR="00370BA4" w:rsidRPr="006846FA" w:rsidRDefault="00370BA4" w:rsidP="00370BA4">
            <w:pPr>
              <w:jc w:val="right"/>
            </w:pPr>
            <w:r w:rsidRPr="006846FA">
              <w:t>1.350.000</w:t>
            </w:r>
          </w:p>
        </w:tc>
        <w:tc>
          <w:tcPr>
            <w:tcW w:w="1146" w:type="dxa"/>
            <w:gridSpan w:val="2"/>
            <w:tcBorders>
              <w:right w:val="single" w:sz="4" w:space="0" w:color="auto"/>
            </w:tcBorders>
            <w:shd w:val="clear" w:color="auto" w:fill="auto"/>
            <w:vAlign w:val="center"/>
          </w:tcPr>
          <w:p w:rsidR="00370BA4" w:rsidRPr="006846FA" w:rsidRDefault="00370BA4" w:rsidP="00370BA4">
            <w:pPr>
              <w:jc w:val="right"/>
            </w:pPr>
            <w:r w:rsidRPr="006846FA">
              <w:t>0</w:t>
            </w:r>
          </w:p>
        </w:tc>
        <w:tc>
          <w:tcPr>
            <w:tcW w:w="1145" w:type="dxa"/>
            <w:gridSpan w:val="4"/>
            <w:tcBorders>
              <w:left w:val="single" w:sz="4" w:space="0" w:color="auto"/>
              <w:right w:val="single" w:sz="4" w:space="0" w:color="auto"/>
            </w:tcBorders>
            <w:shd w:val="clear" w:color="auto" w:fill="auto"/>
            <w:vAlign w:val="center"/>
          </w:tcPr>
          <w:p w:rsidR="00370BA4" w:rsidRPr="006846FA" w:rsidRDefault="00370BA4" w:rsidP="00370BA4">
            <w:pPr>
              <w:jc w:val="right"/>
            </w:pPr>
            <w:r w:rsidRPr="006846FA">
              <w:t>0</w:t>
            </w:r>
          </w:p>
        </w:tc>
        <w:tc>
          <w:tcPr>
            <w:tcW w:w="1146" w:type="dxa"/>
            <w:tcBorders>
              <w:left w:val="single" w:sz="4" w:space="0" w:color="auto"/>
              <w:right w:val="double" w:sz="4" w:space="0" w:color="auto"/>
            </w:tcBorders>
            <w:shd w:val="clear" w:color="auto" w:fill="auto"/>
            <w:vAlign w:val="center"/>
          </w:tcPr>
          <w:p w:rsidR="00370BA4" w:rsidRPr="006846FA" w:rsidRDefault="00370BA4" w:rsidP="00370BA4">
            <w:pPr>
              <w:jc w:val="right"/>
            </w:pPr>
            <w:r w:rsidRPr="006846FA">
              <w:t>0</w:t>
            </w:r>
          </w:p>
        </w:tc>
      </w:tr>
      <w:tr w:rsidR="00370BA4" w:rsidRPr="00D03014" w:rsidTr="00370BA4">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lastRenderedPageBreak/>
              <w:t>1.4.2</w:t>
            </w:r>
            <w:r w:rsidRPr="00D03014">
              <w:t>.</w:t>
            </w:r>
          </w:p>
          <w:p w:rsidR="00370BA4" w:rsidRPr="00D03014" w:rsidRDefault="00370BA4" w:rsidP="00370BA4">
            <w:r w:rsidRPr="00D03014">
              <w:t xml:space="preserve">Увођење система редовних месечних састанака организатора програма </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установе и организације у  култури</w:t>
            </w:r>
          </w:p>
        </w:tc>
        <w:tc>
          <w:tcPr>
            <w:tcW w:w="1284" w:type="dxa"/>
            <w:gridSpan w:val="3"/>
            <w:vAlign w:val="center"/>
          </w:tcPr>
          <w:p w:rsidR="00370BA4" w:rsidRPr="00D03014" w:rsidRDefault="00370BA4" w:rsidP="00370BA4">
            <w:r>
              <w:t>2021</w:t>
            </w:r>
          </w:p>
        </w:tc>
        <w:tc>
          <w:tcPr>
            <w:tcW w:w="1039" w:type="dxa"/>
            <w:gridSpan w:val="4"/>
          </w:tcPr>
          <w:p w:rsidR="00370BA4" w:rsidRPr="00D03014" w:rsidRDefault="00370BA4" w:rsidP="00370BA4">
            <w:r w:rsidRPr="0097404A">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Default="00370BA4" w:rsidP="00370BA4">
            <w:pPr>
              <w:jc w:val="right"/>
              <w:rPr>
                <w:rFonts w:ascii="Arial" w:hAnsi="Arial" w:cs="Arial"/>
              </w:rPr>
            </w:pPr>
            <w:r w:rsidRPr="005E2FAC">
              <w:t>0</w:t>
            </w:r>
          </w:p>
        </w:tc>
        <w:tc>
          <w:tcPr>
            <w:tcW w:w="1145" w:type="dxa"/>
            <w:gridSpan w:val="3"/>
            <w:shd w:val="clear" w:color="auto" w:fill="auto"/>
            <w:vAlign w:val="center"/>
          </w:tcPr>
          <w:p w:rsidR="00370BA4" w:rsidRPr="00D03014" w:rsidRDefault="00370BA4" w:rsidP="00370BA4">
            <w:pPr>
              <w:jc w:val="right"/>
              <w:rPr>
                <w:rFonts w:ascii="Arial" w:hAnsi="Arial" w:cs="Arial"/>
              </w:rPr>
            </w:pPr>
            <w:r w:rsidRPr="005E2FAC">
              <w:t>0</w:t>
            </w:r>
          </w:p>
        </w:tc>
        <w:tc>
          <w:tcPr>
            <w:tcW w:w="1146" w:type="dxa"/>
            <w:gridSpan w:val="2"/>
            <w:tcBorders>
              <w:right w:val="single" w:sz="4" w:space="0" w:color="auto"/>
            </w:tcBorders>
            <w:shd w:val="clear" w:color="auto" w:fill="auto"/>
            <w:vAlign w:val="center"/>
          </w:tcPr>
          <w:p w:rsidR="00370BA4" w:rsidRPr="00D03014" w:rsidRDefault="00370BA4" w:rsidP="00370BA4">
            <w:pPr>
              <w:jc w:val="right"/>
              <w:rPr>
                <w:rFonts w:ascii="Arial" w:hAnsi="Arial" w:cs="Arial"/>
              </w:rPr>
            </w:pPr>
            <w:r w:rsidRPr="005E2FAC">
              <w:t>0</w:t>
            </w:r>
          </w:p>
        </w:tc>
        <w:tc>
          <w:tcPr>
            <w:tcW w:w="1145" w:type="dxa"/>
            <w:gridSpan w:val="4"/>
            <w:tcBorders>
              <w:left w:val="single" w:sz="4" w:space="0" w:color="auto"/>
              <w:right w:val="single" w:sz="4" w:space="0" w:color="auto"/>
            </w:tcBorders>
            <w:shd w:val="clear" w:color="auto" w:fill="auto"/>
            <w:vAlign w:val="center"/>
          </w:tcPr>
          <w:p w:rsidR="00370BA4" w:rsidRPr="00D03014" w:rsidRDefault="00370BA4" w:rsidP="00370BA4">
            <w:pPr>
              <w:jc w:val="right"/>
              <w:rPr>
                <w:rFonts w:ascii="Arial" w:hAnsi="Arial" w:cs="Arial"/>
              </w:rPr>
            </w:pPr>
            <w:r w:rsidRPr="005E2FAC">
              <w:t>0</w:t>
            </w:r>
          </w:p>
        </w:tc>
        <w:tc>
          <w:tcPr>
            <w:tcW w:w="1146" w:type="dxa"/>
            <w:tcBorders>
              <w:left w:val="single" w:sz="4" w:space="0" w:color="auto"/>
              <w:right w:val="double" w:sz="4" w:space="0" w:color="auto"/>
            </w:tcBorders>
            <w:shd w:val="clear" w:color="auto" w:fill="auto"/>
            <w:vAlign w:val="center"/>
          </w:tcPr>
          <w:p w:rsidR="00370BA4" w:rsidRPr="00D03014" w:rsidRDefault="00370BA4" w:rsidP="00370BA4">
            <w:pPr>
              <w:jc w:val="right"/>
              <w:rPr>
                <w:rFonts w:ascii="Arial" w:hAnsi="Arial" w:cs="Arial"/>
              </w:rPr>
            </w:pPr>
            <w:r w:rsidRPr="005E2FAC">
              <w:t>0</w:t>
            </w:r>
          </w:p>
        </w:tc>
      </w:tr>
      <w:tr w:rsidR="00370BA4" w:rsidRPr="00D03014" w:rsidTr="00370BA4">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370BA4" w:rsidRPr="00D03014" w:rsidRDefault="00370BA4" w:rsidP="00370BA4">
            <w:r>
              <w:t>1.4.3</w:t>
            </w:r>
            <w:r w:rsidRPr="00D03014">
              <w:t xml:space="preserve">. </w:t>
            </w:r>
          </w:p>
          <w:p w:rsidR="00370BA4" w:rsidRPr="00D03014" w:rsidRDefault="00370BA4" w:rsidP="00370BA4">
            <w:r w:rsidRPr="00D03014">
              <w:t>Увођење размене програма</w:t>
            </w:r>
            <w:r w:rsidRPr="00D03014">
              <w:rPr>
                <w:lang w:val="en-GB"/>
              </w:rPr>
              <w:t xml:space="preserve">, </w:t>
            </w:r>
            <w:r w:rsidRPr="00D03014">
              <w:t>знања и вештина између   удружења грађана у култури (на територији урбаног и руралног дела града)</w:t>
            </w:r>
          </w:p>
        </w:tc>
        <w:tc>
          <w:tcPr>
            <w:tcW w:w="1301" w:type="dxa"/>
            <w:gridSpan w:val="5"/>
            <w:vAlign w:val="center"/>
          </w:tcPr>
          <w:p w:rsidR="00370BA4" w:rsidRPr="00D03014" w:rsidRDefault="00370BA4" w:rsidP="00370BA4">
            <w:r w:rsidRPr="00D03014">
              <w:t xml:space="preserve"> ГУ Сомбор</w:t>
            </w:r>
          </w:p>
        </w:tc>
        <w:tc>
          <w:tcPr>
            <w:tcW w:w="1487" w:type="dxa"/>
            <w:gridSpan w:val="3"/>
            <w:vAlign w:val="center"/>
          </w:tcPr>
          <w:p w:rsidR="00370BA4" w:rsidRPr="00D03014" w:rsidRDefault="00370BA4" w:rsidP="00370BA4">
            <w:r w:rsidRPr="00D03014">
              <w:t xml:space="preserve">ОЦД, </w:t>
            </w:r>
          </w:p>
          <w:p w:rsidR="00370BA4" w:rsidRPr="00D03014" w:rsidRDefault="00370BA4" w:rsidP="00370BA4">
            <w:r w:rsidRPr="00D03014">
              <w:t>Културни центар „Лаза Костић“</w:t>
            </w:r>
          </w:p>
        </w:tc>
        <w:tc>
          <w:tcPr>
            <w:tcW w:w="1284" w:type="dxa"/>
            <w:gridSpan w:val="3"/>
            <w:vAlign w:val="center"/>
          </w:tcPr>
          <w:p w:rsidR="00370BA4" w:rsidRPr="00D03014" w:rsidRDefault="00370BA4" w:rsidP="00370BA4">
            <w:r>
              <w:t xml:space="preserve">  2023</w:t>
            </w:r>
          </w:p>
        </w:tc>
        <w:tc>
          <w:tcPr>
            <w:tcW w:w="1039" w:type="dxa"/>
            <w:gridSpan w:val="4"/>
          </w:tcPr>
          <w:p w:rsidR="00370BA4" w:rsidRPr="00D03014" w:rsidRDefault="00370BA4" w:rsidP="00370BA4">
            <w:r w:rsidRPr="0097404A">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Default="00370BA4" w:rsidP="00370BA4">
            <w:pPr>
              <w:jc w:val="right"/>
              <w:rPr>
                <w:rFonts w:ascii="Arial" w:hAnsi="Arial" w:cs="Arial"/>
              </w:rPr>
            </w:pPr>
            <w:r w:rsidRPr="005E2FAC">
              <w:t>0</w:t>
            </w:r>
          </w:p>
        </w:tc>
        <w:tc>
          <w:tcPr>
            <w:tcW w:w="1145" w:type="dxa"/>
            <w:gridSpan w:val="3"/>
            <w:shd w:val="clear" w:color="auto" w:fill="auto"/>
            <w:vAlign w:val="center"/>
          </w:tcPr>
          <w:p w:rsidR="00370BA4" w:rsidRPr="00D03014" w:rsidRDefault="00370BA4" w:rsidP="00370BA4">
            <w:pPr>
              <w:jc w:val="right"/>
              <w:rPr>
                <w:rFonts w:ascii="Arial" w:hAnsi="Arial" w:cs="Arial"/>
              </w:rPr>
            </w:pPr>
            <w:r w:rsidRPr="005E2FAC">
              <w:t>0</w:t>
            </w:r>
          </w:p>
        </w:tc>
        <w:tc>
          <w:tcPr>
            <w:tcW w:w="1146" w:type="dxa"/>
            <w:gridSpan w:val="2"/>
            <w:tcBorders>
              <w:right w:val="single" w:sz="4" w:space="0" w:color="auto"/>
            </w:tcBorders>
            <w:shd w:val="clear" w:color="auto" w:fill="auto"/>
            <w:vAlign w:val="center"/>
          </w:tcPr>
          <w:p w:rsidR="00370BA4" w:rsidRPr="00D03014" w:rsidRDefault="00370BA4" w:rsidP="00370BA4">
            <w:pPr>
              <w:jc w:val="right"/>
              <w:rPr>
                <w:rFonts w:ascii="Arial" w:hAnsi="Arial" w:cs="Arial"/>
              </w:rPr>
            </w:pPr>
            <w:r>
              <w:rPr>
                <w:lang/>
              </w:rPr>
              <w:t>100.00</w:t>
            </w:r>
            <w:r w:rsidRPr="005E2FAC">
              <w:t>0</w:t>
            </w:r>
          </w:p>
        </w:tc>
        <w:tc>
          <w:tcPr>
            <w:tcW w:w="1145" w:type="dxa"/>
            <w:gridSpan w:val="4"/>
            <w:tcBorders>
              <w:left w:val="single" w:sz="4" w:space="0" w:color="auto"/>
              <w:right w:val="single" w:sz="4" w:space="0" w:color="auto"/>
            </w:tcBorders>
            <w:shd w:val="clear" w:color="auto" w:fill="auto"/>
            <w:vAlign w:val="center"/>
          </w:tcPr>
          <w:p w:rsidR="00370BA4" w:rsidRPr="00D03014" w:rsidRDefault="00370BA4" w:rsidP="00370BA4">
            <w:pPr>
              <w:jc w:val="right"/>
              <w:rPr>
                <w:rFonts w:ascii="Arial" w:hAnsi="Arial" w:cs="Arial"/>
              </w:rPr>
            </w:pPr>
            <w:r>
              <w:rPr>
                <w:lang/>
              </w:rPr>
              <w:t>100.00</w:t>
            </w:r>
            <w:r w:rsidRPr="005E2FAC">
              <w:t>0</w:t>
            </w:r>
          </w:p>
        </w:tc>
        <w:tc>
          <w:tcPr>
            <w:tcW w:w="1146" w:type="dxa"/>
            <w:tcBorders>
              <w:left w:val="single" w:sz="4" w:space="0" w:color="auto"/>
              <w:right w:val="double" w:sz="4" w:space="0" w:color="auto"/>
            </w:tcBorders>
            <w:shd w:val="clear" w:color="auto" w:fill="auto"/>
            <w:vAlign w:val="center"/>
          </w:tcPr>
          <w:p w:rsidR="00370BA4" w:rsidRPr="00D03014" w:rsidRDefault="00370BA4" w:rsidP="00370BA4">
            <w:pPr>
              <w:jc w:val="right"/>
              <w:rPr>
                <w:rFonts w:ascii="Arial" w:hAnsi="Arial" w:cs="Arial"/>
              </w:rPr>
            </w:pPr>
            <w:r>
              <w:rPr>
                <w:lang/>
              </w:rPr>
              <w:t>100.00</w:t>
            </w:r>
            <w:r w:rsidRPr="005E2FAC">
              <w:t>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C5E0B3" w:themeFill="accent6" w:themeFillTint="66"/>
            <w:vAlign w:val="center"/>
          </w:tcPr>
          <w:p w:rsidR="00370BA4" w:rsidRPr="00D03014" w:rsidRDefault="00370BA4" w:rsidP="00370BA4">
            <w:pPr>
              <w:rPr>
                <w:rFonts w:ascii="Arial" w:hAnsi="Arial" w:cs="Arial"/>
                <w:b/>
                <w:sz w:val="28"/>
                <w:szCs w:val="28"/>
              </w:rPr>
            </w:pPr>
            <w:r w:rsidRPr="00D03014">
              <w:rPr>
                <w:rFonts w:ascii="Arial" w:hAnsi="Arial" w:cs="Arial"/>
                <w:b/>
                <w:sz w:val="28"/>
                <w:szCs w:val="28"/>
              </w:rPr>
              <w:t>Посебни циљ 2: Побољшање културне инфраструктуре у граду Сомбору</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C5E0B3" w:themeFill="accent6" w:themeFillTint="66"/>
            <w:vAlign w:val="center"/>
          </w:tcPr>
          <w:p w:rsidR="00370BA4" w:rsidRPr="00D03014" w:rsidRDefault="00370BA4" w:rsidP="00370BA4">
            <w:pPr>
              <w:rPr>
                <w:rFonts w:ascii="Arial" w:eastAsia="Times New Roman" w:hAnsi="Arial" w:cs="Arial"/>
                <w:color w:val="222222"/>
                <w:sz w:val="24"/>
                <w:szCs w:val="24"/>
              </w:rPr>
            </w:pPr>
            <w:r w:rsidRPr="00D03014">
              <w:rPr>
                <w:rFonts w:ascii="Arial" w:eastAsia="Times New Roman" w:hAnsi="Arial" w:cs="Arial"/>
                <w:color w:val="222222"/>
                <w:sz w:val="24"/>
                <w:szCs w:val="24"/>
              </w:rPr>
              <w:t>Институција одговорна за праћење и контролу реализације</w:t>
            </w:r>
            <w:r w:rsidRPr="00D03014">
              <w:rPr>
                <w:rFonts w:ascii="Arial" w:eastAsia="Times New Roman" w:hAnsi="Arial" w:cs="Arial"/>
                <w:color w:val="222222"/>
              </w:rPr>
              <w:t>: Градска управа Сомбор, Савет за културу града Сомбора</w:t>
            </w:r>
          </w:p>
        </w:tc>
      </w:tr>
      <w:tr w:rsidR="00EF6F4E" w:rsidRPr="00D03014" w:rsidTr="001858E0">
        <w:trPr>
          <w:trHeight w:val="400"/>
        </w:trPr>
        <w:tc>
          <w:tcPr>
            <w:tcW w:w="1878" w:type="dxa"/>
            <w:gridSpan w:val="2"/>
            <w:tcBorders>
              <w:top w:val="double" w:sz="4" w:space="0" w:color="auto"/>
              <w:left w:val="doub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370BA4"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rPr>
                <w:rFonts w:ascii="Arial" w:hAnsi="Arial" w:cs="Arial"/>
                <w:lang/>
              </w:rPr>
            </w:pPr>
            <w:r w:rsidRPr="00D20B5B">
              <w:rPr>
                <w:rFonts w:ascii="Arial" w:hAnsi="Arial" w:cs="Arial"/>
                <w:lang/>
              </w:rPr>
              <w:t xml:space="preserve">Дефинисан трогодишњи план инфраструктурних улагања установа културе </w:t>
            </w:r>
          </w:p>
        </w:tc>
        <w:tc>
          <w:tcPr>
            <w:tcW w:w="1463" w:type="dxa"/>
            <w:gridSpan w:val="5"/>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contextualSpacing/>
              <w:rPr>
                <w:rFonts w:ascii="Arial" w:hAnsi="Arial" w:cs="Arial"/>
                <w:lang/>
              </w:rPr>
            </w:pPr>
            <w:r w:rsidRPr="00D20B5B">
              <w:rPr>
                <w:rFonts w:ascii="Arial" w:hAnsi="Arial" w:cs="Arial"/>
                <w:lang/>
              </w:rPr>
              <w:t>0-не</w:t>
            </w:r>
          </w:p>
          <w:p w:rsidR="00370BA4" w:rsidRPr="00D20B5B" w:rsidRDefault="00370BA4" w:rsidP="00370BA4">
            <w:pPr>
              <w:shd w:val="clear" w:color="auto" w:fill="FFFFFF" w:themeFill="background1"/>
              <w:contextualSpacing/>
              <w:rPr>
                <w:rFonts w:ascii="Arial" w:hAnsi="Arial" w:cs="Arial"/>
                <w:lang/>
              </w:rPr>
            </w:pPr>
            <w:r w:rsidRPr="00D20B5B">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Извештај ГУ Сомбор, Извештаји установа културе</w:t>
            </w:r>
          </w:p>
        </w:tc>
        <w:tc>
          <w:tcPr>
            <w:tcW w:w="1459"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c>
          <w:tcPr>
            <w:tcW w:w="1222"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r>
      <w:tr w:rsidR="00370BA4" w:rsidRPr="00E329E3" w:rsidTr="001858E0">
        <w:trPr>
          <w:trHeight w:val="400"/>
        </w:trPr>
        <w:tc>
          <w:tcPr>
            <w:tcW w:w="1878" w:type="dxa"/>
            <w:gridSpan w:val="2"/>
            <w:tcBorders>
              <w:top w:val="double" w:sz="4" w:space="0" w:color="auto"/>
              <w:left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rPr>
                <w:rFonts w:ascii="Arial" w:hAnsi="Arial" w:cs="Arial"/>
              </w:rPr>
            </w:pPr>
            <w:r w:rsidRPr="00D20B5B">
              <w:rPr>
                <w:rFonts w:ascii="Arial" w:hAnsi="Arial" w:cs="Arial"/>
                <w:lang/>
              </w:rPr>
              <w:lastRenderedPageBreak/>
              <w:t xml:space="preserve">Реализовани сви започети и планирани пројекти </w:t>
            </w:r>
          </w:p>
        </w:tc>
        <w:tc>
          <w:tcPr>
            <w:tcW w:w="1463" w:type="dxa"/>
            <w:gridSpan w:val="5"/>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contextualSpacing/>
              <w:rPr>
                <w:rFonts w:ascii="Arial" w:hAnsi="Arial" w:cs="Arial"/>
                <w:lang/>
              </w:rPr>
            </w:pPr>
            <w:r w:rsidRPr="00D20B5B">
              <w:rPr>
                <w:rFonts w:ascii="Arial" w:hAnsi="Arial" w:cs="Arial"/>
                <w:lang/>
              </w:rPr>
              <w:t>0-не</w:t>
            </w:r>
          </w:p>
          <w:p w:rsidR="00370BA4" w:rsidRPr="00D20B5B" w:rsidRDefault="00370BA4" w:rsidP="00370BA4">
            <w:pPr>
              <w:shd w:val="clear" w:color="auto" w:fill="FFFFFF" w:themeFill="background1"/>
              <w:rPr>
                <w:rFonts w:ascii="Arial" w:hAnsi="Arial" w:cs="Arial"/>
              </w:rPr>
            </w:pPr>
            <w:r w:rsidRPr="00D20B5B">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Извештај ГУ Сомбор, Извештаји установа културе</w:t>
            </w:r>
          </w:p>
        </w:tc>
        <w:tc>
          <w:tcPr>
            <w:tcW w:w="1459"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0</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rPr>
            </w:pPr>
            <w:r w:rsidRPr="00D20B5B">
              <w:rPr>
                <w:rFonts w:ascii="Arial" w:hAnsi="Arial" w:cs="Arial"/>
                <w:lang/>
              </w:rPr>
              <w:t>1</w:t>
            </w:r>
          </w:p>
        </w:tc>
      </w:tr>
      <w:tr w:rsidR="00370BA4" w:rsidTr="001858E0">
        <w:trPr>
          <w:trHeight w:val="400"/>
        </w:trPr>
        <w:tc>
          <w:tcPr>
            <w:tcW w:w="1878" w:type="dxa"/>
            <w:gridSpan w:val="2"/>
            <w:tcBorders>
              <w:top w:val="double" w:sz="4" w:space="0" w:color="auto"/>
              <w:left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rPr>
                <w:rFonts w:ascii="Arial" w:hAnsi="Arial" w:cs="Arial"/>
                <w:lang/>
              </w:rPr>
            </w:pPr>
            <w:r w:rsidRPr="00D20B5B">
              <w:rPr>
                <w:rFonts w:ascii="Arial" w:hAnsi="Arial" w:cs="Arial"/>
                <w:lang/>
              </w:rPr>
              <w:t>Успостављен систем планског улагања у одржавање установа културе</w:t>
            </w:r>
          </w:p>
        </w:tc>
        <w:tc>
          <w:tcPr>
            <w:tcW w:w="1463" w:type="dxa"/>
            <w:gridSpan w:val="5"/>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contextualSpacing/>
              <w:rPr>
                <w:rFonts w:ascii="Arial" w:hAnsi="Arial" w:cs="Arial"/>
                <w:lang/>
              </w:rPr>
            </w:pPr>
            <w:r w:rsidRPr="00D20B5B">
              <w:rPr>
                <w:rFonts w:ascii="Arial" w:hAnsi="Arial" w:cs="Arial"/>
                <w:lang/>
              </w:rPr>
              <w:t>0-не</w:t>
            </w:r>
          </w:p>
          <w:p w:rsidR="00370BA4" w:rsidRPr="00D20B5B" w:rsidRDefault="00370BA4" w:rsidP="00370BA4">
            <w:pPr>
              <w:shd w:val="clear" w:color="auto" w:fill="FFFFFF" w:themeFill="background1"/>
              <w:contextualSpacing/>
              <w:rPr>
                <w:rFonts w:ascii="Arial" w:hAnsi="Arial" w:cs="Arial"/>
                <w:lang/>
              </w:rPr>
            </w:pPr>
            <w:r w:rsidRPr="00D20B5B">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Извештај ГУ Сомбор, Извештаји установа културе</w:t>
            </w:r>
          </w:p>
        </w:tc>
        <w:tc>
          <w:tcPr>
            <w:tcW w:w="1459"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20B5B" w:rsidRDefault="00370BA4" w:rsidP="00370BA4">
            <w:pPr>
              <w:shd w:val="clear" w:color="auto" w:fill="FFFFFF" w:themeFill="background1"/>
              <w:jc w:val="center"/>
              <w:rPr>
                <w:rFonts w:ascii="Arial" w:hAnsi="Arial" w:cs="Arial"/>
                <w:lang/>
              </w:rPr>
            </w:pPr>
            <w:r w:rsidRPr="00D20B5B">
              <w:rPr>
                <w:rFonts w:ascii="Arial" w:hAnsi="Arial" w:cs="Arial"/>
                <w:lang/>
              </w:rPr>
              <w:t>1</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b/>
                <w:sz w:val="24"/>
                <w:szCs w:val="24"/>
              </w:rPr>
              <w:t>Мера 2.1: Реализација инфраструктурних пројеката</w:t>
            </w:r>
          </w:p>
        </w:tc>
      </w:tr>
      <w:tr w:rsidR="00370BA4" w:rsidRPr="00367057"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eastAsia="Times New Roman" w:hAnsi="Arial" w:cs="Arial"/>
                <w:color w:val="222222"/>
              </w:rPr>
            </w:pPr>
            <w:r w:rsidRPr="00D03014">
              <w:rPr>
                <w:rFonts w:ascii="Arial" w:eastAsia="Times New Roman" w:hAnsi="Arial" w:cs="Arial"/>
                <w:color w:val="222222"/>
              </w:rPr>
              <w:t>Институција одговорна за праћење и контролу реализације:</w:t>
            </w:r>
            <w:r>
              <w:t xml:space="preserve"> </w:t>
            </w:r>
            <w:r w:rsidRPr="00367057">
              <w:rPr>
                <w:rFonts w:ascii="Arial" w:eastAsia="Times New Roman" w:hAnsi="Arial" w:cs="Arial"/>
                <w:color w:val="222222"/>
              </w:rPr>
              <w:t>Градска управа Сомбор</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rPr>
              <w:t>Тип мере:</w:t>
            </w:r>
            <w:r>
              <w:t xml:space="preserve"> </w:t>
            </w:r>
            <w:r>
              <w:rPr>
                <w:rFonts w:ascii="Arial" w:hAnsi="Arial" w:cs="Arial"/>
              </w:rPr>
              <w:t>об</w:t>
            </w:r>
            <w:r w:rsidRPr="006846FA">
              <w:rPr>
                <w:rFonts w:ascii="Arial" w:hAnsi="Arial" w:cs="Arial"/>
              </w:rPr>
              <w:t>езбеђење добара и пружање услуга од стране учесника у планском систему</w:t>
            </w:r>
          </w:p>
        </w:tc>
      </w:tr>
      <w:tr w:rsidR="00EF6F4E"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F12BBE" w:rsidRDefault="00370BA4" w:rsidP="00370BA4">
            <w:pPr>
              <w:shd w:val="clear" w:color="auto" w:fill="FFFFFF" w:themeFill="background1"/>
              <w:rPr>
                <w:rFonts w:ascii="Arial" w:hAnsi="Arial" w:cs="Arial"/>
                <w:lang/>
              </w:rPr>
            </w:pPr>
            <w:r w:rsidRPr="00F12BBE">
              <w:rPr>
                <w:rFonts w:ascii="Arial" w:hAnsi="Arial" w:cs="Arial"/>
                <w:lang/>
              </w:rPr>
              <w:t>Решен просторни проблем Историјског архива Сомбор</w:t>
            </w:r>
          </w:p>
        </w:tc>
        <w:tc>
          <w:tcPr>
            <w:tcW w:w="1463" w:type="dxa"/>
            <w:gridSpan w:val="5"/>
            <w:tcBorders>
              <w:top w:val="double" w:sz="4" w:space="0" w:color="auto"/>
              <w:bottom w:val="single" w:sz="4" w:space="0" w:color="auto"/>
            </w:tcBorders>
            <w:shd w:val="clear" w:color="auto" w:fill="FFFFFF" w:themeFill="background1"/>
          </w:tcPr>
          <w:p w:rsidR="00370BA4" w:rsidRPr="00F12BBE" w:rsidRDefault="00370BA4" w:rsidP="00370BA4">
            <w:pPr>
              <w:shd w:val="clear" w:color="auto" w:fill="FFFFFF" w:themeFill="background1"/>
              <w:contextualSpacing/>
              <w:rPr>
                <w:rFonts w:ascii="Arial" w:hAnsi="Arial" w:cs="Arial"/>
                <w:sz w:val="20"/>
                <w:szCs w:val="20"/>
                <w:lang/>
              </w:rPr>
            </w:pPr>
          </w:p>
          <w:p w:rsidR="00370BA4" w:rsidRPr="00F12BBE" w:rsidRDefault="00370BA4" w:rsidP="00370BA4">
            <w:pPr>
              <w:shd w:val="clear" w:color="auto" w:fill="FFFFFF" w:themeFill="background1"/>
              <w:contextualSpacing/>
              <w:rPr>
                <w:rFonts w:ascii="Arial" w:hAnsi="Arial" w:cs="Arial"/>
                <w:sz w:val="20"/>
                <w:szCs w:val="20"/>
                <w:lang/>
              </w:rPr>
            </w:pPr>
            <w:r w:rsidRPr="00F12BBE">
              <w:rPr>
                <w:rFonts w:ascii="Arial" w:hAnsi="Arial" w:cs="Arial"/>
                <w:sz w:val="20"/>
                <w:szCs w:val="20"/>
                <w:lang/>
              </w:rPr>
              <w:t>0-не</w:t>
            </w:r>
          </w:p>
          <w:p w:rsidR="00370BA4" w:rsidRPr="00F12BBE" w:rsidRDefault="00370BA4" w:rsidP="00370BA4">
            <w:pPr>
              <w:shd w:val="clear" w:color="auto" w:fill="FFFFFF" w:themeFill="background1"/>
              <w:contextualSpacing/>
              <w:rPr>
                <w:rFonts w:ascii="Arial" w:hAnsi="Arial" w:cs="Arial"/>
                <w:sz w:val="20"/>
                <w:szCs w:val="20"/>
                <w:lang/>
              </w:rPr>
            </w:pPr>
            <w:r w:rsidRPr="00F12BBE">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F12BBE" w:rsidRDefault="00370BA4" w:rsidP="00370BA4">
            <w:pPr>
              <w:shd w:val="clear" w:color="auto" w:fill="FFFFFF" w:themeFill="background1"/>
              <w:jc w:val="center"/>
              <w:rPr>
                <w:rFonts w:ascii="Arial" w:hAnsi="Arial" w:cs="Arial"/>
                <w:sz w:val="20"/>
                <w:szCs w:val="20"/>
                <w:lang/>
              </w:rPr>
            </w:pPr>
            <w:r w:rsidRPr="00F12BBE">
              <w:rPr>
                <w:rFonts w:ascii="Arial" w:hAnsi="Arial" w:cs="Arial"/>
                <w:sz w:val="20"/>
                <w:szCs w:val="20"/>
                <w:lang/>
              </w:rPr>
              <w:t>Извештај ГУ Сомбор, Извештај Историјског архива Сомбор</w:t>
            </w:r>
          </w:p>
        </w:tc>
        <w:tc>
          <w:tcPr>
            <w:tcW w:w="1459" w:type="dxa"/>
            <w:gridSpan w:val="3"/>
            <w:tcBorders>
              <w:top w:val="double" w:sz="4" w:space="0" w:color="auto"/>
              <w:bottom w:val="single" w:sz="4" w:space="0" w:color="auto"/>
            </w:tcBorders>
            <w:shd w:val="clear" w:color="auto" w:fill="FFFFFF" w:themeFill="background1"/>
          </w:tcPr>
          <w:p w:rsidR="00370BA4" w:rsidRPr="00F12BBE" w:rsidRDefault="00370BA4" w:rsidP="00370BA4">
            <w:pPr>
              <w:shd w:val="clear" w:color="auto" w:fill="FFFFFF" w:themeFill="background1"/>
              <w:jc w:val="center"/>
              <w:rPr>
                <w:rFonts w:ascii="Arial" w:hAnsi="Arial" w:cs="Arial"/>
                <w:sz w:val="20"/>
                <w:szCs w:val="20"/>
                <w:lang/>
              </w:rPr>
            </w:pPr>
            <w:r w:rsidRPr="00F12BBE">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F12BBE" w:rsidRDefault="00370BA4" w:rsidP="00370BA4">
            <w:pPr>
              <w:shd w:val="clear" w:color="auto" w:fill="FFFFFF" w:themeFill="background1"/>
              <w:jc w:val="center"/>
              <w:rPr>
                <w:rFonts w:ascii="Arial" w:hAnsi="Arial" w:cs="Arial"/>
                <w:sz w:val="20"/>
                <w:szCs w:val="20"/>
                <w:lang/>
              </w:rPr>
            </w:pPr>
            <w:r w:rsidRPr="00F12BBE">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F12BBE" w:rsidRDefault="00370BA4" w:rsidP="00370BA4">
            <w:pPr>
              <w:shd w:val="clear" w:color="auto" w:fill="FFFFFF" w:themeFill="background1"/>
              <w:jc w:val="center"/>
              <w:rPr>
                <w:rFonts w:ascii="Arial" w:hAnsi="Arial" w:cs="Arial"/>
                <w:sz w:val="20"/>
                <w:szCs w:val="20"/>
                <w:lang/>
              </w:rPr>
            </w:pPr>
            <w:r w:rsidRPr="00F12BBE">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Pr="00F12BBE" w:rsidRDefault="00370BA4" w:rsidP="00370BA4">
            <w:pPr>
              <w:shd w:val="clear" w:color="auto" w:fill="FFFFFF" w:themeFill="background1"/>
              <w:jc w:val="center"/>
              <w:rPr>
                <w:rFonts w:ascii="Arial" w:hAnsi="Arial" w:cs="Arial"/>
                <w:sz w:val="20"/>
                <w:szCs w:val="20"/>
                <w:lang/>
              </w:rPr>
            </w:pPr>
            <w:r w:rsidRPr="00F12BBE">
              <w:rPr>
                <w:rFonts w:ascii="Arial" w:hAnsi="Arial" w:cs="Arial"/>
                <w:sz w:val="20"/>
                <w:szCs w:val="20"/>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F12BBE" w:rsidRDefault="00370BA4" w:rsidP="00370BA4">
            <w:pPr>
              <w:shd w:val="clear" w:color="auto" w:fill="FFFFFF" w:themeFill="background1"/>
              <w:jc w:val="center"/>
              <w:rPr>
                <w:rFonts w:ascii="Arial" w:hAnsi="Arial" w:cs="Arial"/>
                <w:sz w:val="20"/>
                <w:szCs w:val="20"/>
                <w:lang/>
              </w:rPr>
            </w:pPr>
            <w:r w:rsidRPr="00F12BBE">
              <w:rPr>
                <w:rFonts w:ascii="Arial" w:hAnsi="Arial" w:cs="Arial"/>
                <w:sz w:val="20"/>
                <w:szCs w:val="20"/>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F12BBE" w:rsidRDefault="00370BA4" w:rsidP="00370BA4">
            <w:pPr>
              <w:shd w:val="clear" w:color="auto" w:fill="FFFFFF" w:themeFill="background1"/>
              <w:jc w:val="center"/>
              <w:rPr>
                <w:rFonts w:ascii="Arial" w:hAnsi="Arial" w:cs="Arial"/>
                <w:sz w:val="20"/>
                <w:szCs w:val="20"/>
                <w:lang/>
              </w:rPr>
            </w:pPr>
            <w:r w:rsidRPr="00F12BBE">
              <w:rPr>
                <w:rFonts w:ascii="Arial" w:hAnsi="Arial" w:cs="Arial"/>
                <w:sz w:val="20"/>
                <w:szCs w:val="20"/>
                <w:lang/>
              </w:rPr>
              <w:t>0</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9F2563" w:rsidRDefault="00370BA4" w:rsidP="00370BA4">
            <w:pPr>
              <w:shd w:val="clear" w:color="auto" w:fill="FFFFFF" w:themeFill="background1"/>
              <w:jc w:val="center"/>
              <w:rPr>
                <w:rFonts w:ascii="Arial" w:hAnsi="Arial" w:cs="Arial"/>
                <w:sz w:val="20"/>
                <w:szCs w:val="20"/>
              </w:rPr>
            </w:pPr>
            <w:r>
              <w:rPr>
                <w:rFonts w:ascii="Arial" w:hAnsi="Arial" w:cs="Arial"/>
                <w:sz w:val="20"/>
                <w:szCs w:val="20"/>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053AC7" w:rsidRDefault="00370BA4" w:rsidP="00370BA4">
            <w:pPr>
              <w:shd w:val="clear" w:color="auto" w:fill="FFFFFF" w:themeFill="background1"/>
              <w:rPr>
                <w:rFonts w:ascii="Arial" w:hAnsi="Arial" w:cs="Arial"/>
                <w:lang/>
              </w:rPr>
            </w:pPr>
            <w:r>
              <w:rPr>
                <w:rFonts w:ascii="Arial" w:hAnsi="Arial" w:cs="Arial"/>
                <w:lang/>
              </w:rPr>
              <w:t>Завршена реконструкција и санација Грашалковићеве палате</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0-не</w:t>
            </w:r>
          </w:p>
          <w:p w:rsidR="00370BA4" w:rsidRPr="00D03014" w:rsidRDefault="00370BA4" w:rsidP="00370BA4">
            <w:pPr>
              <w:shd w:val="clear" w:color="auto" w:fill="FFFFFF" w:themeFill="background1"/>
              <w:rPr>
                <w:rFonts w:ascii="Arial" w:hAnsi="Arial" w:cs="Arial"/>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 xml:space="preserve">Извештај </w:t>
            </w:r>
            <w:r>
              <w:rPr>
                <w:rFonts w:ascii="Arial" w:hAnsi="Arial" w:cs="Arial"/>
                <w:sz w:val="20"/>
                <w:szCs w:val="20"/>
                <w:lang/>
              </w:rPr>
              <w:t>ГУ Сомбор</w:t>
            </w:r>
          </w:p>
        </w:tc>
        <w:tc>
          <w:tcPr>
            <w:tcW w:w="1459"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Реновирана сала Културног центра „Лаза Костић“</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0-не</w:t>
            </w:r>
          </w:p>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 xml:space="preserve">Извештај </w:t>
            </w:r>
            <w:r>
              <w:rPr>
                <w:rFonts w:ascii="Arial" w:hAnsi="Arial" w:cs="Arial"/>
                <w:sz w:val="20"/>
                <w:szCs w:val="20"/>
                <w:lang/>
              </w:rPr>
              <w:t>КЦ</w:t>
            </w:r>
          </w:p>
        </w:tc>
        <w:tc>
          <w:tcPr>
            <w:tcW w:w="1459"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 xml:space="preserve">Реновирана летња сцена </w:t>
            </w:r>
            <w:r>
              <w:rPr>
                <w:rFonts w:ascii="Arial" w:hAnsi="Arial" w:cs="Arial"/>
                <w:lang/>
              </w:rPr>
              <w:lastRenderedPageBreak/>
              <w:t>Културног центра „Лаза Костић“</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lastRenderedPageBreak/>
              <w:t>0-не</w:t>
            </w:r>
          </w:p>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 xml:space="preserve">Извештај </w:t>
            </w:r>
            <w:r>
              <w:rPr>
                <w:rFonts w:ascii="Arial" w:hAnsi="Arial" w:cs="Arial"/>
                <w:sz w:val="20"/>
                <w:szCs w:val="20"/>
                <w:lang/>
              </w:rPr>
              <w:t>КЦ</w:t>
            </w:r>
          </w:p>
        </w:tc>
        <w:tc>
          <w:tcPr>
            <w:tcW w:w="1459"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r>
      <w:tr w:rsidR="00370BA4" w:rsidRPr="00D03014" w:rsidTr="001858E0">
        <w:trPr>
          <w:trHeight w:val="398"/>
        </w:trPr>
        <w:tc>
          <w:tcPr>
            <w:tcW w:w="2531" w:type="dxa"/>
            <w:gridSpan w:val="5"/>
            <w:vMerge w:val="restart"/>
            <w:tcBorders>
              <w:top w:val="single" w:sz="4" w:space="0" w:color="auto"/>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lastRenderedPageBreak/>
              <w:t>И</w:t>
            </w:r>
            <w:r w:rsidRPr="00D03014">
              <w:rPr>
                <w:rFonts w:ascii="Arial" w:hAnsi="Arial" w:cs="Arial"/>
              </w:rPr>
              <w:t>звор финансирања мере</w:t>
            </w:r>
            <w:r w:rsidRPr="00D03014">
              <w:rPr>
                <w:rFonts w:ascii="Arial" w:hAnsi="Arial" w:cs="Arial"/>
                <w:vertAlign w:val="superscript"/>
              </w:rPr>
              <w:footnoteReference w:id="63"/>
            </w:r>
          </w:p>
        </w:tc>
        <w:tc>
          <w:tcPr>
            <w:tcW w:w="2145" w:type="dxa"/>
            <w:gridSpan w:val="5"/>
            <w:vMerge w:val="restart"/>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64"/>
            </w:r>
          </w:p>
        </w:tc>
        <w:tc>
          <w:tcPr>
            <w:tcW w:w="9156" w:type="dxa"/>
            <w:gridSpan w:val="22"/>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 xml:space="preserve"> Укупна проц</w:t>
            </w:r>
            <w:r w:rsidR="00EF6F4E">
              <w:rPr>
                <w:rFonts w:ascii="Arial" w:hAnsi="Arial" w:cs="Arial"/>
              </w:rPr>
              <w:t>ењена финансијска средства у</w:t>
            </w:r>
            <w:r w:rsidRPr="00D03014">
              <w:rPr>
                <w:rFonts w:ascii="Arial" w:hAnsi="Arial" w:cs="Arial"/>
              </w:rPr>
              <w:t xml:space="preserve"> дин.</w:t>
            </w:r>
          </w:p>
        </w:tc>
      </w:tr>
      <w:tr w:rsidR="00EF6F4E"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EF6F4E" w:rsidRPr="00D03014" w:rsidRDefault="00EF6F4E" w:rsidP="00EF6F4E">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6.000.000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27.500.000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40.000.000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85.000.000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47.500.000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6846FA" w:rsidRDefault="00370BA4"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370BA4" w:rsidRDefault="00370BA4" w:rsidP="00370BA4">
            <w:pPr>
              <w:jc w:val="center"/>
              <w:rPr>
                <w:rFonts w:ascii="Arial" w:hAnsi="Arial" w:cs="Arial"/>
                <w:lang/>
              </w:rPr>
            </w:pPr>
            <w:r>
              <w:rPr>
                <w:rFonts w:ascii="Arial" w:hAnsi="Arial" w:cs="Arial"/>
                <w:lang/>
              </w:rPr>
              <w:t>/</w:t>
            </w:r>
          </w:p>
        </w:tc>
      </w:tr>
      <w:tr w:rsidR="00370BA4" w:rsidRPr="00D03014"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65"/>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66"/>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EF6F4E">
            <w:pPr>
              <w:jc w:val="center"/>
              <w:rPr>
                <w:rFonts w:ascii="Arial" w:hAnsi="Arial" w:cs="Arial"/>
                <w:sz w:val="20"/>
                <w:szCs w:val="20"/>
              </w:rPr>
            </w:pPr>
            <w:r w:rsidRPr="009F2563">
              <w:rPr>
                <w:rFonts w:ascii="Arial" w:hAnsi="Arial" w:cs="Arial"/>
                <w:sz w:val="20"/>
                <w:szCs w:val="20"/>
              </w:rPr>
              <w:t>Укупна процењена финан</w:t>
            </w:r>
            <w:r w:rsidR="00EF6F4E">
              <w:rPr>
                <w:rFonts w:ascii="Arial" w:hAnsi="Arial" w:cs="Arial"/>
                <w:sz w:val="20"/>
                <w:szCs w:val="20"/>
              </w:rPr>
              <w:t>сијска средства по изворима у</w:t>
            </w:r>
            <w:r w:rsidRPr="009F2563">
              <w:rPr>
                <w:rFonts w:ascii="Arial" w:hAnsi="Arial" w:cs="Arial"/>
                <w:sz w:val="20"/>
                <w:szCs w:val="20"/>
              </w:rPr>
              <w:t xml:space="preserve"> дин.</w:t>
            </w:r>
            <w:r w:rsidRPr="009F2563">
              <w:rPr>
                <w:rFonts w:ascii="Arial" w:hAnsi="Arial" w:cs="Arial"/>
                <w:sz w:val="20"/>
                <w:szCs w:val="20"/>
                <w:vertAlign w:val="superscript"/>
              </w:rPr>
              <w:footnoteReference w:id="67"/>
            </w:r>
          </w:p>
        </w:tc>
      </w:tr>
      <w:tr w:rsidR="00370BA4" w:rsidRPr="00D03014"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2.1.1.</w:t>
            </w:r>
          </w:p>
          <w:p w:rsidR="00370BA4" w:rsidRPr="00D03014" w:rsidRDefault="00370BA4" w:rsidP="00370BA4">
            <w:r>
              <w:t>Израда и реализација</w:t>
            </w:r>
            <w:r>
              <w:rPr>
                <w:lang/>
              </w:rPr>
              <w:t xml:space="preserve"> трогодишњег </w:t>
            </w:r>
            <w:r w:rsidRPr="00D03014">
              <w:t xml:space="preserve">плана инфраструктурних  улагања установа културе (укључујући и домове културе у насељеним местима) </w:t>
            </w:r>
          </w:p>
        </w:tc>
        <w:tc>
          <w:tcPr>
            <w:tcW w:w="1301" w:type="dxa"/>
            <w:gridSpan w:val="5"/>
            <w:vAlign w:val="center"/>
          </w:tcPr>
          <w:p w:rsidR="00370BA4" w:rsidRPr="00367057" w:rsidRDefault="00370BA4" w:rsidP="00370BA4">
            <w:pPr>
              <w:rPr>
                <w:lang/>
              </w:rPr>
            </w:pPr>
            <w:r w:rsidRPr="00367057">
              <w:rPr>
                <w:lang/>
              </w:rPr>
              <w:t>ГУ Сомбор</w:t>
            </w:r>
          </w:p>
        </w:tc>
        <w:tc>
          <w:tcPr>
            <w:tcW w:w="1487" w:type="dxa"/>
            <w:gridSpan w:val="3"/>
            <w:vAlign w:val="center"/>
          </w:tcPr>
          <w:p w:rsidR="00370BA4" w:rsidRPr="00367057" w:rsidRDefault="00370BA4" w:rsidP="00370BA4">
            <w:pPr>
              <w:rPr>
                <w:lang/>
              </w:rPr>
            </w:pPr>
            <w:r>
              <w:rPr>
                <w:lang/>
              </w:rPr>
              <w:t>установе културе</w:t>
            </w:r>
          </w:p>
        </w:tc>
        <w:tc>
          <w:tcPr>
            <w:tcW w:w="1284" w:type="dxa"/>
            <w:gridSpan w:val="3"/>
            <w:vAlign w:val="center"/>
          </w:tcPr>
          <w:p w:rsidR="00370BA4" w:rsidRPr="00D03014" w:rsidRDefault="00370BA4" w:rsidP="00370BA4">
            <w:pPr>
              <w:jc w:val="right"/>
            </w:pPr>
            <w:r>
              <w:t>2022</w:t>
            </w:r>
            <w:r w:rsidRPr="00D03014">
              <w:t>-2025</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370BA4" w:rsidRDefault="00370BA4" w:rsidP="00370BA4">
            <w:pPr>
              <w:jc w:val="right"/>
            </w:pPr>
            <w:r w:rsidRPr="00370BA4">
              <w:t>0</w:t>
            </w:r>
          </w:p>
        </w:tc>
        <w:tc>
          <w:tcPr>
            <w:tcW w:w="1145" w:type="dxa"/>
            <w:gridSpan w:val="3"/>
            <w:shd w:val="clear" w:color="auto" w:fill="auto"/>
            <w:vAlign w:val="center"/>
          </w:tcPr>
          <w:p w:rsidR="00370BA4" w:rsidRPr="00370BA4" w:rsidRDefault="00370BA4" w:rsidP="00370BA4">
            <w:pPr>
              <w:jc w:val="right"/>
            </w:pPr>
            <w:r w:rsidRPr="00370BA4">
              <w:t>0</w:t>
            </w:r>
          </w:p>
        </w:tc>
        <w:tc>
          <w:tcPr>
            <w:tcW w:w="1146" w:type="dxa"/>
            <w:gridSpan w:val="2"/>
            <w:tcBorders>
              <w:right w:val="single" w:sz="4" w:space="0" w:color="auto"/>
            </w:tcBorders>
            <w:shd w:val="clear" w:color="auto" w:fill="auto"/>
            <w:vAlign w:val="center"/>
          </w:tcPr>
          <w:p w:rsidR="00370BA4" w:rsidRPr="00370BA4" w:rsidRDefault="00370BA4" w:rsidP="00370BA4">
            <w:pPr>
              <w:jc w:val="right"/>
            </w:pPr>
            <w:r w:rsidRPr="00370BA4">
              <w:t>5.000.000</w:t>
            </w:r>
          </w:p>
        </w:tc>
        <w:tc>
          <w:tcPr>
            <w:tcW w:w="1145" w:type="dxa"/>
            <w:gridSpan w:val="4"/>
            <w:tcBorders>
              <w:left w:val="single" w:sz="4" w:space="0" w:color="auto"/>
              <w:right w:val="single" w:sz="4" w:space="0" w:color="auto"/>
            </w:tcBorders>
            <w:shd w:val="clear" w:color="auto" w:fill="auto"/>
            <w:vAlign w:val="center"/>
          </w:tcPr>
          <w:p w:rsidR="00370BA4" w:rsidRPr="00370BA4" w:rsidRDefault="00370BA4" w:rsidP="00370BA4">
            <w:pPr>
              <w:jc w:val="right"/>
              <w:rPr>
                <w:lang/>
              </w:rPr>
            </w:pPr>
            <w:r>
              <w:rPr>
                <w:lang/>
              </w:rPr>
              <w:t>5.</w:t>
            </w:r>
            <w:r w:rsidRPr="00370BA4">
              <w:t>0</w:t>
            </w:r>
            <w:r>
              <w:rPr>
                <w:lang/>
              </w:rPr>
              <w:t>00.000</w:t>
            </w:r>
          </w:p>
        </w:tc>
        <w:tc>
          <w:tcPr>
            <w:tcW w:w="1146" w:type="dxa"/>
            <w:tcBorders>
              <w:left w:val="single" w:sz="4" w:space="0" w:color="auto"/>
              <w:right w:val="double" w:sz="4" w:space="0" w:color="auto"/>
            </w:tcBorders>
            <w:shd w:val="clear" w:color="auto" w:fill="auto"/>
            <w:vAlign w:val="center"/>
          </w:tcPr>
          <w:p w:rsidR="00370BA4" w:rsidRPr="00370BA4" w:rsidRDefault="00370BA4" w:rsidP="00370BA4">
            <w:pPr>
              <w:jc w:val="right"/>
            </w:pPr>
            <w:r>
              <w:rPr>
                <w:lang/>
              </w:rPr>
              <w:t>5.000.00</w:t>
            </w:r>
            <w:r w:rsidRPr="00370BA4">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2.1.2.</w:t>
            </w:r>
          </w:p>
          <w:p w:rsidR="00370BA4" w:rsidRPr="00D03014" w:rsidRDefault="00370BA4" w:rsidP="00370BA4">
            <w:r w:rsidRPr="00D03014">
              <w:t xml:space="preserve">Решавање просторног проблема Историјског </w:t>
            </w:r>
            <w:r w:rsidRPr="00D03014">
              <w:lastRenderedPageBreak/>
              <w:t>архива</w:t>
            </w:r>
          </w:p>
        </w:tc>
        <w:tc>
          <w:tcPr>
            <w:tcW w:w="1301" w:type="dxa"/>
            <w:gridSpan w:val="5"/>
            <w:vAlign w:val="center"/>
          </w:tcPr>
          <w:p w:rsidR="00370BA4" w:rsidRPr="00D03014" w:rsidRDefault="00370BA4" w:rsidP="00370BA4">
            <w:r w:rsidRPr="00D03014">
              <w:lastRenderedPageBreak/>
              <w:t>ГУ Сомбор</w:t>
            </w:r>
          </w:p>
        </w:tc>
        <w:tc>
          <w:tcPr>
            <w:tcW w:w="1487" w:type="dxa"/>
            <w:gridSpan w:val="3"/>
            <w:vAlign w:val="center"/>
          </w:tcPr>
          <w:p w:rsidR="00370BA4" w:rsidRPr="00D03014" w:rsidRDefault="00370BA4" w:rsidP="00370BA4">
            <w:r w:rsidRPr="00D03014">
              <w:t>МКИ, Покрајински секретаријат за културу</w:t>
            </w:r>
          </w:p>
        </w:tc>
        <w:tc>
          <w:tcPr>
            <w:tcW w:w="1284" w:type="dxa"/>
            <w:gridSpan w:val="3"/>
            <w:vAlign w:val="center"/>
          </w:tcPr>
          <w:p w:rsidR="00370BA4" w:rsidRPr="00D03014" w:rsidRDefault="00370BA4" w:rsidP="00370BA4">
            <w:pPr>
              <w:jc w:val="right"/>
            </w:pPr>
            <w:r>
              <w:t>2025</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Default="00370BA4" w:rsidP="00370BA4">
            <w:pPr>
              <w:jc w:val="right"/>
              <w:rPr>
                <w:rFonts w:ascii="Arial" w:hAnsi="Arial" w:cs="Arial"/>
              </w:rPr>
            </w:pPr>
            <w:r w:rsidRPr="00370BA4">
              <w:t>0</w:t>
            </w:r>
          </w:p>
        </w:tc>
        <w:tc>
          <w:tcPr>
            <w:tcW w:w="1145" w:type="dxa"/>
            <w:gridSpan w:val="3"/>
            <w:shd w:val="clear" w:color="auto" w:fill="auto"/>
            <w:vAlign w:val="center"/>
          </w:tcPr>
          <w:p w:rsidR="00370BA4" w:rsidRPr="00D03014" w:rsidRDefault="00370BA4" w:rsidP="00370BA4">
            <w:pPr>
              <w:jc w:val="right"/>
              <w:rPr>
                <w:rFonts w:ascii="Arial" w:hAnsi="Arial" w:cs="Arial"/>
              </w:rPr>
            </w:pPr>
            <w:r>
              <w:t>7.500.000</w:t>
            </w:r>
          </w:p>
        </w:tc>
        <w:tc>
          <w:tcPr>
            <w:tcW w:w="1146" w:type="dxa"/>
            <w:gridSpan w:val="2"/>
            <w:tcBorders>
              <w:right w:val="single" w:sz="4" w:space="0" w:color="auto"/>
            </w:tcBorders>
            <w:shd w:val="clear" w:color="auto" w:fill="auto"/>
            <w:vAlign w:val="center"/>
          </w:tcPr>
          <w:p w:rsidR="00370BA4" w:rsidRPr="00D03014" w:rsidRDefault="00370BA4" w:rsidP="00370BA4">
            <w:pPr>
              <w:jc w:val="center"/>
              <w:rPr>
                <w:rFonts w:ascii="Arial" w:hAnsi="Arial" w:cs="Arial"/>
              </w:rPr>
            </w:pPr>
            <w:r>
              <w:rPr>
                <w:lang/>
              </w:rPr>
              <w:t>1</w:t>
            </w:r>
            <w:r w:rsidRPr="00370BA4">
              <w:t>5.000.000</w:t>
            </w:r>
          </w:p>
        </w:tc>
        <w:tc>
          <w:tcPr>
            <w:tcW w:w="1145" w:type="dxa"/>
            <w:gridSpan w:val="4"/>
            <w:tcBorders>
              <w:left w:val="single" w:sz="4" w:space="0" w:color="auto"/>
              <w:right w:val="single" w:sz="4" w:space="0" w:color="auto"/>
            </w:tcBorders>
            <w:shd w:val="clear" w:color="auto" w:fill="auto"/>
            <w:vAlign w:val="center"/>
          </w:tcPr>
          <w:p w:rsidR="00370BA4" w:rsidRPr="00D03014" w:rsidRDefault="00370BA4" w:rsidP="00370BA4">
            <w:pPr>
              <w:jc w:val="center"/>
              <w:rPr>
                <w:rFonts w:ascii="Arial" w:hAnsi="Arial" w:cs="Arial"/>
              </w:rPr>
            </w:pPr>
            <w:r>
              <w:rPr>
                <w:lang/>
              </w:rPr>
              <w:t>5.</w:t>
            </w:r>
            <w:r w:rsidRPr="00370BA4">
              <w:t>0</w:t>
            </w:r>
            <w:r>
              <w:rPr>
                <w:lang/>
              </w:rPr>
              <w:t>00.000</w:t>
            </w:r>
          </w:p>
        </w:tc>
        <w:tc>
          <w:tcPr>
            <w:tcW w:w="1146" w:type="dxa"/>
            <w:tcBorders>
              <w:left w:val="single" w:sz="4" w:space="0" w:color="auto"/>
              <w:right w:val="double" w:sz="4" w:space="0" w:color="auto"/>
            </w:tcBorders>
            <w:shd w:val="clear" w:color="auto" w:fill="auto"/>
            <w:vAlign w:val="center"/>
          </w:tcPr>
          <w:p w:rsidR="00370BA4" w:rsidRPr="00D03014" w:rsidRDefault="00370BA4" w:rsidP="00370BA4">
            <w:pPr>
              <w:jc w:val="center"/>
              <w:rPr>
                <w:rFonts w:ascii="Arial" w:hAnsi="Arial" w:cs="Arial"/>
              </w:rPr>
            </w:pPr>
            <w:r>
              <w:rPr>
                <w:lang/>
              </w:rPr>
              <w:t>2.500.00</w:t>
            </w:r>
            <w:r w:rsidRPr="00370BA4">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lastRenderedPageBreak/>
              <w:t>2.1.3.</w:t>
            </w:r>
          </w:p>
          <w:p w:rsidR="00370BA4" w:rsidRPr="00D03014" w:rsidRDefault="00370BA4" w:rsidP="00370BA4">
            <w:r w:rsidRPr="00D03014">
              <w:t>Завршетак реконструкције и санације Грашалковићеве палате за потребе културе</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МКИ, Покрајински секретаријат за културу</w:t>
            </w:r>
          </w:p>
        </w:tc>
        <w:tc>
          <w:tcPr>
            <w:tcW w:w="1284" w:type="dxa"/>
            <w:gridSpan w:val="3"/>
            <w:vAlign w:val="center"/>
          </w:tcPr>
          <w:p w:rsidR="00370BA4" w:rsidRPr="00370BA4" w:rsidRDefault="00370BA4" w:rsidP="00370BA4">
            <w:pPr>
              <w:jc w:val="right"/>
              <w:rPr>
                <w:lang/>
              </w:rPr>
            </w:pPr>
            <w:r>
              <w:t>202</w:t>
            </w:r>
            <w:r>
              <w:rPr>
                <w:lang/>
              </w:rPr>
              <w:t>5</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370BA4" w:rsidRDefault="00370BA4" w:rsidP="00370BA4">
            <w:pPr>
              <w:jc w:val="right"/>
            </w:pPr>
            <w:r w:rsidRPr="00370BA4">
              <w:t>0</w:t>
            </w:r>
          </w:p>
        </w:tc>
        <w:tc>
          <w:tcPr>
            <w:tcW w:w="1145" w:type="dxa"/>
            <w:gridSpan w:val="3"/>
            <w:shd w:val="clear" w:color="auto" w:fill="auto"/>
            <w:vAlign w:val="center"/>
          </w:tcPr>
          <w:p w:rsidR="00370BA4" w:rsidRPr="00370BA4" w:rsidRDefault="00370BA4" w:rsidP="00370BA4">
            <w:pPr>
              <w:jc w:val="right"/>
            </w:pPr>
            <w:r w:rsidRPr="00370BA4">
              <w:t>0</w:t>
            </w:r>
          </w:p>
        </w:tc>
        <w:tc>
          <w:tcPr>
            <w:tcW w:w="1146" w:type="dxa"/>
            <w:gridSpan w:val="2"/>
            <w:tcBorders>
              <w:right w:val="single" w:sz="4" w:space="0" w:color="auto"/>
            </w:tcBorders>
            <w:shd w:val="clear" w:color="auto" w:fill="auto"/>
            <w:vAlign w:val="center"/>
          </w:tcPr>
          <w:p w:rsidR="00370BA4" w:rsidRPr="00370BA4" w:rsidRDefault="00370BA4" w:rsidP="00370BA4">
            <w:pPr>
              <w:jc w:val="right"/>
            </w:pPr>
            <w:r w:rsidRPr="00370BA4">
              <w:t>10.000.0000</w:t>
            </w:r>
          </w:p>
        </w:tc>
        <w:tc>
          <w:tcPr>
            <w:tcW w:w="1145" w:type="dxa"/>
            <w:gridSpan w:val="4"/>
            <w:tcBorders>
              <w:left w:val="single" w:sz="4" w:space="0" w:color="auto"/>
              <w:right w:val="single" w:sz="4" w:space="0" w:color="auto"/>
            </w:tcBorders>
            <w:shd w:val="clear" w:color="auto" w:fill="auto"/>
            <w:vAlign w:val="center"/>
          </w:tcPr>
          <w:p w:rsidR="00370BA4" w:rsidRPr="00370BA4" w:rsidRDefault="00370BA4" w:rsidP="00370BA4">
            <w:pPr>
              <w:jc w:val="right"/>
            </w:pPr>
            <w:r w:rsidRPr="00370BA4">
              <w:t>30.000.000</w:t>
            </w:r>
          </w:p>
        </w:tc>
        <w:tc>
          <w:tcPr>
            <w:tcW w:w="1146" w:type="dxa"/>
            <w:tcBorders>
              <w:left w:val="single" w:sz="4" w:space="0" w:color="auto"/>
              <w:right w:val="double" w:sz="4" w:space="0" w:color="auto"/>
            </w:tcBorders>
            <w:shd w:val="clear" w:color="auto" w:fill="auto"/>
            <w:vAlign w:val="center"/>
          </w:tcPr>
          <w:p w:rsidR="00370BA4" w:rsidRPr="00370BA4" w:rsidRDefault="00370BA4" w:rsidP="00370BA4">
            <w:pPr>
              <w:jc w:val="right"/>
            </w:pPr>
            <w:r w:rsidRPr="00370BA4">
              <w:t>10.000.000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9F2563" w:rsidRDefault="00370BA4" w:rsidP="00370BA4">
            <w:r w:rsidRPr="009F2563">
              <w:t>2.1.4.</w:t>
            </w:r>
          </w:p>
          <w:p w:rsidR="00370BA4" w:rsidRPr="009F2563" w:rsidRDefault="00370BA4" w:rsidP="00370BA4">
            <w:r w:rsidRPr="009F2563">
              <w:t>Завршетак реновирања сале Културног центра</w:t>
            </w:r>
          </w:p>
        </w:tc>
        <w:tc>
          <w:tcPr>
            <w:tcW w:w="1301" w:type="dxa"/>
            <w:gridSpan w:val="5"/>
            <w:vAlign w:val="center"/>
          </w:tcPr>
          <w:p w:rsidR="00370BA4" w:rsidRPr="009F2563" w:rsidRDefault="00370BA4" w:rsidP="00370BA4">
            <w:r w:rsidRPr="009F2563">
              <w:t>ГУ Сомбор</w:t>
            </w:r>
          </w:p>
        </w:tc>
        <w:tc>
          <w:tcPr>
            <w:tcW w:w="1487" w:type="dxa"/>
            <w:gridSpan w:val="3"/>
            <w:vAlign w:val="center"/>
          </w:tcPr>
          <w:p w:rsidR="00370BA4" w:rsidRPr="009F2563" w:rsidRDefault="00370BA4" w:rsidP="00370BA4">
            <w:r w:rsidRPr="009F2563">
              <w:t>МКИ, Покрајински секретаријат за културу</w:t>
            </w:r>
          </w:p>
        </w:tc>
        <w:tc>
          <w:tcPr>
            <w:tcW w:w="1284" w:type="dxa"/>
            <w:gridSpan w:val="3"/>
            <w:vAlign w:val="center"/>
          </w:tcPr>
          <w:p w:rsidR="00370BA4" w:rsidRPr="00370BA4" w:rsidRDefault="00370BA4" w:rsidP="00370BA4">
            <w:pPr>
              <w:jc w:val="right"/>
              <w:rPr>
                <w:lang/>
              </w:rPr>
            </w:pPr>
            <w:r w:rsidRPr="009F2563">
              <w:t>202</w:t>
            </w:r>
            <w:r>
              <w:rPr>
                <w:lang/>
              </w:rPr>
              <w:t>2</w:t>
            </w:r>
          </w:p>
        </w:tc>
        <w:tc>
          <w:tcPr>
            <w:tcW w:w="1039" w:type="dxa"/>
            <w:gridSpan w:val="4"/>
            <w:vAlign w:val="center"/>
          </w:tcPr>
          <w:p w:rsidR="00370BA4" w:rsidRPr="00E22DAD" w:rsidRDefault="00370BA4" w:rsidP="00370BA4">
            <w:pPr>
              <w:rPr>
                <w:strike/>
                <w:highlight w:val="yellow"/>
              </w:rPr>
            </w:pPr>
            <w:r w:rsidRPr="00D03014">
              <w:t>ГУ Сомбор</w:t>
            </w:r>
          </w:p>
        </w:tc>
        <w:tc>
          <w:tcPr>
            <w:tcW w:w="1269" w:type="dxa"/>
            <w:gridSpan w:val="3"/>
            <w:vAlign w:val="center"/>
          </w:tcPr>
          <w:p w:rsidR="00370BA4" w:rsidRPr="00E22DAD" w:rsidRDefault="00370BA4" w:rsidP="00370BA4">
            <w:pPr>
              <w:rPr>
                <w:strike/>
                <w:highlight w:val="yellow"/>
              </w:rPr>
            </w:pPr>
          </w:p>
        </w:tc>
        <w:tc>
          <w:tcPr>
            <w:tcW w:w="1145" w:type="dxa"/>
            <w:gridSpan w:val="3"/>
            <w:shd w:val="clear" w:color="auto" w:fill="auto"/>
            <w:vAlign w:val="center"/>
          </w:tcPr>
          <w:p w:rsidR="00370BA4" w:rsidRPr="00370BA4" w:rsidRDefault="00370BA4" w:rsidP="00370BA4">
            <w:pPr>
              <w:jc w:val="right"/>
              <w:rPr>
                <w:lang/>
              </w:rPr>
            </w:pPr>
            <w:r>
              <w:rPr>
                <w:lang/>
              </w:rPr>
              <w:t>0</w:t>
            </w:r>
          </w:p>
        </w:tc>
        <w:tc>
          <w:tcPr>
            <w:tcW w:w="1145" w:type="dxa"/>
            <w:gridSpan w:val="3"/>
            <w:shd w:val="clear" w:color="auto" w:fill="auto"/>
            <w:vAlign w:val="center"/>
          </w:tcPr>
          <w:p w:rsidR="00370BA4" w:rsidRPr="00370BA4" w:rsidRDefault="00370BA4" w:rsidP="00370BA4">
            <w:pPr>
              <w:jc w:val="right"/>
              <w:rPr>
                <w:lang/>
              </w:rPr>
            </w:pPr>
            <w:r>
              <w:rPr>
                <w:lang/>
              </w:rPr>
              <w:t>20.000.000</w:t>
            </w:r>
          </w:p>
        </w:tc>
        <w:tc>
          <w:tcPr>
            <w:tcW w:w="1146" w:type="dxa"/>
            <w:gridSpan w:val="2"/>
            <w:tcBorders>
              <w:right w:val="single" w:sz="4" w:space="0" w:color="auto"/>
            </w:tcBorders>
            <w:shd w:val="clear" w:color="auto" w:fill="auto"/>
            <w:vAlign w:val="center"/>
          </w:tcPr>
          <w:p w:rsidR="00370BA4" w:rsidRPr="00370BA4" w:rsidRDefault="00370BA4" w:rsidP="00370BA4">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370BA4" w:rsidRPr="00370BA4" w:rsidRDefault="00370BA4" w:rsidP="00370BA4">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370BA4" w:rsidRPr="00370BA4" w:rsidRDefault="00370BA4" w:rsidP="00370BA4">
            <w:pPr>
              <w:jc w:val="right"/>
              <w:rPr>
                <w:lang/>
              </w:rPr>
            </w:pPr>
            <w:r>
              <w:rPr>
                <w:lang/>
              </w:rPr>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2.1.5.</w:t>
            </w:r>
          </w:p>
          <w:p w:rsidR="00370BA4" w:rsidRPr="00D03014" w:rsidRDefault="00370BA4" w:rsidP="00370BA4">
            <w:r w:rsidRPr="00D03014">
              <w:t xml:space="preserve">Реновирање летње сцене Културног центра </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r w:rsidRPr="00D03014">
              <w:t>/</w:t>
            </w:r>
          </w:p>
        </w:tc>
        <w:tc>
          <w:tcPr>
            <w:tcW w:w="1284" w:type="dxa"/>
            <w:gridSpan w:val="3"/>
            <w:vAlign w:val="center"/>
          </w:tcPr>
          <w:p w:rsidR="00370BA4" w:rsidRPr="00D03014" w:rsidRDefault="00370BA4" w:rsidP="00370BA4">
            <w:pPr>
              <w:jc w:val="right"/>
            </w:pPr>
            <w:r w:rsidRPr="00D03014">
              <w:t>2023</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8854B0" w:rsidRDefault="008854B0" w:rsidP="00370BA4">
            <w:pPr>
              <w:jc w:val="right"/>
              <w:rPr>
                <w:lang/>
              </w:rPr>
            </w:pPr>
            <w:r>
              <w:rPr>
                <w:lang/>
              </w:rPr>
              <w:t>0</w:t>
            </w:r>
          </w:p>
        </w:tc>
        <w:tc>
          <w:tcPr>
            <w:tcW w:w="1145" w:type="dxa"/>
            <w:gridSpan w:val="3"/>
            <w:shd w:val="clear" w:color="auto" w:fill="auto"/>
            <w:vAlign w:val="center"/>
          </w:tcPr>
          <w:p w:rsidR="00370BA4" w:rsidRPr="008854B0" w:rsidRDefault="008854B0" w:rsidP="00370BA4">
            <w:pPr>
              <w:jc w:val="right"/>
              <w:rPr>
                <w:lang/>
              </w:rPr>
            </w:pPr>
            <w:r>
              <w:rPr>
                <w:lang/>
              </w:rPr>
              <w:t>0</w:t>
            </w:r>
          </w:p>
        </w:tc>
        <w:tc>
          <w:tcPr>
            <w:tcW w:w="1146" w:type="dxa"/>
            <w:gridSpan w:val="2"/>
            <w:tcBorders>
              <w:right w:val="single" w:sz="4" w:space="0" w:color="auto"/>
            </w:tcBorders>
            <w:shd w:val="clear" w:color="auto" w:fill="auto"/>
            <w:vAlign w:val="center"/>
          </w:tcPr>
          <w:p w:rsidR="00370BA4" w:rsidRPr="008854B0" w:rsidRDefault="008854B0" w:rsidP="00370BA4">
            <w:pPr>
              <w:jc w:val="right"/>
              <w:rPr>
                <w:lang/>
              </w:rPr>
            </w:pPr>
            <w:r>
              <w:rPr>
                <w:lang/>
              </w:rPr>
              <w:t>10.000.000</w:t>
            </w:r>
          </w:p>
        </w:tc>
        <w:tc>
          <w:tcPr>
            <w:tcW w:w="1145" w:type="dxa"/>
            <w:gridSpan w:val="4"/>
            <w:tcBorders>
              <w:left w:val="single" w:sz="4" w:space="0" w:color="auto"/>
              <w:right w:val="single" w:sz="4" w:space="0" w:color="auto"/>
            </w:tcBorders>
            <w:shd w:val="clear" w:color="auto" w:fill="auto"/>
            <w:vAlign w:val="center"/>
          </w:tcPr>
          <w:p w:rsidR="00370BA4" w:rsidRPr="008854B0" w:rsidRDefault="008854B0" w:rsidP="00370BA4">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370BA4" w:rsidRPr="008854B0" w:rsidRDefault="008854B0" w:rsidP="00370BA4">
            <w:pPr>
              <w:jc w:val="right"/>
              <w:rPr>
                <w:lang/>
              </w:rPr>
            </w:pPr>
            <w:r>
              <w:rPr>
                <w:lang/>
              </w:rPr>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F12BBE" w:rsidRDefault="00370BA4" w:rsidP="00370BA4">
            <w:r w:rsidRPr="00F12BBE">
              <w:t xml:space="preserve">2.1.6. </w:t>
            </w:r>
          </w:p>
          <w:p w:rsidR="00370BA4" w:rsidRPr="00F12BBE" w:rsidRDefault="00370BA4" w:rsidP="00370BA4">
            <w:r w:rsidRPr="00F12BBE">
              <w:t xml:space="preserve">Решавање питања </w:t>
            </w:r>
            <w:r w:rsidRPr="00F12BBE">
              <w:rPr>
                <w:lang/>
              </w:rPr>
              <w:t>објекта</w:t>
            </w:r>
            <w:r w:rsidRPr="00F12BBE">
              <w:t xml:space="preserve"> Дома културе у Бездану</w:t>
            </w:r>
          </w:p>
        </w:tc>
        <w:tc>
          <w:tcPr>
            <w:tcW w:w="1301" w:type="dxa"/>
            <w:gridSpan w:val="5"/>
            <w:vAlign w:val="center"/>
          </w:tcPr>
          <w:p w:rsidR="00370BA4" w:rsidRPr="00F12BBE" w:rsidRDefault="00370BA4" w:rsidP="00370BA4">
            <w:r w:rsidRPr="00F12BBE">
              <w:t>ГУ Сомбор</w:t>
            </w:r>
          </w:p>
        </w:tc>
        <w:tc>
          <w:tcPr>
            <w:tcW w:w="1487" w:type="dxa"/>
            <w:gridSpan w:val="3"/>
            <w:vAlign w:val="center"/>
          </w:tcPr>
          <w:p w:rsidR="00370BA4" w:rsidRPr="00F12BBE" w:rsidRDefault="00370BA4" w:rsidP="00370BA4"/>
        </w:tc>
        <w:tc>
          <w:tcPr>
            <w:tcW w:w="1284" w:type="dxa"/>
            <w:gridSpan w:val="3"/>
            <w:vAlign w:val="center"/>
          </w:tcPr>
          <w:p w:rsidR="00370BA4" w:rsidRPr="00F12BBE" w:rsidRDefault="00370BA4" w:rsidP="00370BA4">
            <w:pPr>
              <w:jc w:val="right"/>
            </w:pPr>
            <w:r>
              <w:t>2024</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8854B0" w:rsidRDefault="008854B0" w:rsidP="00370BA4">
            <w:pPr>
              <w:jc w:val="right"/>
              <w:rPr>
                <w:lang/>
              </w:rPr>
            </w:pPr>
            <w:r>
              <w:rPr>
                <w:lang/>
              </w:rPr>
              <w:t>0</w:t>
            </w:r>
          </w:p>
        </w:tc>
        <w:tc>
          <w:tcPr>
            <w:tcW w:w="1145" w:type="dxa"/>
            <w:gridSpan w:val="3"/>
            <w:shd w:val="clear" w:color="auto" w:fill="auto"/>
            <w:vAlign w:val="center"/>
          </w:tcPr>
          <w:p w:rsidR="00370BA4" w:rsidRPr="008854B0" w:rsidRDefault="008854B0" w:rsidP="00370BA4">
            <w:pPr>
              <w:jc w:val="right"/>
              <w:rPr>
                <w:lang/>
              </w:rPr>
            </w:pPr>
            <w:r>
              <w:rPr>
                <w:lang/>
              </w:rPr>
              <w:t>0</w:t>
            </w:r>
          </w:p>
        </w:tc>
        <w:tc>
          <w:tcPr>
            <w:tcW w:w="1146" w:type="dxa"/>
            <w:gridSpan w:val="2"/>
            <w:tcBorders>
              <w:right w:val="single" w:sz="4" w:space="0" w:color="auto"/>
            </w:tcBorders>
            <w:shd w:val="clear" w:color="auto" w:fill="auto"/>
            <w:vAlign w:val="center"/>
          </w:tcPr>
          <w:p w:rsidR="00370BA4" w:rsidRPr="008854B0" w:rsidRDefault="008854B0" w:rsidP="00370BA4">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370BA4" w:rsidRPr="008854B0" w:rsidRDefault="008854B0" w:rsidP="00370BA4">
            <w:pPr>
              <w:jc w:val="right"/>
              <w:rPr>
                <w:lang/>
              </w:rPr>
            </w:pPr>
            <w:r>
              <w:rPr>
                <w:lang/>
              </w:rPr>
              <w:t>10.000.000</w:t>
            </w:r>
          </w:p>
        </w:tc>
        <w:tc>
          <w:tcPr>
            <w:tcW w:w="1146" w:type="dxa"/>
            <w:tcBorders>
              <w:left w:val="single" w:sz="4" w:space="0" w:color="auto"/>
              <w:right w:val="double" w:sz="4" w:space="0" w:color="auto"/>
            </w:tcBorders>
            <w:shd w:val="clear" w:color="auto" w:fill="auto"/>
            <w:vAlign w:val="center"/>
          </w:tcPr>
          <w:p w:rsidR="00370BA4" w:rsidRPr="008854B0" w:rsidRDefault="008854B0" w:rsidP="00370BA4">
            <w:pPr>
              <w:jc w:val="right"/>
              <w:rPr>
                <w:lang/>
              </w:rPr>
            </w:pPr>
            <w:r>
              <w:rPr>
                <w:lang/>
              </w:rPr>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 xml:space="preserve">2.1.7. </w:t>
            </w:r>
          </w:p>
          <w:p w:rsidR="00370BA4" w:rsidRPr="00D03014" w:rsidRDefault="00370BA4" w:rsidP="00370BA4">
            <w:r w:rsidRPr="00D03014">
              <w:t>Обезбеђивање атељеа за уступање локалним уметницима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D03014" w:rsidRDefault="00370BA4" w:rsidP="00370BA4"/>
        </w:tc>
        <w:tc>
          <w:tcPr>
            <w:tcW w:w="1284" w:type="dxa"/>
            <w:gridSpan w:val="3"/>
            <w:vAlign w:val="center"/>
          </w:tcPr>
          <w:p w:rsidR="00370BA4" w:rsidRPr="008854B0" w:rsidRDefault="00370BA4" w:rsidP="008854B0">
            <w:pPr>
              <w:jc w:val="right"/>
              <w:rPr>
                <w:lang/>
              </w:rPr>
            </w:pPr>
            <w:r w:rsidRPr="00D03014">
              <w:t>202</w:t>
            </w:r>
            <w:r w:rsidR="008854B0">
              <w:rPr>
                <w:lang/>
              </w:rPr>
              <w:t>4</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8854B0" w:rsidRDefault="008854B0" w:rsidP="00370BA4">
            <w:pPr>
              <w:jc w:val="right"/>
              <w:rPr>
                <w:lang/>
              </w:rPr>
            </w:pPr>
            <w:r>
              <w:rPr>
                <w:lang/>
              </w:rPr>
              <w:t>0</w:t>
            </w:r>
          </w:p>
        </w:tc>
        <w:tc>
          <w:tcPr>
            <w:tcW w:w="1145" w:type="dxa"/>
            <w:gridSpan w:val="3"/>
            <w:shd w:val="clear" w:color="auto" w:fill="auto"/>
            <w:vAlign w:val="center"/>
          </w:tcPr>
          <w:p w:rsidR="00370BA4" w:rsidRPr="008854B0" w:rsidRDefault="008854B0" w:rsidP="00370BA4">
            <w:pPr>
              <w:jc w:val="right"/>
              <w:rPr>
                <w:lang/>
              </w:rPr>
            </w:pPr>
            <w:r>
              <w:rPr>
                <w:lang/>
              </w:rPr>
              <w:t>0</w:t>
            </w:r>
          </w:p>
        </w:tc>
        <w:tc>
          <w:tcPr>
            <w:tcW w:w="1146" w:type="dxa"/>
            <w:gridSpan w:val="2"/>
            <w:tcBorders>
              <w:right w:val="single" w:sz="4" w:space="0" w:color="auto"/>
            </w:tcBorders>
            <w:shd w:val="clear" w:color="auto" w:fill="auto"/>
            <w:vAlign w:val="center"/>
          </w:tcPr>
          <w:p w:rsidR="00370BA4" w:rsidRPr="008854B0" w:rsidRDefault="008854B0" w:rsidP="00370BA4">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370BA4" w:rsidRPr="008854B0" w:rsidRDefault="008854B0" w:rsidP="00370BA4">
            <w:pPr>
              <w:jc w:val="right"/>
              <w:rPr>
                <w:lang/>
              </w:rPr>
            </w:pPr>
            <w:r>
              <w:rPr>
                <w:lang/>
              </w:rPr>
              <w:t>5.000.000</w:t>
            </w:r>
          </w:p>
        </w:tc>
        <w:tc>
          <w:tcPr>
            <w:tcW w:w="1146" w:type="dxa"/>
            <w:tcBorders>
              <w:left w:val="single" w:sz="4" w:space="0" w:color="auto"/>
              <w:right w:val="double" w:sz="4" w:space="0" w:color="auto"/>
            </w:tcBorders>
            <w:shd w:val="clear" w:color="auto" w:fill="auto"/>
            <w:vAlign w:val="center"/>
          </w:tcPr>
          <w:p w:rsidR="00370BA4" w:rsidRPr="008854B0" w:rsidRDefault="008854B0" w:rsidP="00370BA4">
            <w:pPr>
              <w:jc w:val="right"/>
              <w:rPr>
                <w:lang/>
              </w:rPr>
            </w:pPr>
            <w:r>
              <w:rPr>
                <w:lang/>
              </w:rPr>
              <w:t>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2.1.8.</w:t>
            </w:r>
          </w:p>
          <w:p w:rsidR="00370BA4" w:rsidRPr="00D03014" w:rsidRDefault="00370BA4" w:rsidP="00370BA4">
            <w:r w:rsidRPr="00D03014">
              <w:t>Санација и адаптација једног дворца у околини Сомбора</w:t>
            </w:r>
          </w:p>
        </w:tc>
        <w:tc>
          <w:tcPr>
            <w:tcW w:w="1301" w:type="dxa"/>
            <w:gridSpan w:val="5"/>
            <w:vAlign w:val="center"/>
          </w:tcPr>
          <w:p w:rsidR="00370BA4" w:rsidRPr="00D03014" w:rsidRDefault="00370BA4" w:rsidP="00370BA4">
            <w:r w:rsidRPr="00D03014">
              <w:t>ГУ Сомбор</w:t>
            </w:r>
          </w:p>
        </w:tc>
        <w:tc>
          <w:tcPr>
            <w:tcW w:w="1487" w:type="dxa"/>
            <w:gridSpan w:val="3"/>
            <w:vAlign w:val="center"/>
          </w:tcPr>
          <w:p w:rsidR="00370BA4" w:rsidRPr="00B12343" w:rsidRDefault="00370BA4" w:rsidP="00370BA4">
            <w:pPr>
              <w:rPr>
                <w:lang/>
              </w:rPr>
            </w:pPr>
            <w:r w:rsidRPr="00D03014">
              <w:t>МКИ, МТТТ, страни партнери, приватни сектор</w:t>
            </w:r>
            <w:r>
              <w:rPr>
                <w:lang/>
              </w:rPr>
              <w:t xml:space="preserve">, Покрајински завод за заштиту </w:t>
            </w:r>
            <w:r>
              <w:rPr>
                <w:lang/>
              </w:rPr>
              <w:lastRenderedPageBreak/>
              <w:t>споменика културе Нови Сад</w:t>
            </w:r>
          </w:p>
        </w:tc>
        <w:tc>
          <w:tcPr>
            <w:tcW w:w="1284" w:type="dxa"/>
            <w:gridSpan w:val="3"/>
            <w:vAlign w:val="center"/>
          </w:tcPr>
          <w:p w:rsidR="00370BA4" w:rsidRPr="00D03014" w:rsidRDefault="00370BA4" w:rsidP="00370BA4">
            <w:pPr>
              <w:jc w:val="right"/>
            </w:pPr>
            <w:r w:rsidRPr="00D03014">
              <w:lastRenderedPageBreak/>
              <w:t>2025</w:t>
            </w:r>
          </w:p>
        </w:tc>
        <w:tc>
          <w:tcPr>
            <w:tcW w:w="1039" w:type="dxa"/>
            <w:gridSpan w:val="4"/>
            <w:vAlign w:val="center"/>
          </w:tcPr>
          <w:p w:rsidR="00370BA4" w:rsidRPr="00D03014" w:rsidRDefault="00370BA4" w:rsidP="00370BA4">
            <w:r w:rsidRPr="00D03014">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8854B0" w:rsidRDefault="008854B0" w:rsidP="00370BA4">
            <w:pPr>
              <w:jc w:val="right"/>
              <w:rPr>
                <w:lang/>
              </w:rPr>
            </w:pPr>
            <w:r>
              <w:rPr>
                <w:lang/>
              </w:rPr>
              <w:t>6.000.000</w:t>
            </w:r>
          </w:p>
        </w:tc>
        <w:tc>
          <w:tcPr>
            <w:tcW w:w="1145" w:type="dxa"/>
            <w:gridSpan w:val="3"/>
            <w:shd w:val="clear" w:color="auto" w:fill="auto"/>
            <w:vAlign w:val="center"/>
          </w:tcPr>
          <w:p w:rsidR="00370BA4" w:rsidRPr="008854B0" w:rsidRDefault="008854B0" w:rsidP="00370BA4">
            <w:pPr>
              <w:jc w:val="right"/>
              <w:rPr>
                <w:lang/>
              </w:rPr>
            </w:pPr>
            <w:r>
              <w:rPr>
                <w:lang/>
              </w:rPr>
              <w:t>0</w:t>
            </w:r>
          </w:p>
        </w:tc>
        <w:tc>
          <w:tcPr>
            <w:tcW w:w="1146" w:type="dxa"/>
            <w:gridSpan w:val="2"/>
            <w:tcBorders>
              <w:right w:val="single" w:sz="4" w:space="0" w:color="auto"/>
            </w:tcBorders>
            <w:shd w:val="clear" w:color="auto" w:fill="auto"/>
            <w:vAlign w:val="center"/>
          </w:tcPr>
          <w:p w:rsidR="00370BA4" w:rsidRPr="008854B0" w:rsidRDefault="008854B0" w:rsidP="00370BA4">
            <w:pPr>
              <w:jc w:val="right"/>
              <w:rPr>
                <w:lang/>
              </w:rPr>
            </w:pPr>
            <w:r>
              <w:rPr>
                <w:lang/>
              </w:rPr>
              <w:t>0</w:t>
            </w:r>
          </w:p>
        </w:tc>
        <w:tc>
          <w:tcPr>
            <w:tcW w:w="1145" w:type="dxa"/>
            <w:gridSpan w:val="4"/>
            <w:tcBorders>
              <w:left w:val="single" w:sz="4" w:space="0" w:color="auto"/>
              <w:bottom w:val="single" w:sz="4" w:space="0" w:color="auto"/>
              <w:right w:val="single" w:sz="4" w:space="0" w:color="auto"/>
            </w:tcBorders>
            <w:shd w:val="clear" w:color="auto" w:fill="auto"/>
            <w:vAlign w:val="center"/>
          </w:tcPr>
          <w:p w:rsidR="00370BA4" w:rsidRPr="008854B0" w:rsidRDefault="008854B0" w:rsidP="00370BA4">
            <w:pPr>
              <w:jc w:val="right"/>
              <w:rPr>
                <w:lang/>
              </w:rPr>
            </w:pPr>
            <w:r>
              <w:rPr>
                <w:lang/>
              </w:rPr>
              <w:t>30.000.000</w:t>
            </w:r>
          </w:p>
        </w:tc>
        <w:tc>
          <w:tcPr>
            <w:tcW w:w="1146" w:type="dxa"/>
            <w:tcBorders>
              <w:left w:val="single" w:sz="4" w:space="0" w:color="auto"/>
              <w:right w:val="double" w:sz="4" w:space="0" w:color="auto"/>
            </w:tcBorders>
            <w:shd w:val="clear" w:color="auto" w:fill="auto"/>
            <w:vAlign w:val="center"/>
          </w:tcPr>
          <w:p w:rsidR="00370BA4" w:rsidRPr="008854B0" w:rsidRDefault="008854B0" w:rsidP="00370BA4">
            <w:pPr>
              <w:jc w:val="right"/>
              <w:rPr>
                <w:lang/>
              </w:rPr>
            </w:pPr>
            <w:r>
              <w:rPr>
                <w:lang/>
              </w:rPr>
              <w:t>30.000.000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b/>
                <w:sz w:val="24"/>
                <w:szCs w:val="24"/>
              </w:rPr>
              <w:lastRenderedPageBreak/>
              <w:t>Мера 2.2: Опремање културне инфраструктуре</w:t>
            </w:r>
          </w:p>
        </w:tc>
      </w:tr>
      <w:tr w:rsidR="00370BA4" w:rsidRPr="00D03014"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rPr>
                <w:rFonts w:ascii="Arial" w:eastAsia="Times New Roman" w:hAnsi="Arial" w:cs="Arial"/>
                <w:color w:val="222222"/>
                <w:lang/>
              </w:rPr>
              <w:t xml:space="preserve"> Градска управа Сомбор, установе културе</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rPr>
              <w:t>Тип мере:</w:t>
            </w:r>
            <w:r w:rsidR="008854B0">
              <w:t xml:space="preserve"> </w:t>
            </w:r>
            <w:r w:rsidR="008854B0" w:rsidRPr="008854B0">
              <w:rPr>
                <w:rFonts w:ascii="Arial" w:hAnsi="Arial" w:cs="Arial"/>
              </w:rPr>
              <w:t>обезбеђење добара и пружање услуга од стране учесника у планском систему</w:t>
            </w:r>
          </w:p>
        </w:tc>
      </w:tr>
      <w:tr w:rsidR="00D2040D"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D9D9D9" w:themeFill="background1" w:themeFillShade="D9"/>
            <w:vAlign w:val="center"/>
          </w:tcPr>
          <w:p w:rsidR="00D2040D" w:rsidRPr="00D03014" w:rsidRDefault="00D2040D" w:rsidP="00D2040D">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Јединица мере</w:t>
            </w:r>
          </w:p>
          <w:p w:rsidR="00D2040D" w:rsidRPr="00D03014" w:rsidRDefault="00D2040D" w:rsidP="00D2040D">
            <w:pPr>
              <w:jc w:val="center"/>
              <w:rPr>
                <w:rFonts w:ascii="Arial" w:hAnsi="Arial" w:cs="Arial"/>
              </w:rPr>
            </w:pPr>
          </w:p>
        </w:tc>
        <w:tc>
          <w:tcPr>
            <w:tcW w:w="1460"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последњој години АП</w:t>
            </w:r>
          </w:p>
        </w:tc>
      </w:tr>
      <w:tr w:rsidR="00370BA4" w:rsidRPr="009F2563"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D96E0B" w:rsidRDefault="00370BA4" w:rsidP="00370BA4">
            <w:pPr>
              <w:shd w:val="clear" w:color="auto" w:fill="FFFFFF" w:themeFill="background1"/>
              <w:rPr>
                <w:rFonts w:ascii="Arial" w:hAnsi="Arial" w:cs="Arial"/>
                <w:lang/>
              </w:rPr>
            </w:pPr>
            <w:r>
              <w:rPr>
                <w:rFonts w:ascii="Arial" w:hAnsi="Arial" w:cs="Arial"/>
                <w:lang/>
              </w:rPr>
              <w:t>Дефинисан трогодишњи план улагања у опрему и услуге према потребама установа културе</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0-не</w:t>
            </w:r>
          </w:p>
          <w:p w:rsidR="00370BA4" w:rsidRPr="00D03014" w:rsidRDefault="00370BA4" w:rsidP="00370BA4">
            <w:pPr>
              <w:shd w:val="clear" w:color="auto" w:fill="FFFFFF" w:themeFill="background1"/>
              <w:rPr>
                <w:rFonts w:ascii="Arial" w:hAnsi="Arial" w:cs="Arial"/>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 xml:space="preserve">Извештај </w:t>
            </w:r>
            <w:r>
              <w:rPr>
                <w:rFonts w:ascii="Arial" w:hAnsi="Arial" w:cs="Arial"/>
                <w:sz w:val="20"/>
                <w:szCs w:val="20"/>
                <w:lang/>
              </w:rPr>
              <w:t>ГУ Сомбор, Извештаји установа културе</w:t>
            </w:r>
          </w:p>
        </w:tc>
        <w:tc>
          <w:tcPr>
            <w:tcW w:w="1459"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2"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r>
      <w:tr w:rsidR="00370BA4" w:rsidRPr="00D03014" w:rsidTr="001858E0">
        <w:trPr>
          <w:trHeight w:val="398"/>
        </w:trPr>
        <w:tc>
          <w:tcPr>
            <w:tcW w:w="2531" w:type="dxa"/>
            <w:gridSpan w:val="5"/>
            <w:vMerge w:val="restart"/>
            <w:tcBorders>
              <w:top w:val="single" w:sz="4" w:space="0" w:color="auto"/>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68"/>
            </w:r>
          </w:p>
        </w:tc>
        <w:tc>
          <w:tcPr>
            <w:tcW w:w="2145" w:type="dxa"/>
            <w:gridSpan w:val="5"/>
            <w:vMerge w:val="restart"/>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69"/>
            </w:r>
          </w:p>
        </w:tc>
        <w:tc>
          <w:tcPr>
            <w:tcW w:w="9156" w:type="dxa"/>
            <w:gridSpan w:val="22"/>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 xml:space="preserve"> Укупна процењена </w:t>
            </w:r>
            <w:r w:rsidR="00D2040D">
              <w:rPr>
                <w:rFonts w:ascii="Arial" w:hAnsi="Arial" w:cs="Arial"/>
              </w:rPr>
              <w:t xml:space="preserve">финансијска средства у </w:t>
            </w:r>
            <w:r w:rsidRPr="00D03014">
              <w:rPr>
                <w:rFonts w:ascii="Arial" w:hAnsi="Arial" w:cs="Arial"/>
              </w:rPr>
              <w:t>дин.</w:t>
            </w:r>
          </w:p>
        </w:tc>
      </w:tr>
      <w:tr w:rsidR="00D2040D"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3.000.000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3.500.000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4.000.000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4.500.000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Остали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r>
      <w:tr w:rsidR="00370BA4" w:rsidRPr="009F2563"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70"/>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71"/>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Укупна процењена финанси</w:t>
            </w:r>
            <w:r w:rsidR="00D2040D">
              <w:rPr>
                <w:rFonts w:ascii="Arial" w:hAnsi="Arial" w:cs="Arial"/>
                <w:sz w:val="20"/>
                <w:szCs w:val="20"/>
              </w:rPr>
              <w:t xml:space="preserve">јска средства по изворима у </w:t>
            </w:r>
            <w:r w:rsidRPr="009F2563">
              <w:rPr>
                <w:rFonts w:ascii="Arial" w:hAnsi="Arial" w:cs="Arial"/>
                <w:sz w:val="20"/>
                <w:szCs w:val="20"/>
              </w:rPr>
              <w:t>дин.</w:t>
            </w:r>
            <w:r w:rsidRPr="009F2563">
              <w:rPr>
                <w:rFonts w:ascii="Arial" w:hAnsi="Arial" w:cs="Arial"/>
                <w:sz w:val="20"/>
                <w:szCs w:val="20"/>
                <w:vertAlign w:val="superscript"/>
              </w:rPr>
              <w:footnoteReference w:id="72"/>
            </w:r>
          </w:p>
        </w:tc>
      </w:tr>
      <w:tr w:rsidR="00370BA4" w:rsidRPr="009F2563"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lastRenderedPageBreak/>
              <w:t>2.2.1.</w:t>
            </w:r>
          </w:p>
          <w:p w:rsidR="00370BA4" w:rsidRPr="00D03014" w:rsidRDefault="00370BA4" w:rsidP="00370BA4">
            <w:r w:rsidRPr="00D03014">
              <w:t>Израда и реализација</w:t>
            </w:r>
            <w:r>
              <w:rPr>
                <w:lang/>
              </w:rPr>
              <w:t xml:space="preserve"> трогодишњег</w:t>
            </w:r>
            <w:r w:rsidRPr="00D03014">
              <w:t xml:space="preserve"> плана улагања у опрему и услуге према потребама установа културе (укључујући и домове културе у насељеним местима) </w:t>
            </w:r>
          </w:p>
        </w:tc>
        <w:tc>
          <w:tcPr>
            <w:tcW w:w="1301" w:type="dxa"/>
            <w:gridSpan w:val="5"/>
            <w:vAlign w:val="center"/>
          </w:tcPr>
          <w:p w:rsidR="00370BA4" w:rsidRPr="00367057" w:rsidRDefault="00370BA4" w:rsidP="00370BA4">
            <w:pPr>
              <w:rPr>
                <w:lang/>
              </w:rPr>
            </w:pPr>
            <w:r w:rsidRPr="00367057">
              <w:rPr>
                <w:lang/>
              </w:rPr>
              <w:t>ГУ Сомбор</w:t>
            </w:r>
          </w:p>
        </w:tc>
        <w:tc>
          <w:tcPr>
            <w:tcW w:w="1487" w:type="dxa"/>
            <w:gridSpan w:val="3"/>
            <w:vAlign w:val="center"/>
          </w:tcPr>
          <w:p w:rsidR="00370BA4" w:rsidRPr="00367057" w:rsidRDefault="00370BA4" w:rsidP="00370BA4">
            <w:pPr>
              <w:rPr>
                <w:lang/>
              </w:rPr>
            </w:pPr>
            <w:r>
              <w:rPr>
                <w:lang/>
              </w:rPr>
              <w:t>установе културе</w:t>
            </w:r>
          </w:p>
        </w:tc>
        <w:tc>
          <w:tcPr>
            <w:tcW w:w="1284" w:type="dxa"/>
            <w:gridSpan w:val="3"/>
            <w:vAlign w:val="center"/>
          </w:tcPr>
          <w:p w:rsidR="00370BA4" w:rsidRPr="00D03014" w:rsidRDefault="00370BA4" w:rsidP="00370BA4">
            <w:r>
              <w:t>2021</w:t>
            </w:r>
            <w:r w:rsidRPr="00D03014">
              <w:t>-2025</w:t>
            </w:r>
          </w:p>
        </w:tc>
        <w:tc>
          <w:tcPr>
            <w:tcW w:w="1039" w:type="dxa"/>
            <w:gridSpan w:val="4"/>
            <w:vAlign w:val="center"/>
          </w:tcPr>
          <w:p w:rsidR="00370BA4" w:rsidRPr="008854B0" w:rsidRDefault="008854B0" w:rsidP="00370BA4">
            <w:pPr>
              <w:rPr>
                <w:lang/>
              </w:rPr>
            </w:pPr>
            <w:r>
              <w:rPr>
                <w:lang/>
              </w:rPr>
              <w:t>ГУ Сомбор</w:t>
            </w:r>
          </w:p>
        </w:tc>
        <w:tc>
          <w:tcPr>
            <w:tcW w:w="1269" w:type="dxa"/>
            <w:gridSpan w:val="3"/>
            <w:vAlign w:val="center"/>
          </w:tcPr>
          <w:p w:rsidR="00370BA4" w:rsidRPr="00D03014" w:rsidRDefault="00370BA4" w:rsidP="00370BA4"/>
        </w:tc>
        <w:tc>
          <w:tcPr>
            <w:tcW w:w="1145" w:type="dxa"/>
            <w:gridSpan w:val="3"/>
            <w:shd w:val="clear" w:color="auto" w:fill="auto"/>
            <w:vAlign w:val="center"/>
          </w:tcPr>
          <w:p w:rsidR="00370BA4" w:rsidRPr="008854B0" w:rsidRDefault="008854B0" w:rsidP="008854B0">
            <w:pPr>
              <w:jc w:val="right"/>
              <w:rPr>
                <w:lang/>
              </w:rPr>
            </w:pPr>
            <w:r w:rsidRPr="008854B0">
              <w:rPr>
                <w:lang/>
              </w:rPr>
              <w:t>0</w:t>
            </w:r>
          </w:p>
        </w:tc>
        <w:tc>
          <w:tcPr>
            <w:tcW w:w="1145" w:type="dxa"/>
            <w:gridSpan w:val="3"/>
            <w:shd w:val="clear" w:color="auto" w:fill="auto"/>
            <w:vAlign w:val="center"/>
          </w:tcPr>
          <w:p w:rsidR="00370BA4" w:rsidRPr="008854B0" w:rsidRDefault="008854B0" w:rsidP="008854B0">
            <w:pPr>
              <w:jc w:val="right"/>
              <w:rPr>
                <w:lang/>
              </w:rPr>
            </w:pPr>
            <w:r w:rsidRPr="008854B0">
              <w:rPr>
                <w:lang/>
              </w:rPr>
              <w:t>2.000.000</w:t>
            </w:r>
          </w:p>
        </w:tc>
        <w:tc>
          <w:tcPr>
            <w:tcW w:w="1146" w:type="dxa"/>
            <w:gridSpan w:val="2"/>
            <w:tcBorders>
              <w:right w:val="single" w:sz="4" w:space="0" w:color="auto"/>
            </w:tcBorders>
            <w:shd w:val="clear" w:color="auto" w:fill="auto"/>
            <w:vAlign w:val="center"/>
          </w:tcPr>
          <w:p w:rsidR="00370BA4" w:rsidRPr="008854B0" w:rsidRDefault="008854B0" w:rsidP="008854B0">
            <w:pPr>
              <w:jc w:val="right"/>
              <w:rPr>
                <w:lang/>
              </w:rPr>
            </w:pPr>
            <w:r w:rsidRPr="008854B0">
              <w:rPr>
                <w:lang/>
              </w:rPr>
              <w:t>2.500.000</w:t>
            </w:r>
          </w:p>
        </w:tc>
        <w:tc>
          <w:tcPr>
            <w:tcW w:w="1145" w:type="dxa"/>
            <w:gridSpan w:val="4"/>
            <w:tcBorders>
              <w:left w:val="single" w:sz="4" w:space="0" w:color="auto"/>
              <w:right w:val="single" w:sz="4" w:space="0" w:color="auto"/>
            </w:tcBorders>
            <w:shd w:val="clear" w:color="auto" w:fill="auto"/>
            <w:vAlign w:val="center"/>
          </w:tcPr>
          <w:p w:rsidR="00370BA4" w:rsidRPr="008854B0" w:rsidRDefault="008854B0" w:rsidP="008854B0">
            <w:pPr>
              <w:jc w:val="right"/>
              <w:rPr>
                <w:lang/>
              </w:rPr>
            </w:pPr>
            <w:r w:rsidRPr="008854B0">
              <w:rPr>
                <w:lang/>
              </w:rPr>
              <w:t>2.500.000</w:t>
            </w:r>
          </w:p>
        </w:tc>
        <w:tc>
          <w:tcPr>
            <w:tcW w:w="1146" w:type="dxa"/>
            <w:tcBorders>
              <w:left w:val="single" w:sz="4" w:space="0" w:color="auto"/>
              <w:right w:val="double" w:sz="4" w:space="0" w:color="auto"/>
            </w:tcBorders>
            <w:shd w:val="clear" w:color="auto" w:fill="auto"/>
            <w:vAlign w:val="center"/>
          </w:tcPr>
          <w:p w:rsidR="00370BA4" w:rsidRPr="008854B0" w:rsidRDefault="008854B0" w:rsidP="008854B0">
            <w:pPr>
              <w:jc w:val="right"/>
              <w:rPr>
                <w:lang/>
              </w:rPr>
            </w:pPr>
            <w:r w:rsidRPr="008854B0">
              <w:rPr>
                <w:lang/>
              </w:rPr>
              <w:t>3.000.000</w:t>
            </w:r>
          </w:p>
        </w:tc>
      </w:tr>
      <w:tr w:rsidR="008854B0"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vAlign w:val="center"/>
          </w:tcPr>
          <w:p w:rsidR="008854B0" w:rsidRPr="00D03014" w:rsidRDefault="008854B0" w:rsidP="008854B0">
            <w:r w:rsidRPr="00D03014">
              <w:t>2.2.2.</w:t>
            </w:r>
          </w:p>
          <w:p w:rsidR="008854B0" w:rsidRPr="00D03014" w:rsidRDefault="008854B0" w:rsidP="008854B0">
            <w:r w:rsidRPr="00D03014">
              <w:t>Обезбеђивање приступа особама са инвалидитетом установама културе и програмима</w:t>
            </w:r>
          </w:p>
        </w:tc>
        <w:tc>
          <w:tcPr>
            <w:tcW w:w="1301" w:type="dxa"/>
            <w:gridSpan w:val="5"/>
            <w:vAlign w:val="center"/>
          </w:tcPr>
          <w:p w:rsidR="008854B0" w:rsidRPr="00D03014" w:rsidRDefault="008854B0" w:rsidP="008854B0">
            <w:r w:rsidRPr="00D03014">
              <w:t>ГУ Сомбор</w:t>
            </w:r>
          </w:p>
        </w:tc>
        <w:tc>
          <w:tcPr>
            <w:tcW w:w="1487" w:type="dxa"/>
            <w:gridSpan w:val="3"/>
            <w:vAlign w:val="center"/>
          </w:tcPr>
          <w:p w:rsidR="008854B0" w:rsidRPr="00D03014" w:rsidRDefault="008854B0" w:rsidP="008854B0">
            <w:r w:rsidRPr="00D03014">
              <w:t>МКИ, Покрајински секретаријат за културу</w:t>
            </w:r>
          </w:p>
        </w:tc>
        <w:tc>
          <w:tcPr>
            <w:tcW w:w="1284" w:type="dxa"/>
            <w:gridSpan w:val="3"/>
            <w:vAlign w:val="center"/>
          </w:tcPr>
          <w:p w:rsidR="008854B0" w:rsidRPr="00D20B83" w:rsidRDefault="008854B0" w:rsidP="008854B0">
            <w:pPr>
              <w:rPr>
                <w:lang/>
              </w:rPr>
            </w:pPr>
            <w:r>
              <w:t>2021</w:t>
            </w:r>
            <w:r>
              <w:rPr>
                <w:lang/>
              </w:rPr>
              <w:t xml:space="preserve"> - 2025</w:t>
            </w:r>
          </w:p>
        </w:tc>
        <w:tc>
          <w:tcPr>
            <w:tcW w:w="1039" w:type="dxa"/>
            <w:gridSpan w:val="4"/>
            <w:vAlign w:val="center"/>
          </w:tcPr>
          <w:p w:rsidR="008854B0" w:rsidRPr="00D03014" w:rsidRDefault="008854B0" w:rsidP="008854B0">
            <w:r>
              <w:rPr>
                <w:lang/>
              </w:rPr>
              <w:t>ГУ Сомбор</w:t>
            </w:r>
          </w:p>
        </w:tc>
        <w:tc>
          <w:tcPr>
            <w:tcW w:w="1269" w:type="dxa"/>
            <w:gridSpan w:val="3"/>
            <w:vAlign w:val="center"/>
          </w:tcPr>
          <w:p w:rsidR="008854B0" w:rsidRPr="00D03014" w:rsidRDefault="008854B0" w:rsidP="008854B0"/>
        </w:tc>
        <w:tc>
          <w:tcPr>
            <w:tcW w:w="1145" w:type="dxa"/>
            <w:gridSpan w:val="3"/>
            <w:shd w:val="clear" w:color="auto" w:fill="auto"/>
            <w:vAlign w:val="center"/>
          </w:tcPr>
          <w:p w:rsidR="008854B0" w:rsidRPr="008854B0" w:rsidRDefault="008854B0" w:rsidP="008854B0">
            <w:pPr>
              <w:jc w:val="right"/>
              <w:rPr>
                <w:lang/>
              </w:rPr>
            </w:pPr>
            <w:r>
              <w:rPr>
                <w:lang/>
              </w:rPr>
              <w:t>0</w:t>
            </w:r>
          </w:p>
        </w:tc>
        <w:tc>
          <w:tcPr>
            <w:tcW w:w="1145" w:type="dxa"/>
            <w:gridSpan w:val="3"/>
            <w:shd w:val="clear" w:color="auto" w:fill="auto"/>
            <w:vAlign w:val="center"/>
          </w:tcPr>
          <w:p w:rsidR="008854B0" w:rsidRPr="008854B0" w:rsidRDefault="008854B0" w:rsidP="008854B0">
            <w:pPr>
              <w:jc w:val="right"/>
              <w:rPr>
                <w:lang/>
              </w:rPr>
            </w:pPr>
            <w:r>
              <w:rPr>
                <w:lang/>
              </w:rPr>
              <w:t>1.000.000</w:t>
            </w:r>
          </w:p>
        </w:tc>
        <w:tc>
          <w:tcPr>
            <w:tcW w:w="1146" w:type="dxa"/>
            <w:gridSpan w:val="2"/>
            <w:tcBorders>
              <w:right w:val="single" w:sz="4" w:space="0" w:color="auto"/>
            </w:tcBorders>
            <w:shd w:val="clear" w:color="auto" w:fill="auto"/>
            <w:vAlign w:val="center"/>
          </w:tcPr>
          <w:p w:rsidR="008854B0" w:rsidRPr="008854B0" w:rsidRDefault="008854B0" w:rsidP="008854B0">
            <w:pPr>
              <w:jc w:val="right"/>
              <w:rPr>
                <w:lang/>
              </w:rPr>
            </w:pPr>
            <w:r>
              <w:rPr>
                <w:lang/>
              </w:rPr>
              <w:t>1.000.000</w:t>
            </w:r>
          </w:p>
        </w:tc>
        <w:tc>
          <w:tcPr>
            <w:tcW w:w="1145" w:type="dxa"/>
            <w:gridSpan w:val="4"/>
            <w:tcBorders>
              <w:left w:val="single" w:sz="4" w:space="0" w:color="auto"/>
              <w:right w:val="single" w:sz="4" w:space="0" w:color="auto"/>
            </w:tcBorders>
            <w:shd w:val="clear" w:color="auto" w:fill="auto"/>
            <w:vAlign w:val="center"/>
          </w:tcPr>
          <w:p w:rsidR="008854B0" w:rsidRPr="008854B0" w:rsidRDefault="008854B0" w:rsidP="008854B0">
            <w:pPr>
              <w:jc w:val="right"/>
              <w:rPr>
                <w:lang/>
              </w:rPr>
            </w:pPr>
            <w:r>
              <w:rPr>
                <w:lang/>
              </w:rPr>
              <w:t>1.500.000</w:t>
            </w:r>
          </w:p>
        </w:tc>
        <w:tc>
          <w:tcPr>
            <w:tcW w:w="1146" w:type="dxa"/>
            <w:tcBorders>
              <w:left w:val="single" w:sz="4" w:space="0" w:color="auto"/>
              <w:right w:val="double" w:sz="4" w:space="0" w:color="auto"/>
            </w:tcBorders>
            <w:shd w:val="clear" w:color="auto" w:fill="auto"/>
            <w:vAlign w:val="center"/>
          </w:tcPr>
          <w:p w:rsidR="008854B0" w:rsidRPr="008854B0" w:rsidRDefault="008854B0" w:rsidP="008854B0">
            <w:pPr>
              <w:jc w:val="right"/>
              <w:rPr>
                <w:lang/>
              </w:rPr>
            </w:pPr>
            <w:r>
              <w:rPr>
                <w:lang/>
              </w:rPr>
              <w:t>1.500.000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C5E0B3" w:themeFill="accent6" w:themeFillTint="66"/>
            <w:vAlign w:val="center"/>
          </w:tcPr>
          <w:p w:rsidR="00370BA4" w:rsidRPr="00D03014" w:rsidRDefault="00370BA4" w:rsidP="00370BA4">
            <w:pPr>
              <w:rPr>
                <w:rFonts w:ascii="Arial" w:hAnsi="Arial" w:cs="Arial"/>
                <w:b/>
                <w:sz w:val="28"/>
                <w:szCs w:val="28"/>
              </w:rPr>
            </w:pPr>
            <w:r w:rsidRPr="00D03014">
              <w:rPr>
                <w:rFonts w:ascii="Arial" w:hAnsi="Arial" w:cs="Arial"/>
                <w:b/>
                <w:sz w:val="28"/>
                <w:szCs w:val="28"/>
              </w:rPr>
              <w:t>Посебни циљ 3: Култура младих и за младе</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C5E0B3" w:themeFill="accent6" w:themeFillTint="66"/>
            <w:vAlign w:val="center"/>
          </w:tcPr>
          <w:p w:rsidR="00370BA4" w:rsidRPr="00D03014" w:rsidRDefault="00370BA4" w:rsidP="00370BA4">
            <w:pPr>
              <w:rPr>
                <w:rFonts w:ascii="Arial" w:eastAsia="Times New Roman" w:hAnsi="Arial" w:cs="Arial"/>
                <w:color w:val="222222"/>
                <w:sz w:val="24"/>
                <w:szCs w:val="24"/>
              </w:rPr>
            </w:pPr>
            <w:r w:rsidRPr="00D03014">
              <w:rPr>
                <w:rFonts w:ascii="Arial" w:eastAsia="Times New Roman" w:hAnsi="Arial" w:cs="Arial"/>
                <w:color w:val="222222"/>
                <w:sz w:val="24"/>
                <w:szCs w:val="24"/>
              </w:rPr>
              <w:t>Институција одговорна за праћење и контролу реализације</w:t>
            </w:r>
            <w:r w:rsidRPr="00D03014">
              <w:rPr>
                <w:rFonts w:ascii="Arial" w:eastAsia="Times New Roman" w:hAnsi="Arial" w:cs="Arial"/>
                <w:color w:val="222222"/>
              </w:rPr>
              <w:t>: Градска управа Сомбор, Савет за културу града Сомбора</w:t>
            </w:r>
          </w:p>
        </w:tc>
      </w:tr>
      <w:tr w:rsidR="00D2040D" w:rsidRPr="00D03014" w:rsidTr="001858E0">
        <w:trPr>
          <w:trHeight w:val="400"/>
        </w:trPr>
        <w:tc>
          <w:tcPr>
            <w:tcW w:w="1878" w:type="dxa"/>
            <w:gridSpan w:val="2"/>
            <w:tcBorders>
              <w:top w:val="double" w:sz="4" w:space="0" w:color="auto"/>
              <w:left w:val="double" w:sz="4" w:space="0" w:color="auto"/>
            </w:tcBorders>
            <w:shd w:val="clear" w:color="auto" w:fill="D9D9D9" w:themeFill="background1" w:themeFillShade="D9"/>
            <w:vAlign w:val="center"/>
          </w:tcPr>
          <w:p w:rsidR="00D2040D" w:rsidRPr="00D03014" w:rsidRDefault="00D2040D" w:rsidP="00D2040D">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Јединица мере</w:t>
            </w:r>
          </w:p>
          <w:p w:rsidR="00D2040D" w:rsidRPr="00D03014" w:rsidRDefault="00D2040D" w:rsidP="00D2040D">
            <w:pPr>
              <w:jc w:val="center"/>
              <w:rPr>
                <w:rFonts w:ascii="Arial" w:hAnsi="Arial" w:cs="Arial"/>
              </w:rPr>
            </w:pPr>
          </w:p>
        </w:tc>
        <w:tc>
          <w:tcPr>
            <w:tcW w:w="1460" w:type="dxa"/>
            <w:gridSpan w:val="4"/>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right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последњој години АП</w:t>
            </w:r>
          </w:p>
        </w:tc>
      </w:tr>
      <w:tr w:rsidR="00370BA4" w:rsidRPr="00D20B5B"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D96E0B" w:rsidRDefault="00370BA4" w:rsidP="00370BA4">
            <w:pPr>
              <w:shd w:val="clear" w:color="auto" w:fill="FFFFFF" w:themeFill="background1"/>
              <w:rPr>
                <w:rFonts w:ascii="Arial" w:hAnsi="Arial" w:cs="Arial"/>
                <w:lang/>
              </w:rPr>
            </w:pPr>
            <w:r>
              <w:rPr>
                <w:rFonts w:ascii="Arial" w:hAnsi="Arial" w:cs="Arial"/>
                <w:lang/>
              </w:rPr>
              <w:t>Основан фестивал младих</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0-не</w:t>
            </w:r>
          </w:p>
          <w:p w:rsidR="00370BA4" w:rsidRPr="00D03014" w:rsidRDefault="00370BA4" w:rsidP="00370BA4">
            <w:pPr>
              <w:shd w:val="clear" w:color="auto" w:fill="FFFFFF" w:themeFill="background1"/>
              <w:rPr>
                <w:rFonts w:ascii="Arial" w:hAnsi="Arial" w:cs="Arial"/>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 xml:space="preserve">Извештај </w:t>
            </w:r>
            <w:r>
              <w:rPr>
                <w:rFonts w:ascii="Arial" w:hAnsi="Arial" w:cs="Arial"/>
                <w:sz w:val="20"/>
                <w:szCs w:val="20"/>
                <w:lang/>
              </w:rPr>
              <w:t>ГУ Сомбор, Извештај Канцеларије за младе</w:t>
            </w:r>
          </w:p>
        </w:tc>
        <w:tc>
          <w:tcPr>
            <w:tcW w:w="1459"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r>
      <w:tr w:rsidR="00370BA4" w:rsidRPr="00D20B5B"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lastRenderedPageBreak/>
              <w:t>Број посета деце и младих на културним програмима (са искоришћеним културним „пасошем“)</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Pr>
                <w:rFonts w:ascii="Arial" w:hAnsi="Arial" w:cs="Arial"/>
                <w:sz w:val="20"/>
                <w:szCs w:val="20"/>
                <w:lang/>
              </w:rPr>
              <w:t>број</w:t>
            </w:r>
          </w:p>
        </w:tc>
        <w:tc>
          <w:tcPr>
            <w:tcW w:w="1460" w:type="dxa"/>
            <w:gridSpan w:val="4"/>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Извештаји установа културе</w:t>
            </w:r>
          </w:p>
        </w:tc>
        <w:tc>
          <w:tcPr>
            <w:tcW w:w="1459"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Pr="00334460" w:rsidRDefault="00370BA4" w:rsidP="00370BA4">
            <w:pPr>
              <w:shd w:val="clear" w:color="auto" w:fill="FFFFFF" w:themeFill="background1"/>
              <w:jc w:val="center"/>
              <w:rPr>
                <w:rFonts w:ascii="Arial" w:hAnsi="Arial" w:cs="Arial"/>
                <w:sz w:val="20"/>
                <w:szCs w:val="20"/>
              </w:rPr>
            </w:pPr>
            <w:r>
              <w:rPr>
                <w:rFonts w:ascii="Arial" w:hAnsi="Arial" w:cs="Arial"/>
                <w:sz w:val="20"/>
                <w:szCs w:val="20"/>
              </w:rPr>
              <w:t>3.000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334460" w:rsidRDefault="00370BA4" w:rsidP="00370BA4">
            <w:pPr>
              <w:shd w:val="clear" w:color="auto" w:fill="FFFFFF" w:themeFill="background1"/>
              <w:jc w:val="center"/>
              <w:rPr>
                <w:rFonts w:ascii="Arial" w:hAnsi="Arial" w:cs="Arial"/>
                <w:sz w:val="20"/>
                <w:szCs w:val="20"/>
              </w:rPr>
            </w:pPr>
            <w:r>
              <w:rPr>
                <w:rFonts w:ascii="Arial" w:hAnsi="Arial" w:cs="Arial"/>
                <w:sz w:val="20"/>
                <w:szCs w:val="20"/>
              </w:rPr>
              <w:t>6.000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334460" w:rsidRDefault="00370BA4" w:rsidP="00370BA4">
            <w:pPr>
              <w:shd w:val="clear" w:color="auto" w:fill="FFFFFF" w:themeFill="background1"/>
              <w:jc w:val="center"/>
              <w:rPr>
                <w:rFonts w:ascii="Arial" w:hAnsi="Arial" w:cs="Arial"/>
                <w:sz w:val="20"/>
                <w:szCs w:val="20"/>
              </w:rPr>
            </w:pPr>
            <w:r>
              <w:rPr>
                <w:rFonts w:ascii="Arial" w:hAnsi="Arial" w:cs="Arial"/>
                <w:sz w:val="20"/>
                <w:szCs w:val="20"/>
              </w:rPr>
              <w:t>9.000</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334460" w:rsidRDefault="00370BA4" w:rsidP="00370BA4">
            <w:pPr>
              <w:shd w:val="clear" w:color="auto" w:fill="FFFFFF" w:themeFill="background1"/>
              <w:jc w:val="center"/>
              <w:rPr>
                <w:rFonts w:ascii="Arial" w:hAnsi="Arial" w:cs="Arial"/>
                <w:sz w:val="20"/>
                <w:szCs w:val="20"/>
              </w:rPr>
            </w:pPr>
            <w:r>
              <w:rPr>
                <w:rFonts w:ascii="Arial" w:hAnsi="Arial" w:cs="Arial"/>
                <w:sz w:val="20"/>
                <w:szCs w:val="20"/>
              </w:rPr>
              <w:t>12.000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b/>
                <w:sz w:val="24"/>
                <w:szCs w:val="24"/>
              </w:rPr>
            </w:pPr>
            <w:r w:rsidRPr="00D03014">
              <w:rPr>
                <w:rFonts w:ascii="Arial" w:hAnsi="Arial" w:cs="Arial"/>
                <w:b/>
                <w:sz w:val="24"/>
                <w:szCs w:val="24"/>
              </w:rPr>
              <w:t xml:space="preserve">Мера 3.1: Укључивање младих као креатора културних садржаја </w:t>
            </w:r>
          </w:p>
        </w:tc>
      </w:tr>
      <w:tr w:rsidR="00370BA4" w:rsidRPr="00D03014"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rPr>
                <w:rFonts w:ascii="Arial" w:eastAsia="Times New Roman" w:hAnsi="Arial" w:cs="Arial"/>
                <w:color w:val="222222"/>
                <w:lang/>
              </w:rPr>
              <w:t xml:space="preserve"> Канцеларија за младе, организатори манифестација, школе</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367057"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rPr>
              <w:t>Тип мере:</w:t>
            </w:r>
            <w:r w:rsidR="008854B0">
              <w:t xml:space="preserve"> </w:t>
            </w:r>
            <w:r w:rsidR="008854B0">
              <w:rPr>
                <w:rFonts w:ascii="Arial" w:hAnsi="Arial" w:cs="Arial"/>
              </w:rPr>
              <w:t>информативно-едукативна</w:t>
            </w:r>
          </w:p>
        </w:tc>
      </w:tr>
      <w:tr w:rsidR="00D2040D"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D9D9D9" w:themeFill="background1" w:themeFillShade="D9"/>
            <w:vAlign w:val="center"/>
          </w:tcPr>
          <w:p w:rsidR="00D2040D" w:rsidRPr="00D03014" w:rsidRDefault="00D2040D" w:rsidP="00D2040D">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Јединица мере</w:t>
            </w:r>
          </w:p>
          <w:p w:rsidR="00D2040D" w:rsidRPr="00D03014" w:rsidRDefault="00D2040D" w:rsidP="00D2040D">
            <w:pPr>
              <w:jc w:val="center"/>
              <w:rPr>
                <w:rFonts w:ascii="Arial" w:hAnsi="Arial" w:cs="Arial"/>
              </w:rPr>
            </w:pPr>
          </w:p>
        </w:tc>
        <w:tc>
          <w:tcPr>
            <w:tcW w:w="1460"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последњој години АП</w:t>
            </w:r>
          </w:p>
        </w:tc>
      </w:tr>
      <w:tr w:rsidR="00370BA4" w:rsidRPr="009F2563"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Покренуте омладинске културне новине</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0-не</w:t>
            </w:r>
          </w:p>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Извештај Канцеларије за младе</w:t>
            </w:r>
          </w:p>
        </w:tc>
        <w:tc>
          <w:tcPr>
            <w:tcW w:w="1459"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9F2563" w:rsidRDefault="00370BA4" w:rsidP="00370BA4">
            <w:pPr>
              <w:shd w:val="clear" w:color="auto" w:fill="FFFFFF" w:themeFill="background1"/>
              <w:jc w:val="center"/>
              <w:rPr>
                <w:rFonts w:ascii="Arial" w:hAnsi="Arial" w:cs="Arial"/>
                <w:sz w:val="20"/>
                <w:szCs w:val="20"/>
              </w:rPr>
            </w:pPr>
            <w:r>
              <w:rPr>
                <w:rFonts w:ascii="Arial" w:hAnsi="Arial" w:cs="Arial"/>
                <w:sz w:val="20"/>
                <w:szCs w:val="20"/>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3C1019" w:rsidRDefault="00370BA4" w:rsidP="00370BA4">
            <w:pPr>
              <w:shd w:val="clear" w:color="auto" w:fill="FFFFFF" w:themeFill="background1"/>
              <w:rPr>
                <w:rFonts w:ascii="Arial" w:hAnsi="Arial" w:cs="Arial"/>
                <w:lang/>
              </w:rPr>
            </w:pPr>
            <w:r>
              <w:rPr>
                <w:rFonts w:ascii="Arial" w:hAnsi="Arial" w:cs="Arial"/>
                <w:lang/>
              </w:rPr>
              <w:t xml:space="preserve">Спроведено истраживање </w:t>
            </w:r>
            <w:r w:rsidRPr="003C1019">
              <w:rPr>
                <w:rFonts w:ascii="Arial" w:hAnsi="Arial" w:cs="Arial"/>
                <w:lang/>
              </w:rPr>
              <w:t>културних потреба и навика младих</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0-не</w:t>
            </w:r>
          </w:p>
          <w:p w:rsidR="00370BA4" w:rsidRPr="00D03014" w:rsidRDefault="00370BA4" w:rsidP="00370BA4">
            <w:pPr>
              <w:shd w:val="clear" w:color="auto" w:fill="FFFFFF" w:themeFill="background1"/>
              <w:rPr>
                <w:rFonts w:ascii="Arial" w:hAnsi="Arial" w:cs="Arial"/>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Извештај Канцеларије за младе</w:t>
            </w:r>
          </w:p>
        </w:tc>
        <w:tc>
          <w:tcPr>
            <w:tcW w:w="1459"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r>
      <w:tr w:rsidR="00370BA4" w:rsidRPr="00D03014" w:rsidTr="001858E0">
        <w:trPr>
          <w:trHeight w:val="398"/>
        </w:trPr>
        <w:tc>
          <w:tcPr>
            <w:tcW w:w="2531" w:type="dxa"/>
            <w:gridSpan w:val="5"/>
            <w:vMerge w:val="restart"/>
            <w:tcBorders>
              <w:top w:val="single" w:sz="4" w:space="0" w:color="auto"/>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73"/>
            </w:r>
          </w:p>
        </w:tc>
        <w:tc>
          <w:tcPr>
            <w:tcW w:w="2145" w:type="dxa"/>
            <w:gridSpan w:val="5"/>
            <w:vMerge w:val="restart"/>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74"/>
            </w:r>
          </w:p>
        </w:tc>
        <w:tc>
          <w:tcPr>
            <w:tcW w:w="9156" w:type="dxa"/>
            <w:gridSpan w:val="22"/>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 xml:space="preserve"> Укупна проц</w:t>
            </w:r>
            <w:r w:rsidR="00D2040D">
              <w:rPr>
                <w:rFonts w:ascii="Arial" w:hAnsi="Arial" w:cs="Arial"/>
              </w:rPr>
              <w:t>ењена финансијска средства у</w:t>
            </w:r>
            <w:r w:rsidRPr="00D03014">
              <w:rPr>
                <w:rFonts w:ascii="Arial" w:hAnsi="Arial" w:cs="Arial"/>
              </w:rPr>
              <w:t xml:space="preserve"> дин.</w:t>
            </w:r>
          </w:p>
        </w:tc>
      </w:tr>
      <w:tr w:rsidR="00D2040D"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D2040D" w:rsidRPr="00D03014" w:rsidRDefault="00D2040D" w:rsidP="00D2040D">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80.000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8854B0" w:rsidRPr="008854B0" w:rsidRDefault="007951CB" w:rsidP="00370BA4">
            <w:pPr>
              <w:jc w:val="center"/>
              <w:rPr>
                <w:rFonts w:ascii="Arial" w:hAnsi="Arial" w:cs="Arial"/>
                <w:lang/>
              </w:rPr>
            </w:pPr>
            <w:r>
              <w:rPr>
                <w:rFonts w:ascii="Arial" w:hAnsi="Arial" w:cs="Arial"/>
                <w:lang/>
              </w:rPr>
              <w:t>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8854B0" w:rsidRDefault="007951CB" w:rsidP="00370BA4">
            <w:pPr>
              <w:jc w:val="center"/>
              <w:rPr>
                <w:rFonts w:ascii="Arial" w:hAnsi="Arial" w:cs="Arial"/>
                <w:lang/>
              </w:rPr>
            </w:pPr>
            <w:r w:rsidRPr="007951CB">
              <w:rPr>
                <w:rFonts w:ascii="Arial" w:hAnsi="Arial" w:cs="Arial"/>
                <w:lang/>
              </w:rPr>
              <w:t>3.000.000*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8854B0" w:rsidRDefault="008854B0" w:rsidP="00370BA4">
            <w:pPr>
              <w:jc w:val="center"/>
              <w:rPr>
                <w:rFonts w:ascii="Arial" w:hAnsi="Arial" w:cs="Arial"/>
                <w:lang/>
              </w:rPr>
            </w:pPr>
            <w:r>
              <w:rPr>
                <w:rFonts w:ascii="Arial" w:hAnsi="Arial" w:cs="Arial"/>
                <w:lang/>
              </w:rPr>
              <w:t>/</w:t>
            </w:r>
          </w:p>
        </w:tc>
      </w:tr>
      <w:tr w:rsidR="00370BA4" w:rsidRPr="009F2563"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 xml:space="preserve">Орган који спроводи </w:t>
            </w:r>
            <w:r w:rsidRPr="009F2563">
              <w:rPr>
                <w:rFonts w:ascii="Arial" w:hAnsi="Arial" w:cs="Arial"/>
                <w:sz w:val="20"/>
                <w:szCs w:val="20"/>
              </w:rPr>
              <w:lastRenderedPageBreak/>
              <w:t>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lastRenderedPageBreak/>
              <w:t xml:space="preserve">Oргани партнери у </w:t>
            </w:r>
            <w:r w:rsidRPr="009F2563">
              <w:rPr>
                <w:rFonts w:ascii="Arial" w:hAnsi="Arial" w:cs="Arial"/>
                <w:sz w:val="20"/>
                <w:szCs w:val="20"/>
              </w:rPr>
              <w:lastRenderedPageBreak/>
              <w:t>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 xml:space="preserve">Рок за завршетак </w:t>
            </w:r>
            <w:r w:rsidRPr="009F2563">
              <w:rPr>
                <w:rFonts w:ascii="Arial" w:hAnsi="Arial" w:cs="Arial"/>
                <w:sz w:val="20"/>
                <w:szCs w:val="20"/>
              </w:rPr>
              <w:lastRenderedPageBreak/>
              <w:t>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Извор финанси</w:t>
            </w:r>
            <w:r w:rsidRPr="009F2563">
              <w:rPr>
                <w:rFonts w:ascii="Arial" w:hAnsi="Arial" w:cs="Arial"/>
                <w:sz w:val="20"/>
                <w:szCs w:val="20"/>
              </w:rPr>
              <w:lastRenderedPageBreak/>
              <w:t>рања</w:t>
            </w:r>
            <w:r w:rsidRPr="009F2563">
              <w:rPr>
                <w:rFonts w:ascii="Arial" w:hAnsi="Arial" w:cs="Arial"/>
                <w:sz w:val="20"/>
                <w:szCs w:val="20"/>
                <w:vertAlign w:val="superscript"/>
              </w:rPr>
              <w:footnoteReference w:id="75"/>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lastRenderedPageBreak/>
              <w:t>Веза са програмск</w:t>
            </w:r>
            <w:r w:rsidRPr="009F2563">
              <w:rPr>
                <w:rFonts w:ascii="Arial" w:hAnsi="Arial" w:cs="Arial"/>
                <w:sz w:val="20"/>
                <w:szCs w:val="20"/>
              </w:rPr>
              <w:lastRenderedPageBreak/>
              <w:t>им буџетом</w:t>
            </w:r>
            <w:r w:rsidRPr="009F2563">
              <w:rPr>
                <w:rFonts w:ascii="Arial" w:hAnsi="Arial" w:cs="Arial"/>
                <w:sz w:val="20"/>
                <w:szCs w:val="20"/>
                <w:vertAlign w:val="superscript"/>
              </w:rPr>
              <w:footnoteReference w:id="76"/>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Укупна процењена финанси</w:t>
            </w:r>
            <w:r w:rsidR="00D2040D">
              <w:rPr>
                <w:rFonts w:ascii="Arial" w:hAnsi="Arial" w:cs="Arial"/>
                <w:sz w:val="20"/>
                <w:szCs w:val="20"/>
              </w:rPr>
              <w:t xml:space="preserve">јска средства по изворима у </w:t>
            </w:r>
            <w:r w:rsidRPr="009F2563">
              <w:rPr>
                <w:rFonts w:ascii="Arial" w:hAnsi="Arial" w:cs="Arial"/>
                <w:sz w:val="20"/>
                <w:szCs w:val="20"/>
              </w:rPr>
              <w:t>дин.</w:t>
            </w:r>
            <w:r w:rsidRPr="009F2563">
              <w:rPr>
                <w:rFonts w:ascii="Arial" w:hAnsi="Arial" w:cs="Arial"/>
                <w:sz w:val="20"/>
                <w:szCs w:val="20"/>
                <w:vertAlign w:val="superscript"/>
              </w:rPr>
              <w:footnoteReference w:id="77"/>
            </w:r>
          </w:p>
        </w:tc>
      </w:tr>
      <w:tr w:rsidR="00370BA4" w:rsidRPr="009F2563"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8854B0" w:rsidRPr="00D03014" w:rsidTr="008854B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8854B0" w:rsidRPr="00D03014" w:rsidRDefault="008854B0" w:rsidP="008854B0">
            <w:r>
              <w:lastRenderedPageBreak/>
              <w:t>3.1.1</w:t>
            </w:r>
            <w:r w:rsidRPr="00D03014">
              <w:t>.</w:t>
            </w:r>
          </w:p>
          <w:p w:rsidR="008854B0" w:rsidRPr="00D03014" w:rsidRDefault="008854B0" w:rsidP="008854B0">
            <w:r w:rsidRPr="00D03014">
              <w:t>Оснивање фестивала младих</w:t>
            </w:r>
          </w:p>
        </w:tc>
        <w:tc>
          <w:tcPr>
            <w:tcW w:w="1301" w:type="dxa"/>
            <w:gridSpan w:val="5"/>
          </w:tcPr>
          <w:p w:rsidR="008854B0" w:rsidRPr="00D03014" w:rsidRDefault="008854B0" w:rsidP="008854B0">
            <w:r w:rsidRPr="00D03014">
              <w:t>ГУ Сомбор</w:t>
            </w:r>
          </w:p>
        </w:tc>
        <w:tc>
          <w:tcPr>
            <w:tcW w:w="1487" w:type="dxa"/>
            <w:gridSpan w:val="3"/>
          </w:tcPr>
          <w:p w:rsidR="008854B0" w:rsidRPr="00D03014" w:rsidRDefault="008854B0" w:rsidP="008854B0">
            <w:r w:rsidRPr="00D03014">
              <w:t>Канцеларија за младе</w:t>
            </w:r>
          </w:p>
        </w:tc>
        <w:tc>
          <w:tcPr>
            <w:tcW w:w="1284" w:type="dxa"/>
            <w:gridSpan w:val="3"/>
            <w:vAlign w:val="center"/>
          </w:tcPr>
          <w:p w:rsidR="008854B0" w:rsidRPr="008854B0" w:rsidRDefault="008854B0" w:rsidP="008854B0">
            <w:pPr>
              <w:jc w:val="right"/>
              <w:rPr>
                <w:lang/>
              </w:rPr>
            </w:pPr>
            <w:r>
              <w:t>202</w:t>
            </w:r>
            <w:r>
              <w:rPr>
                <w:lang/>
              </w:rPr>
              <w:t>5</w:t>
            </w:r>
          </w:p>
        </w:tc>
        <w:tc>
          <w:tcPr>
            <w:tcW w:w="1039" w:type="dxa"/>
            <w:gridSpan w:val="4"/>
            <w:vAlign w:val="center"/>
          </w:tcPr>
          <w:p w:rsidR="008854B0" w:rsidRPr="00D03014" w:rsidRDefault="008854B0" w:rsidP="008854B0">
            <w:r w:rsidRPr="00E2453B">
              <w:t>ГУ Сомбор</w:t>
            </w:r>
          </w:p>
        </w:tc>
        <w:tc>
          <w:tcPr>
            <w:tcW w:w="1269" w:type="dxa"/>
            <w:gridSpan w:val="3"/>
            <w:vAlign w:val="center"/>
          </w:tcPr>
          <w:p w:rsidR="008854B0" w:rsidRPr="00D03014" w:rsidRDefault="008854B0" w:rsidP="008854B0"/>
        </w:tc>
        <w:tc>
          <w:tcPr>
            <w:tcW w:w="1145" w:type="dxa"/>
            <w:gridSpan w:val="3"/>
            <w:shd w:val="clear" w:color="auto" w:fill="auto"/>
            <w:vAlign w:val="center"/>
          </w:tcPr>
          <w:p w:rsidR="008854B0" w:rsidRPr="008854B0" w:rsidRDefault="008854B0" w:rsidP="008854B0">
            <w:pPr>
              <w:jc w:val="right"/>
              <w:rPr>
                <w:lang/>
              </w:rPr>
            </w:pPr>
            <w:r>
              <w:rPr>
                <w:lang/>
              </w:rPr>
              <w:t>0</w:t>
            </w:r>
          </w:p>
        </w:tc>
        <w:tc>
          <w:tcPr>
            <w:tcW w:w="1145" w:type="dxa"/>
            <w:gridSpan w:val="3"/>
            <w:shd w:val="clear" w:color="auto" w:fill="auto"/>
            <w:vAlign w:val="center"/>
          </w:tcPr>
          <w:p w:rsidR="008854B0" w:rsidRPr="008854B0" w:rsidRDefault="008854B0" w:rsidP="008854B0">
            <w:pPr>
              <w:jc w:val="right"/>
              <w:rPr>
                <w:lang/>
              </w:rPr>
            </w:pPr>
            <w:r>
              <w:rPr>
                <w:lang/>
              </w:rPr>
              <w:t>0</w:t>
            </w:r>
          </w:p>
        </w:tc>
        <w:tc>
          <w:tcPr>
            <w:tcW w:w="1146" w:type="dxa"/>
            <w:gridSpan w:val="2"/>
            <w:tcBorders>
              <w:right w:val="single" w:sz="4" w:space="0" w:color="auto"/>
            </w:tcBorders>
            <w:shd w:val="clear" w:color="auto" w:fill="auto"/>
            <w:vAlign w:val="center"/>
          </w:tcPr>
          <w:p w:rsidR="008854B0" w:rsidRPr="008854B0" w:rsidRDefault="008854B0" w:rsidP="008854B0">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8854B0" w:rsidRPr="008854B0" w:rsidRDefault="008854B0" w:rsidP="008854B0">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8854B0" w:rsidRPr="008854B0" w:rsidRDefault="008854B0" w:rsidP="008854B0">
            <w:pPr>
              <w:jc w:val="right"/>
            </w:pPr>
            <w:r w:rsidRPr="008854B0">
              <w:t>3.000.000*</w:t>
            </w:r>
          </w:p>
        </w:tc>
      </w:tr>
      <w:tr w:rsidR="007951CB" w:rsidRPr="00D03014" w:rsidTr="007951CB">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7951CB" w:rsidRPr="00C63232" w:rsidRDefault="007951CB" w:rsidP="007951CB">
            <w:r>
              <w:t>3.1.2</w:t>
            </w:r>
            <w:r w:rsidRPr="00C63232">
              <w:t>.</w:t>
            </w:r>
          </w:p>
          <w:p w:rsidR="007951CB" w:rsidRPr="00C63232" w:rsidRDefault="007951CB" w:rsidP="007951CB">
            <w:r w:rsidRPr="00C63232">
              <w:t>Покретање омладинских културних новина</w:t>
            </w:r>
          </w:p>
        </w:tc>
        <w:tc>
          <w:tcPr>
            <w:tcW w:w="1301" w:type="dxa"/>
            <w:gridSpan w:val="5"/>
            <w:vAlign w:val="center"/>
          </w:tcPr>
          <w:p w:rsidR="007951CB" w:rsidRPr="00C63232" w:rsidRDefault="007951CB" w:rsidP="007951CB">
            <w:pPr>
              <w:rPr>
                <w:color w:val="00B050"/>
              </w:rPr>
            </w:pPr>
            <w:r w:rsidRPr="00C63232">
              <w:t>ГУ Сомбор</w:t>
            </w:r>
          </w:p>
        </w:tc>
        <w:tc>
          <w:tcPr>
            <w:tcW w:w="1487" w:type="dxa"/>
            <w:gridSpan w:val="3"/>
            <w:vAlign w:val="center"/>
          </w:tcPr>
          <w:p w:rsidR="007951CB" w:rsidRPr="00C63232" w:rsidRDefault="007951CB" w:rsidP="007951CB">
            <w:r w:rsidRPr="00C63232">
              <w:t>Канцеларија за младе, Културни центар „Лаза Костић“</w:t>
            </w:r>
          </w:p>
        </w:tc>
        <w:tc>
          <w:tcPr>
            <w:tcW w:w="1284" w:type="dxa"/>
            <w:gridSpan w:val="3"/>
            <w:vAlign w:val="center"/>
          </w:tcPr>
          <w:p w:rsidR="007951CB" w:rsidRPr="00C63232" w:rsidRDefault="007951CB" w:rsidP="007951CB">
            <w:pPr>
              <w:jc w:val="right"/>
            </w:pPr>
            <w:r>
              <w:t>2023</w:t>
            </w:r>
          </w:p>
        </w:tc>
        <w:tc>
          <w:tcPr>
            <w:tcW w:w="1039" w:type="dxa"/>
            <w:gridSpan w:val="4"/>
            <w:vAlign w:val="center"/>
          </w:tcPr>
          <w:p w:rsidR="007951CB" w:rsidRPr="00D03014" w:rsidRDefault="007951CB" w:rsidP="007951CB">
            <w:r w:rsidRPr="00E2453B">
              <w:t>ГУ Сомбор</w:t>
            </w:r>
          </w:p>
        </w:tc>
        <w:tc>
          <w:tcPr>
            <w:tcW w:w="1269" w:type="dxa"/>
            <w:gridSpan w:val="3"/>
            <w:vAlign w:val="center"/>
          </w:tcPr>
          <w:p w:rsidR="007951CB" w:rsidRPr="00D03014" w:rsidRDefault="007951CB" w:rsidP="007951CB"/>
        </w:tc>
        <w:tc>
          <w:tcPr>
            <w:tcW w:w="1145" w:type="dxa"/>
            <w:gridSpan w:val="3"/>
            <w:shd w:val="clear" w:color="auto" w:fill="auto"/>
            <w:vAlign w:val="center"/>
          </w:tcPr>
          <w:p w:rsidR="007951CB" w:rsidRPr="008854B0" w:rsidRDefault="007951CB" w:rsidP="007951CB">
            <w:pPr>
              <w:jc w:val="right"/>
            </w:pPr>
            <w:r w:rsidRPr="00C22FAA">
              <w:t>0</w:t>
            </w:r>
          </w:p>
        </w:tc>
        <w:tc>
          <w:tcPr>
            <w:tcW w:w="1145" w:type="dxa"/>
            <w:gridSpan w:val="3"/>
            <w:shd w:val="clear" w:color="auto" w:fill="auto"/>
            <w:vAlign w:val="center"/>
          </w:tcPr>
          <w:p w:rsidR="007951CB" w:rsidRPr="008854B0" w:rsidRDefault="007951CB" w:rsidP="007951CB">
            <w:pPr>
              <w:jc w:val="right"/>
            </w:pPr>
            <w:r w:rsidRPr="00C22FAA">
              <w:t>0</w:t>
            </w:r>
          </w:p>
        </w:tc>
        <w:tc>
          <w:tcPr>
            <w:tcW w:w="1146" w:type="dxa"/>
            <w:gridSpan w:val="2"/>
            <w:tcBorders>
              <w:right w:val="single" w:sz="4" w:space="0" w:color="auto"/>
            </w:tcBorders>
            <w:shd w:val="clear" w:color="auto" w:fill="auto"/>
            <w:vAlign w:val="center"/>
          </w:tcPr>
          <w:p w:rsidR="007951CB" w:rsidRPr="008854B0" w:rsidRDefault="007951CB" w:rsidP="007951CB">
            <w:pPr>
              <w:jc w:val="right"/>
            </w:pPr>
            <w:r w:rsidRPr="00C22FAA">
              <w:t>0</w:t>
            </w:r>
          </w:p>
        </w:tc>
        <w:tc>
          <w:tcPr>
            <w:tcW w:w="1145" w:type="dxa"/>
            <w:gridSpan w:val="4"/>
            <w:tcBorders>
              <w:left w:val="single" w:sz="4" w:space="0" w:color="auto"/>
              <w:right w:val="single" w:sz="4" w:space="0" w:color="auto"/>
            </w:tcBorders>
            <w:shd w:val="clear" w:color="auto" w:fill="auto"/>
            <w:vAlign w:val="center"/>
          </w:tcPr>
          <w:p w:rsidR="007951CB" w:rsidRPr="008854B0" w:rsidRDefault="007951CB" w:rsidP="007951CB">
            <w:pPr>
              <w:jc w:val="right"/>
            </w:pPr>
            <w:r w:rsidRPr="00C22FAA">
              <w:t>0</w:t>
            </w:r>
          </w:p>
        </w:tc>
        <w:tc>
          <w:tcPr>
            <w:tcW w:w="1146" w:type="dxa"/>
            <w:tcBorders>
              <w:left w:val="single" w:sz="4" w:space="0" w:color="auto"/>
              <w:right w:val="double" w:sz="4" w:space="0" w:color="auto"/>
            </w:tcBorders>
            <w:shd w:val="clear" w:color="auto" w:fill="auto"/>
            <w:vAlign w:val="center"/>
          </w:tcPr>
          <w:p w:rsidR="007951CB" w:rsidRPr="008854B0" w:rsidRDefault="007951CB" w:rsidP="007951CB">
            <w:pPr>
              <w:jc w:val="right"/>
            </w:pPr>
            <w:r w:rsidRPr="00C22FAA">
              <w:t>0</w:t>
            </w:r>
          </w:p>
        </w:tc>
      </w:tr>
      <w:tr w:rsidR="007951CB" w:rsidRPr="00D03014" w:rsidTr="007951CB">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7951CB" w:rsidRPr="00D03014" w:rsidRDefault="007951CB" w:rsidP="007951CB">
            <w:r>
              <w:t>3.1.3</w:t>
            </w:r>
            <w:r w:rsidRPr="00D03014">
              <w:t>.</w:t>
            </w:r>
          </w:p>
          <w:p w:rsidR="007951CB" w:rsidRPr="00D03014" w:rsidRDefault="007951CB" w:rsidP="007951CB">
            <w:r w:rsidRPr="00D03014">
              <w:t xml:space="preserve">Укључивање младих креатора у процес организације и реализације културних догађаја </w:t>
            </w:r>
          </w:p>
        </w:tc>
        <w:tc>
          <w:tcPr>
            <w:tcW w:w="1301" w:type="dxa"/>
            <w:gridSpan w:val="5"/>
            <w:vAlign w:val="center"/>
          </w:tcPr>
          <w:p w:rsidR="007951CB" w:rsidRPr="00D03014" w:rsidRDefault="007951CB" w:rsidP="007951CB">
            <w:r w:rsidRPr="00D03014">
              <w:t>ГУ Сомбор</w:t>
            </w:r>
          </w:p>
        </w:tc>
        <w:tc>
          <w:tcPr>
            <w:tcW w:w="1487" w:type="dxa"/>
            <w:gridSpan w:val="3"/>
            <w:vAlign w:val="center"/>
          </w:tcPr>
          <w:p w:rsidR="007951CB" w:rsidRPr="00D03014" w:rsidRDefault="007951CB" w:rsidP="007951CB">
            <w:r w:rsidRPr="00D03014">
              <w:t>установе културе, установе образовања, ОЦД</w:t>
            </w:r>
          </w:p>
        </w:tc>
        <w:tc>
          <w:tcPr>
            <w:tcW w:w="1284" w:type="dxa"/>
            <w:gridSpan w:val="3"/>
            <w:vAlign w:val="center"/>
          </w:tcPr>
          <w:p w:rsidR="007951CB" w:rsidRPr="00D20B83" w:rsidRDefault="007951CB" w:rsidP="007951CB">
            <w:pPr>
              <w:jc w:val="right"/>
              <w:rPr>
                <w:lang/>
              </w:rPr>
            </w:pPr>
            <w:r>
              <w:rPr>
                <w:lang/>
              </w:rPr>
              <w:t xml:space="preserve">2022 - </w:t>
            </w:r>
          </w:p>
          <w:p w:rsidR="007951CB" w:rsidRPr="00D03014" w:rsidRDefault="007951CB" w:rsidP="007951CB">
            <w:pPr>
              <w:jc w:val="right"/>
            </w:pPr>
            <w:r w:rsidRPr="00D03014">
              <w:t>2025</w:t>
            </w:r>
          </w:p>
        </w:tc>
        <w:tc>
          <w:tcPr>
            <w:tcW w:w="1039" w:type="dxa"/>
            <w:gridSpan w:val="4"/>
            <w:vAlign w:val="center"/>
          </w:tcPr>
          <w:p w:rsidR="007951CB" w:rsidRPr="00D03014" w:rsidRDefault="007951CB" w:rsidP="007951CB">
            <w:r w:rsidRPr="00E2453B">
              <w:t>ГУ Сомбор</w:t>
            </w:r>
          </w:p>
        </w:tc>
        <w:tc>
          <w:tcPr>
            <w:tcW w:w="1269" w:type="dxa"/>
            <w:gridSpan w:val="3"/>
            <w:vAlign w:val="center"/>
          </w:tcPr>
          <w:p w:rsidR="007951CB" w:rsidRPr="00D03014" w:rsidRDefault="007951CB" w:rsidP="007951CB"/>
        </w:tc>
        <w:tc>
          <w:tcPr>
            <w:tcW w:w="1145" w:type="dxa"/>
            <w:gridSpan w:val="3"/>
            <w:shd w:val="clear" w:color="auto" w:fill="auto"/>
            <w:vAlign w:val="center"/>
          </w:tcPr>
          <w:p w:rsidR="007951CB" w:rsidRPr="008854B0" w:rsidRDefault="007951CB" w:rsidP="007951CB">
            <w:pPr>
              <w:jc w:val="right"/>
            </w:pPr>
            <w:r w:rsidRPr="00C22FAA">
              <w:t>0</w:t>
            </w:r>
          </w:p>
        </w:tc>
        <w:tc>
          <w:tcPr>
            <w:tcW w:w="1145" w:type="dxa"/>
            <w:gridSpan w:val="3"/>
            <w:shd w:val="clear" w:color="auto" w:fill="auto"/>
            <w:vAlign w:val="center"/>
          </w:tcPr>
          <w:p w:rsidR="007951CB" w:rsidRPr="008854B0" w:rsidRDefault="007951CB" w:rsidP="007951CB">
            <w:pPr>
              <w:jc w:val="right"/>
            </w:pPr>
            <w:r w:rsidRPr="00C22FAA">
              <w:t>0</w:t>
            </w:r>
          </w:p>
        </w:tc>
        <w:tc>
          <w:tcPr>
            <w:tcW w:w="1146" w:type="dxa"/>
            <w:gridSpan w:val="2"/>
            <w:tcBorders>
              <w:right w:val="single" w:sz="4" w:space="0" w:color="auto"/>
            </w:tcBorders>
            <w:shd w:val="clear" w:color="auto" w:fill="auto"/>
            <w:vAlign w:val="center"/>
          </w:tcPr>
          <w:p w:rsidR="007951CB" w:rsidRPr="008854B0" w:rsidRDefault="007951CB" w:rsidP="007951CB">
            <w:pPr>
              <w:jc w:val="right"/>
            </w:pPr>
            <w:r w:rsidRPr="00C22FAA">
              <w:t>0</w:t>
            </w:r>
          </w:p>
        </w:tc>
        <w:tc>
          <w:tcPr>
            <w:tcW w:w="1145" w:type="dxa"/>
            <w:gridSpan w:val="4"/>
            <w:tcBorders>
              <w:left w:val="single" w:sz="4" w:space="0" w:color="auto"/>
              <w:right w:val="single" w:sz="4" w:space="0" w:color="auto"/>
            </w:tcBorders>
            <w:shd w:val="clear" w:color="auto" w:fill="auto"/>
            <w:vAlign w:val="center"/>
          </w:tcPr>
          <w:p w:rsidR="007951CB" w:rsidRPr="008854B0" w:rsidRDefault="007951CB" w:rsidP="007951CB">
            <w:pPr>
              <w:jc w:val="right"/>
            </w:pPr>
            <w:r w:rsidRPr="00C22FAA">
              <w:t>0</w:t>
            </w:r>
          </w:p>
        </w:tc>
        <w:tc>
          <w:tcPr>
            <w:tcW w:w="1146" w:type="dxa"/>
            <w:tcBorders>
              <w:left w:val="single" w:sz="4" w:space="0" w:color="auto"/>
              <w:right w:val="double" w:sz="4" w:space="0" w:color="auto"/>
            </w:tcBorders>
            <w:shd w:val="clear" w:color="auto" w:fill="auto"/>
            <w:vAlign w:val="center"/>
          </w:tcPr>
          <w:p w:rsidR="007951CB" w:rsidRPr="008854B0" w:rsidRDefault="007951CB" w:rsidP="007951CB">
            <w:pPr>
              <w:jc w:val="right"/>
            </w:pPr>
            <w:r w:rsidRPr="00C22FAA">
              <w:t>0</w:t>
            </w:r>
          </w:p>
        </w:tc>
      </w:tr>
      <w:tr w:rsidR="008854B0" w:rsidRPr="00D03014" w:rsidTr="008854B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8854B0" w:rsidRPr="00D03014" w:rsidRDefault="008854B0" w:rsidP="008854B0">
            <w:r>
              <w:t>3.1.4</w:t>
            </w:r>
            <w:r w:rsidRPr="00D03014">
              <w:t xml:space="preserve">. </w:t>
            </w:r>
          </w:p>
          <w:p w:rsidR="008854B0" w:rsidRPr="00D03014" w:rsidRDefault="008854B0" w:rsidP="008854B0">
            <w:r w:rsidRPr="00D03014">
              <w:t>Увођење системског истраживања културних потреба и навика младих на трогодишњем нивоу (укључујући и младе на селу)</w:t>
            </w:r>
          </w:p>
        </w:tc>
        <w:tc>
          <w:tcPr>
            <w:tcW w:w="1301" w:type="dxa"/>
            <w:gridSpan w:val="5"/>
            <w:vAlign w:val="center"/>
          </w:tcPr>
          <w:p w:rsidR="008854B0" w:rsidRPr="00D03014" w:rsidRDefault="008854B0" w:rsidP="008854B0">
            <w:r w:rsidRPr="00D03014">
              <w:t>ГУ Сомбор</w:t>
            </w:r>
          </w:p>
        </w:tc>
        <w:tc>
          <w:tcPr>
            <w:tcW w:w="1487" w:type="dxa"/>
            <w:gridSpan w:val="3"/>
            <w:vAlign w:val="center"/>
          </w:tcPr>
          <w:p w:rsidR="008854B0" w:rsidRPr="00D03014" w:rsidRDefault="008854B0" w:rsidP="008854B0">
            <w:r w:rsidRPr="00D03014">
              <w:t>Канцеларија за младе, Културни центар „Лаза Костић“, ОЦД</w:t>
            </w:r>
          </w:p>
        </w:tc>
        <w:tc>
          <w:tcPr>
            <w:tcW w:w="1284" w:type="dxa"/>
            <w:gridSpan w:val="3"/>
            <w:vAlign w:val="center"/>
          </w:tcPr>
          <w:p w:rsidR="008854B0" w:rsidRPr="00D03014" w:rsidRDefault="008854B0" w:rsidP="008854B0">
            <w:pPr>
              <w:jc w:val="right"/>
            </w:pPr>
            <w:r w:rsidRPr="00D03014">
              <w:t>2023</w:t>
            </w:r>
          </w:p>
        </w:tc>
        <w:tc>
          <w:tcPr>
            <w:tcW w:w="1039" w:type="dxa"/>
            <w:gridSpan w:val="4"/>
            <w:vAlign w:val="center"/>
          </w:tcPr>
          <w:p w:rsidR="008854B0" w:rsidRPr="00E22DAD" w:rsidRDefault="008854B0" w:rsidP="008854B0">
            <w:pPr>
              <w:rPr>
                <w:strike/>
                <w:highlight w:val="yellow"/>
              </w:rPr>
            </w:pPr>
            <w:r w:rsidRPr="00E2453B">
              <w:t>ГУ Сомбор</w:t>
            </w:r>
          </w:p>
        </w:tc>
        <w:tc>
          <w:tcPr>
            <w:tcW w:w="1269" w:type="dxa"/>
            <w:gridSpan w:val="3"/>
            <w:vAlign w:val="center"/>
          </w:tcPr>
          <w:p w:rsidR="008854B0" w:rsidRPr="00E22DAD" w:rsidRDefault="008854B0" w:rsidP="008854B0">
            <w:pPr>
              <w:rPr>
                <w:strike/>
                <w:highlight w:val="yellow"/>
              </w:rPr>
            </w:pPr>
          </w:p>
        </w:tc>
        <w:tc>
          <w:tcPr>
            <w:tcW w:w="1145" w:type="dxa"/>
            <w:gridSpan w:val="3"/>
            <w:shd w:val="clear" w:color="auto" w:fill="auto"/>
            <w:vAlign w:val="center"/>
          </w:tcPr>
          <w:p w:rsidR="008854B0" w:rsidRPr="007951CB" w:rsidRDefault="007951CB" w:rsidP="008854B0">
            <w:pPr>
              <w:jc w:val="right"/>
              <w:rPr>
                <w:lang/>
              </w:rPr>
            </w:pPr>
            <w:r>
              <w:rPr>
                <w:lang/>
              </w:rPr>
              <w:t>0</w:t>
            </w:r>
          </w:p>
        </w:tc>
        <w:tc>
          <w:tcPr>
            <w:tcW w:w="1145" w:type="dxa"/>
            <w:gridSpan w:val="3"/>
            <w:shd w:val="clear" w:color="auto" w:fill="auto"/>
            <w:vAlign w:val="center"/>
          </w:tcPr>
          <w:p w:rsidR="008854B0" w:rsidRPr="007951CB" w:rsidRDefault="007951CB" w:rsidP="008854B0">
            <w:pPr>
              <w:jc w:val="right"/>
              <w:rPr>
                <w:lang/>
              </w:rPr>
            </w:pPr>
            <w:r>
              <w:rPr>
                <w:lang/>
              </w:rPr>
              <w:t>0</w:t>
            </w:r>
          </w:p>
        </w:tc>
        <w:tc>
          <w:tcPr>
            <w:tcW w:w="1146" w:type="dxa"/>
            <w:gridSpan w:val="2"/>
            <w:tcBorders>
              <w:right w:val="single" w:sz="4" w:space="0" w:color="auto"/>
            </w:tcBorders>
            <w:shd w:val="clear" w:color="auto" w:fill="auto"/>
            <w:vAlign w:val="center"/>
          </w:tcPr>
          <w:p w:rsidR="008854B0" w:rsidRPr="007951CB" w:rsidRDefault="007951CB" w:rsidP="008854B0">
            <w:pPr>
              <w:jc w:val="right"/>
              <w:rPr>
                <w:lang/>
              </w:rPr>
            </w:pPr>
            <w:r>
              <w:rPr>
                <w:lang/>
              </w:rPr>
              <w:t>80.000</w:t>
            </w:r>
          </w:p>
        </w:tc>
        <w:tc>
          <w:tcPr>
            <w:tcW w:w="1145" w:type="dxa"/>
            <w:gridSpan w:val="4"/>
            <w:tcBorders>
              <w:left w:val="single" w:sz="4" w:space="0" w:color="auto"/>
              <w:right w:val="single" w:sz="4" w:space="0" w:color="auto"/>
            </w:tcBorders>
            <w:shd w:val="clear" w:color="auto" w:fill="auto"/>
            <w:vAlign w:val="center"/>
          </w:tcPr>
          <w:p w:rsidR="008854B0" w:rsidRPr="007951CB" w:rsidRDefault="007951CB" w:rsidP="008854B0">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8854B0" w:rsidRPr="007951CB" w:rsidRDefault="007951CB" w:rsidP="008854B0">
            <w:pPr>
              <w:jc w:val="right"/>
              <w:rPr>
                <w:lang/>
              </w:rPr>
            </w:pPr>
            <w:r>
              <w:rPr>
                <w:lang/>
              </w:rPr>
              <w:t>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b/>
                <w:sz w:val="24"/>
                <w:szCs w:val="24"/>
              </w:rPr>
              <w:t>Мера 3.2: Развој омладинске публике</w:t>
            </w:r>
          </w:p>
        </w:tc>
      </w:tr>
      <w:tr w:rsidR="00370BA4" w:rsidRPr="00367057"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eastAsia="Times New Roman" w:hAnsi="Arial" w:cs="Arial"/>
                <w:color w:val="222222"/>
                <w:lang/>
              </w:rPr>
            </w:pPr>
            <w:r w:rsidRPr="00D03014">
              <w:rPr>
                <w:rFonts w:ascii="Arial" w:eastAsia="Times New Roman" w:hAnsi="Arial" w:cs="Arial"/>
                <w:color w:val="222222"/>
              </w:rPr>
              <w:lastRenderedPageBreak/>
              <w:t>Институција одговорна за праћење и контролу реализације:</w:t>
            </w:r>
            <w:r>
              <w:t xml:space="preserve"> </w:t>
            </w:r>
            <w:r w:rsidRPr="009615FA">
              <w:rPr>
                <w:rFonts w:ascii="Arial" w:eastAsia="Times New Roman" w:hAnsi="Arial" w:cs="Arial"/>
                <w:color w:val="222222"/>
              </w:rPr>
              <w:t>Градска управа Сомбор</w:t>
            </w:r>
            <w:r>
              <w:rPr>
                <w:rFonts w:ascii="Arial" w:eastAsia="Times New Roman" w:hAnsi="Arial" w:cs="Arial"/>
                <w:color w:val="222222"/>
                <w:lang/>
              </w:rPr>
              <w:t>, Народно позориште Сомбор</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2021-2024</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rPr>
              <w:t>Тип мере:</w:t>
            </w:r>
            <w:r w:rsidR="007951CB">
              <w:t xml:space="preserve"> </w:t>
            </w:r>
            <w:r w:rsidR="007951CB" w:rsidRPr="007951CB">
              <w:rPr>
                <w:rFonts w:ascii="Arial" w:hAnsi="Arial" w:cs="Arial"/>
              </w:rPr>
              <w:t>информативно-едукативна</w:t>
            </w:r>
          </w:p>
        </w:tc>
      </w:tr>
      <w:tr w:rsidR="00EF6F4E"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D9D9D9" w:themeFill="background1" w:themeFillShade="D9"/>
            <w:vAlign w:val="center"/>
          </w:tcPr>
          <w:p w:rsidR="00EF6F4E" w:rsidRPr="00D03014" w:rsidRDefault="00EF6F4E" w:rsidP="00EF6F4E">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Јединица мере</w:t>
            </w:r>
          </w:p>
          <w:p w:rsidR="00EF6F4E" w:rsidRPr="00D03014" w:rsidRDefault="00EF6F4E" w:rsidP="00EF6F4E">
            <w:pPr>
              <w:jc w:val="center"/>
              <w:rPr>
                <w:rFonts w:ascii="Arial" w:hAnsi="Arial" w:cs="Arial"/>
              </w:rPr>
            </w:pPr>
          </w:p>
        </w:tc>
        <w:tc>
          <w:tcPr>
            <w:tcW w:w="1460" w:type="dxa"/>
            <w:gridSpan w:val="4"/>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sing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rsidR="00EF6F4E" w:rsidRPr="00D03014" w:rsidRDefault="00EF6F4E" w:rsidP="00EF6F4E">
            <w:pPr>
              <w:jc w:val="center"/>
              <w:rPr>
                <w:rFonts w:ascii="Arial" w:hAnsi="Arial" w:cs="Arial"/>
              </w:rPr>
            </w:pPr>
            <w:r w:rsidRPr="00D03014">
              <w:rPr>
                <w:rFonts w:ascii="Arial" w:hAnsi="Arial" w:cs="Arial"/>
              </w:rPr>
              <w:t>Циљана вредност у последњој години АП</w:t>
            </w:r>
          </w:p>
        </w:tc>
      </w:tr>
      <w:tr w:rsidR="00370BA4" w:rsidRPr="009F2563"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A71FFA" w:rsidRDefault="00370BA4" w:rsidP="00370BA4">
            <w:pPr>
              <w:shd w:val="clear" w:color="auto" w:fill="FFFFFF" w:themeFill="background1"/>
              <w:rPr>
                <w:rFonts w:ascii="Arial" w:hAnsi="Arial" w:cs="Arial"/>
                <w:lang/>
              </w:rPr>
            </w:pPr>
            <w:r>
              <w:rPr>
                <w:rFonts w:ascii="Arial" w:hAnsi="Arial" w:cs="Arial"/>
                <w:lang/>
              </w:rPr>
              <w:t xml:space="preserve">Основано Координационо тело </w:t>
            </w:r>
            <w:r w:rsidRPr="00A71FFA">
              <w:rPr>
                <w:rFonts w:ascii="Arial" w:hAnsi="Arial" w:cs="Arial"/>
                <w:lang/>
              </w:rPr>
              <w:t>за сарадњу установа образовања и културе</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sidRPr="0021557D">
              <w:rPr>
                <w:rFonts w:ascii="Arial" w:hAnsi="Arial" w:cs="Arial"/>
                <w:sz w:val="20"/>
                <w:szCs w:val="20"/>
                <w:lang/>
              </w:rPr>
              <w:t>0-не</w:t>
            </w:r>
          </w:p>
          <w:p w:rsidR="00370BA4" w:rsidRPr="00D03014" w:rsidRDefault="00370BA4" w:rsidP="00370BA4">
            <w:pPr>
              <w:shd w:val="clear" w:color="auto" w:fill="FFFFFF" w:themeFill="background1"/>
              <w:rPr>
                <w:rFonts w:ascii="Arial" w:hAnsi="Arial" w:cs="Arial"/>
              </w:rPr>
            </w:pPr>
            <w:r w:rsidRPr="0021557D">
              <w:rPr>
                <w:rFonts w:ascii="Arial" w:hAnsi="Arial" w:cs="Arial"/>
                <w:sz w:val="20"/>
                <w:szCs w:val="20"/>
                <w:lang/>
              </w:rPr>
              <w:t>1-да</w:t>
            </w:r>
          </w:p>
        </w:tc>
        <w:tc>
          <w:tcPr>
            <w:tcW w:w="1460"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Извештај ГУ Сомбор</w:t>
            </w:r>
          </w:p>
        </w:tc>
        <w:tc>
          <w:tcPr>
            <w:tcW w:w="1459"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21557D">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2"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sz w:val="20"/>
                <w:szCs w:val="20"/>
                <w:lang/>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 xml:space="preserve">Број одржаних </w:t>
            </w:r>
            <w:r w:rsidRPr="00A71FFA">
              <w:rPr>
                <w:rFonts w:ascii="Arial" w:hAnsi="Arial" w:cs="Arial"/>
                <w:lang/>
              </w:rPr>
              <w:t>матине представа и филмских пројекција за ученике школа</w:t>
            </w:r>
            <w:r>
              <w:rPr>
                <w:rFonts w:ascii="Arial" w:hAnsi="Arial" w:cs="Arial"/>
                <w:lang/>
              </w:rPr>
              <w:t>, на годишњем нивоу</w:t>
            </w:r>
          </w:p>
        </w:tc>
        <w:tc>
          <w:tcPr>
            <w:tcW w:w="1463" w:type="dxa"/>
            <w:gridSpan w:val="5"/>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contextualSpacing/>
              <w:rPr>
                <w:rFonts w:ascii="Arial" w:hAnsi="Arial" w:cs="Arial"/>
                <w:sz w:val="20"/>
                <w:szCs w:val="20"/>
                <w:lang/>
              </w:rPr>
            </w:pPr>
            <w:r>
              <w:rPr>
                <w:rFonts w:ascii="Arial" w:hAnsi="Arial" w:cs="Arial"/>
                <w:sz w:val="20"/>
                <w:szCs w:val="20"/>
                <w:lang/>
              </w:rPr>
              <w:t>број</w:t>
            </w:r>
          </w:p>
        </w:tc>
        <w:tc>
          <w:tcPr>
            <w:tcW w:w="1460"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 xml:space="preserve">Извештаји Народног позоришта Сомбор, Културног центра и ОЦД </w:t>
            </w:r>
          </w:p>
        </w:tc>
        <w:tc>
          <w:tcPr>
            <w:tcW w:w="1459"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458"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2019</w:t>
            </w:r>
          </w:p>
        </w:tc>
        <w:tc>
          <w:tcPr>
            <w:tcW w:w="1222"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2"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0</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sz w:val="20"/>
                <w:szCs w:val="20"/>
                <w:lang/>
              </w:rPr>
              <w:t>15</w:t>
            </w:r>
          </w:p>
        </w:tc>
      </w:tr>
      <w:tr w:rsidR="00370BA4" w:rsidRPr="00D03014" w:rsidTr="001858E0">
        <w:trPr>
          <w:trHeight w:val="398"/>
        </w:trPr>
        <w:tc>
          <w:tcPr>
            <w:tcW w:w="2531" w:type="dxa"/>
            <w:gridSpan w:val="5"/>
            <w:vMerge w:val="restart"/>
            <w:tcBorders>
              <w:top w:val="single" w:sz="4" w:space="0" w:color="auto"/>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78"/>
            </w:r>
          </w:p>
        </w:tc>
        <w:tc>
          <w:tcPr>
            <w:tcW w:w="2145" w:type="dxa"/>
            <w:gridSpan w:val="5"/>
            <w:vMerge w:val="restart"/>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79"/>
            </w:r>
          </w:p>
        </w:tc>
        <w:tc>
          <w:tcPr>
            <w:tcW w:w="9156" w:type="dxa"/>
            <w:gridSpan w:val="22"/>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EF6F4E">
            <w:pPr>
              <w:jc w:val="center"/>
              <w:rPr>
                <w:rFonts w:ascii="Arial" w:hAnsi="Arial" w:cs="Arial"/>
              </w:rPr>
            </w:pPr>
            <w:r w:rsidRPr="00D03014">
              <w:rPr>
                <w:rFonts w:ascii="Arial" w:hAnsi="Arial" w:cs="Arial"/>
              </w:rPr>
              <w:t xml:space="preserve"> Укупна процењена финансијска средства у дин.</w:t>
            </w:r>
          </w:p>
        </w:tc>
      </w:tr>
      <w:tr w:rsidR="00370BA4" w:rsidRPr="00D03014" w:rsidTr="001858E0">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370BA4" w:rsidRPr="00D03014" w:rsidRDefault="00370BA4" w:rsidP="007951CB">
            <w:pPr>
              <w:jc w:val="center"/>
              <w:rPr>
                <w:rFonts w:ascii="Arial" w:hAnsi="Arial" w:cs="Arial"/>
              </w:rPr>
            </w:pPr>
            <w:r w:rsidRPr="00D03014">
              <w:rPr>
                <w:rFonts w:ascii="Arial" w:hAnsi="Arial" w:cs="Arial"/>
              </w:rPr>
              <w:t>У години т</w:t>
            </w:r>
          </w:p>
        </w:tc>
        <w:tc>
          <w:tcPr>
            <w:tcW w:w="1829"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У</w:t>
            </w:r>
            <w:r w:rsidR="007951CB">
              <w:rPr>
                <w:rFonts w:ascii="Arial" w:hAnsi="Arial" w:cs="Arial"/>
              </w:rPr>
              <w:t xml:space="preserve">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370BA4" w:rsidRPr="00D03014" w:rsidRDefault="007951CB" w:rsidP="00370BA4">
            <w:pPr>
              <w:jc w:val="center"/>
              <w:rPr>
                <w:rFonts w:ascii="Arial" w:hAnsi="Arial" w:cs="Arial"/>
              </w:rPr>
            </w:pPr>
            <w:r>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370BA4" w:rsidRPr="00D03014" w:rsidRDefault="007951CB" w:rsidP="00370BA4">
            <w:pPr>
              <w:jc w:val="center"/>
              <w:rPr>
                <w:rFonts w:ascii="Arial" w:hAnsi="Arial" w:cs="Arial"/>
              </w:rPr>
            </w:pPr>
            <w:r>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370BA4" w:rsidRPr="00D03014" w:rsidRDefault="007951CB" w:rsidP="00370BA4">
            <w:pPr>
              <w:jc w:val="center"/>
              <w:rPr>
                <w:rFonts w:ascii="Arial" w:hAnsi="Arial" w:cs="Arial"/>
              </w:rPr>
            </w:pPr>
            <w:r>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750.000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500.000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500.000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500.000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r>
      <w:tr w:rsidR="00370BA4" w:rsidRPr="009F2563"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 xml:space="preserve">Орган који спроводи </w:t>
            </w:r>
            <w:r w:rsidRPr="009F2563">
              <w:rPr>
                <w:rFonts w:ascii="Arial" w:hAnsi="Arial" w:cs="Arial"/>
                <w:sz w:val="20"/>
                <w:szCs w:val="20"/>
              </w:rPr>
              <w:lastRenderedPageBreak/>
              <w:t>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lastRenderedPageBreak/>
              <w:t xml:space="preserve">Oргани партнери у </w:t>
            </w:r>
            <w:r w:rsidRPr="009F2563">
              <w:rPr>
                <w:rFonts w:ascii="Arial" w:hAnsi="Arial" w:cs="Arial"/>
                <w:sz w:val="20"/>
                <w:szCs w:val="20"/>
              </w:rPr>
              <w:lastRenderedPageBreak/>
              <w:t>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 xml:space="preserve">Рок за завршетак </w:t>
            </w:r>
            <w:r w:rsidRPr="009F2563">
              <w:rPr>
                <w:rFonts w:ascii="Arial" w:hAnsi="Arial" w:cs="Arial"/>
                <w:sz w:val="20"/>
                <w:szCs w:val="20"/>
              </w:rPr>
              <w:lastRenderedPageBreak/>
              <w:t>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lastRenderedPageBreak/>
              <w:t>Извор финанси</w:t>
            </w:r>
            <w:r w:rsidRPr="009F2563">
              <w:rPr>
                <w:rFonts w:ascii="Arial" w:hAnsi="Arial" w:cs="Arial"/>
                <w:sz w:val="20"/>
                <w:szCs w:val="20"/>
              </w:rPr>
              <w:lastRenderedPageBreak/>
              <w:t>рања</w:t>
            </w:r>
            <w:r w:rsidRPr="009F2563">
              <w:rPr>
                <w:rFonts w:ascii="Arial" w:hAnsi="Arial" w:cs="Arial"/>
                <w:sz w:val="20"/>
                <w:szCs w:val="20"/>
                <w:vertAlign w:val="superscript"/>
              </w:rPr>
              <w:footnoteReference w:id="80"/>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lastRenderedPageBreak/>
              <w:t>Веза са програмск</w:t>
            </w:r>
            <w:r w:rsidRPr="009F2563">
              <w:rPr>
                <w:rFonts w:ascii="Arial" w:hAnsi="Arial" w:cs="Arial"/>
                <w:sz w:val="20"/>
                <w:szCs w:val="20"/>
              </w:rPr>
              <w:lastRenderedPageBreak/>
              <w:t>им буџетом</w:t>
            </w:r>
            <w:r w:rsidRPr="009F2563">
              <w:rPr>
                <w:rFonts w:ascii="Arial" w:hAnsi="Arial" w:cs="Arial"/>
                <w:sz w:val="20"/>
                <w:szCs w:val="20"/>
                <w:vertAlign w:val="superscript"/>
              </w:rPr>
              <w:footnoteReference w:id="81"/>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EF6F4E">
            <w:pPr>
              <w:jc w:val="center"/>
              <w:rPr>
                <w:rFonts w:ascii="Arial" w:hAnsi="Arial" w:cs="Arial"/>
                <w:sz w:val="20"/>
                <w:szCs w:val="20"/>
              </w:rPr>
            </w:pPr>
            <w:r w:rsidRPr="009F2563">
              <w:rPr>
                <w:rFonts w:ascii="Arial" w:hAnsi="Arial" w:cs="Arial"/>
                <w:sz w:val="20"/>
                <w:szCs w:val="20"/>
              </w:rPr>
              <w:lastRenderedPageBreak/>
              <w:t>Укупна процењена финансијска средства по изворима у  дин.</w:t>
            </w:r>
            <w:r w:rsidRPr="009F2563">
              <w:rPr>
                <w:rFonts w:ascii="Arial" w:hAnsi="Arial" w:cs="Arial"/>
                <w:sz w:val="20"/>
                <w:szCs w:val="20"/>
                <w:vertAlign w:val="superscript"/>
              </w:rPr>
              <w:footnoteReference w:id="82"/>
            </w:r>
          </w:p>
        </w:tc>
      </w:tr>
      <w:tr w:rsidR="00370BA4" w:rsidRPr="009F2563"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7951CB"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7951CB" w:rsidRPr="00D03014" w:rsidRDefault="007951CB" w:rsidP="007951CB">
            <w:r w:rsidRPr="00D03014">
              <w:lastRenderedPageBreak/>
              <w:t>3.2.1.</w:t>
            </w:r>
          </w:p>
          <w:p w:rsidR="007951CB" w:rsidRPr="00D03014" w:rsidRDefault="007951CB" w:rsidP="007951CB">
            <w:r w:rsidRPr="00D03014">
              <w:t>Оснивање Координационог тела за сарадњу установа образовања и културе</w:t>
            </w:r>
          </w:p>
        </w:tc>
        <w:tc>
          <w:tcPr>
            <w:tcW w:w="1301" w:type="dxa"/>
            <w:gridSpan w:val="5"/>
            <w:vAlign w:val="center"/>
          </w:tcPr>
          <w:p w:rsidR="007951CB" w:rsidRPr="00D03014" w:rsidRDefault="007951CB" w:rsidP="007951CB">
            <w:pPr>
              <w:rPr>
                <w:color w:val="00B050"/>
              </w:rPr>
            </w:pPr>
            <w:r w:rsidRPr="00D03014">
              <w:t>ГУ Сомбор</w:t>
            </w:r>
          </w:p>
        </w:tc>
        <w:tc>
          <w:tcPr>
            <w:tcW w:w="1487" w:type="dxa"/>
            <w:gridSpan w:val="3"/>
            <w:vAlign w:val="center"/>
          </w:tcPr>
          <w:p w:rsidR="007951CB" w:rsidRPr="00D03014" w:rsidRDefault="007951CB" w:rsidP="007951CB">
            <w:r w:rsidRPr="00D03014">
              <w:t>установе образовања</w:t>
            </w:r>
          </w:p>
          <w:p w:rsidR="007951CB" w:rsidRPr="00D03014" w:rsidRDefault="007951CB" w:rsidP="007951CB">
            <w:r w:rsidRPr="00D03014">
              <w:t>установе културе, ОЦД</w:t>
            </w:r>
          </w:p>
        </w:tc>
        <w:tc>
          <w:tcPr>
            <w:tcW w:w="1284" w:type="dxa"/>
            <w:gridSpan w:val="3"/>
            <w:vAlign w:val="center"/>
          </w:tcPr>
          <w:p w:rsidR="007951CB" w:rsidRPr="00D03014" w:rsidRDefault="007951CB" w:rsidP="007951CB">
            <w:pPr>
              <w:jc w:val="right"/>
            </w:pPr>
            <w:r>
              <w:t>2021</w:t>
            </w:r>
          </w:p>
        </w:tc>
        <w:tc>
          <w:tcPr>
            <w:tcW w:w="1039" w:type="dxa"/>
            <w:gridSpan w:val="4"/>
            <w:vAlign w:val="center"/>
          </w:tcPr>
          <w:p w:rsidR="007951CB" w:rsidRPr="00D03014" w:rsidRDefault="007951CB" w:rsidP="007951CB">
            <w:r w:rsidRPr="00E2453B">
              <w:t>ГУ Сомбор</w:t>
            </w:r>
          </w:p>
        </w:tc>
        <w:tc>
          <w:tcPr>
            <w:tcW w:w="1269" w:type="dxa"/>
            <w:gridSpan w:val="3"/>
            <w:vAlign w:val="center"/>
          </w:tcPr>
          <w:p w:rsidR="007951CB" w:rsidRPr="00D03014" w:rsidRDefault="007951CB" w:rsidP="007951CB"/>
        </w:tc>
        <w:tc>
          <w:tcPr>
            <w:tcW w:w="1145" w:type="dxa"/>
            <w:gridSpan w:val="3"/>
            <w:shd w:val="clear" w:color="auto" w:fill="auto"/>
            <w:vAlign w:val="center"/>
          </w:tcPr>
          <w:p w:rsidR="007951CB" w:rsidRPr="007951CB" w:rsidRDefault="007951CB" w:rsidP="007951CB">
            <w:pPr>
              <w:jc w:val="right"/>
            </w:pPr>
            <w:r w:rsidRPr="007951CB">
              <w:t>0</w:t>
            </w:r>
          </w:p>
        </w:tc>
        <w:tc>
          <w:tcPr>
            <w:tcW w:w="1145" w:type="dxa"/>
            <w:gridSpan w:val="3"/>
            <w:shd w:val="clear" w:color="auto" w:fill="auto"/>
            <w:vAlign w:val="center"/>
          </w:tcPr>
          <w:p w:rsidR="007951CB" w:rsidRPr="007951CB" w:rsidRDefault="007951CB" w:rsidP="007951CB">
            <w:pPr>
              <w:jc w:val="right"/>
            </w:pPr>
            <w:r w:rsidRPr="007951CB">
              <w:t>0</w:t>
            </w:r>
          </w:p>
        </w:tc>
        <w:tc>
          <w:tcPr>
            <w:tcW w:w="1146" w:type="dxa"/>
            <w:gridSpan w:val="2"/>
            <w:tcBorders>
              <w:right w:val="single" w:sz="4" w:space="0" w:color="auto"/>
            </w:tcBorders>
            <w:shd w:val="clear" w:color="auto" w:fill="auto"/>
            <w:vAlign w:val="center"/>
          </w:tcPr>
          <w:p w:rsidR="007951CB" w:rsidRPr="007951CB" w:rsidRDefault="007951CB" w:rsidP="007951CB">
            <w:pPr>
              <w:jc w:val="right"/>
            </w:pPr>
            <w:r w:rsidRPr="007951CB">
              <w:t>0</w:t>
            </w:r>
          </w:p>
        </w:tc>
        <w:tc>
          <w:tcPr>
            <w:tcW w:w="1145" w:type="dxa"/>
            <w:gridSpan w:val="4"/>
            <w:tcBorders>
              <w:left w:val="single" w:sz="4" w:space="0" w:color="auto"/>
              <w:right w:val="single" w:sz="4" w:space="0" w:color="auto"/>
            </w:tcBorders>
            <w:shd w:val="clear" w:color="auto" w:fill="auto"/>
            <w:vAlign w:val="center"/>
          </w:tcPr>
          <w:p w:rsidR="007951CB" w:rsidRPr="007951CB" w:rsidRDefault="007951CB" w:rsidP="007951CB">
            <w:pPr>
              <w:jc w:val="right"/>
            </w:pPr>
            <w:r w:rsidRPr="007951CB">
              <w:t>0</w:t>
            </w:r>
          </w:p>
        </w:tc>
        <w:tc>
          <w:tcPr>
            <w:tcW w:w="1146" w:type="dxa"/>
            <w:tcBorders>
              <w:left w:val="single" w:sz="4" w:space="0" w:color="auto"/>
              <w:right w:val="double" w:sz="4" w:space="0" w:color="auto"/>
            </w:tcBorders>
            <w:shd w:val="clear" w:color="auto" w:fill="auto"/>
            <w:vAlign w:val="center"/>
          </w:tcPr>
          <w:p w:rsidR="007951CB" w:rsidRPr="007951CB" w:rsidRDefault="007951CB" w:rsidP="007951CB">
            <w:pPr>
              <w:jc w:val="right"/>
            </w:pPr>
            <w:r w:rsidRPr="007951CB">
              <w:t>0</w:t>
            </w:r>
          </w:p>
        </w:tc>
      </w:tr>
      <w:tr w:rsidR="007951CB"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vAlign w:val="center"/>
          </w:tcPr>
          <w:p w:rsidR="007951CB" w:rsidRPr="00D03014" w:rsidRDefault="007951CB" w:rsidP="007951CB">
            <w:r w:rsidRPr="00D03014">
              <w:t xml:space="preserve">3.2.2. </w:t>
            </w:r>
          </w:p>
          <w:p w:rsidR="007951CB" w:rsidRPr="00D03014" w:rsidRDefault="007951CB" w:rsidP="007951CB">
            <w:r w:rsidRPr="00D03014">
              <w:t>Увођење културног пасоша за омладинску публику</w:t>
            </w:r>
          </w:p>
        </w:tc>
        <w:tc>
          <w:tcPr>
            <w:tcW w:w="1301" w:type="dxa"/>
            <w:gridSpan w:val="5"/>
            <w:vAlign w:val="center"/>
          </w:tcPr>
          <w:p w:rsidR="007951CB" w:rsidRPr="00D03014" w:rsidRDefault="007951CB" w:rsidP="007951CB">
            <w:r w:rsidRPr="00D03014">
              <w:t>ГУ Сомбор</w:t>
            </w:r>
          </w:p>
        </w:tc>
        <w:tc>
          <w:tcPr>
            <w:tcW w:w="1487" w:type="dxa"/>
            <w:gridSpan w:val="3"/>
            <w:vAlign w:val="center"/>
          </w:tcPr>
          <w:p w:rsidR="007951CB" w:rsidRPr="00D03014" w:rsidRDefault="007951CB" w:rsidP="007951CB"/>
        </w:tc>
        <w:tc>
          <w:tcPr>
            <w:tcW w:w="1284" w:type="dxa"/>
            <w:gridSpan w:val="3"/>
            <w:vAlign w:val="center"/>
          </w:tcPr>
          <w:p w:rsidR="007951CB" w:rsidRPr="00D03014" w:rsidRDefault="007951CB" w:rsidP="007951CB">
            <w:pPr>
              <w:jc w:val="right"/>
            </w:pPr>
            <w:r>
              <w:t>2022</w:t>
            </w:r>
          </w:p>
        </w:tc>
        <w:tc>
          <w:tcPr>
            <w:tcW w:w="1039" w:type="dxa"/>
            <w:gridSpan w:val="4"/>
            <w:vAlign w:val="center"/>
          </w:tcPr>
          <w:p w:rsidR="007951CB" w:rsidRPr="00D03014" w:rsidRDefault="007951CB" w:rsidP="007951CB">
            <w:r w:rsidRPr="00E2453B">
              <w:t>ГУ Сомбор</w:t>
            </w:r>
          </w:p>
        </w:tc>
        <w:tc>
          <w:tcPr>
            <w:tcW w:w="1269" w:type="dxa"/>
            <w:gridSpan w:val="3"/>
            <w:vAlign w:val="center"/>
          </w:tcPr>
          <w:p w:rsidR="007951CB" w:rsidRPr="00D03014" w:rsidRDefault="007951CB" w:rsidP="007951CB"/>
        </w:tc>
        <w:tc>
          <w:tcPr>
            <w:tcW w:w="1145" w:type="dxa"/>
            <w:gridSpan w:val="3"/>
            <w:shd w:val="clear" w:color="auto" w:fill="auto"/>
            <w:vAlign w:val="center"/>
          </w:tcPr>
          <w:p w:rsidR="007951CB" w:rsidRPr="007951CB" w:rsidRDefault="007951CB" w:rsidP="007951CB">
            <w:pPr>
              <w:jc w:val="right"/>
              <w:rPr>
                <w:lang/>
              </w:rPr>
            </w:pPr>
            <w:r>
              <w:rPr>
                <w:lang/>
              </w:rPr>
              <w:t>0</w:t>
            </w:r>
          </w:p>
        </w:tc>
        <w:tc>
          <w:tcPr>
            <w:tcW w:w="1145" w:type="dxa"/>
            <w:gridSpan w:val="3"/>
            <w:shd w:val="clear" w:color="auto" w:fill="auto"/>
            <w:vAlign w:val="center"/>
          </w:tcPr>
          <w:p w:rsidR="007951CB" w:rsidRPr="007951CB" w:rsidRDefault="007951CB" w:rsidP="007951CB">
            <w:pPr>
              <w:jc w:val="right"/>
              <w:rPr>
                <w:lang/>
              </w:rPr>
            </w:pPr>
            <w:r>
              <w:rPr>
                <w:lang/>
              </w:rPr>
              <w:t>750.000</w:t>
            </w:r>
          </w:p>
        </w:tc>
        <w:tc>
          <w:tcPr>
            <w:tcW w:w="1146" w:type="dxa"/>
            <w:gridSpan w:val="2"/>
            <w:tcBorders>
              <w:right w:val="single" w:sz="4" w:space="0" w:color="auto"/>
            </w:tcBorders>
            <w:shd w:val="clear" w:color="auto" w:fill="auto"/>
            <w:vAlign w:val="center"/>
          </w:tcPr>
          <w:p w:rsidR="007951CB" w:rsidRPr="007951CB" w:rsidRDefault="007951CB" w:rsidP="007951CB">
            <w:pPr>
              <w:jc w:val="right"/>
              <w:rPr>
                <w:lang/>
              </w:rPr>
            </w:pPr>
            <w:r>
              <w:rPr>
                <w:lang/>
              </w:rPr>
              <w:t>500.000</w:t>
            </w:r>
          </w:p>
        </w:tc>
        <w:tc>
          <w:tcPr>
            <w:tcW w:w="1145" w:type="dxa"/>
            <w:gridSpan w:val="4"/>
            <w:tcBorders>
              <w:left w:val="single" w:sz="4" w:space="0" w:color="auto"/>
              <w:right w:val="single" w:sz="4" w:space="0" w:color="auto"/>
            </w:tcBorders>
            <w:shd w:val="clear" w:color="auto" w:fill="auto"/>
            <w:vAlign w:val="center"/>
          </w:tcPr>
          <w:p w:rsidR="007951CB" w:rsidRPr="007951CB" w:rsidRDefault="007951CB" w:rsidP="007951CB">
            <w:pPr>
              <w:jc w:val="right"/>
              <w:rPr>
                <w:lang/>
              </w:rPr>
            </w:pPr>
            <w:r>
              <w:rPr>
                <w:lang/>
              </w:rPr>
              <w:t>500.000</w:t>
            </w:r>
          </w:p>
        </w:tc>
        <w:tc>
          <w:tcPr>
            <w:tcW w:w="1146" w:type="dxa"/>
            <w:tcBorders>
              <w:left w:val="single" w:sz="4" w:space="0" w:color="auto"/>
              <w:right w:val="double" w:sz="4" w:space="0" w:color="auto"/>
            </w:tcBorders>
            <w:shd w:val="clear" w:color="auto" w:fill="auto"/>
            <w:vAlign w:val="center"/>
          </w:tcPr>
          <w:p w:rsidR="007951CB" w:rsidRPr="007951CB" w:rsidRDefault="007951CB" w:rsidP="007951CB">
            <w:pPr>
              <w:jc w:val="right"/>
              <w:rPr>
                <w:lang/>
              </w:rPr>
            </w:pPr>
            <w:r>
              <w:rPr>
                <w:lang/>
              </w:rPr>
              <w:t>500.000</w:t>
            </w:r>
          </w:p>
        </w:tc>
      </w:tr>
      <w:tr w:rsidR="007951CB"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vAlign w:val="center"/>
          </w:tcPr>
          <w:p w:rsidR="007951CB" w:rsidRPr="00D03014" w:rsidRDefault="007951CB" w:rsidP="007951CB">
            <w:r w:rsidRPr="00D03014">
              <w:t>3.2.3.</w:t>
            </w:r>
          </w:p>
          <w:p w:rsidR="007951CB" w:rsidRPr="00D03014" w:rsidRDefault="007951CB" w:rsidP="007951CB">
            <w:r w:rsidRPr="00D03014">
              <w:t>Формирање програма  „Вршњачког култиватора“</w:t>
            </w:r>
          </w:p>
        </w:tc>
        <w:tc>
          <w:tcPr>
            <w:tcW w:w="1301" w:type="dxa"/>
            <w:gridSpan w:val="5"/>
          </w:tcPr>
          <w:p w:rsidR="007951CB" w:rsidRPr="00D03014" w:rsidRDefault="007951CB" w:rsidP="007951CB"/>
          <w:p w:rsidR="007951CB" w:rsidRPr="00D03014" w:rsidRDefault="007951CB" w:rsidP="007951CB"/>
          <w:p w:rsidR="007951CB" w:rsidRPr="00D03014" w:rsidRDefault="007951CB" w:rsidP="007951CB">
            <w:r w:rsidRPr="00D03014">
              <w:t>ГУ Сомбор</w:t>
            </w:r>
          </w:p>
        </w:tc>
        <w:tc>
          <w:tcPr>
            <w:tcW w:w="1487" w:type="dxa"/>
            <w:gridSpan w:val="3"/>
          </w:tcPr>
          <w:p w:rsidR="007951CB" w:rsidRPr="00D03014" w:rsidRDefault="007951CB" w:rsidP="007951CB">
            <w:r w:rsidRPr="00D03014">
              <w:t>установе образовања</w:t>
            </w:r>
          </w:p>
          <w:p w:rsidR="007951CB" w:rsidRPr="00D03014" w:rsidRDefault="007951CB" w:rsidP="007951CB">
            <w:r w:rsidRPr="00D03014">
              <w:t>установе културе, ОЦД</w:t>
            </w:r>
          </w:p>
          <w:p w:rsidR="007951CB" w:rsidRPr="00D03014" w:rsidRDefault="007951CB" w:rsidP="007951CB"/>
        </w:tc>
        <w:tc>
          <w:tcPr>
            <w:tcW w:w="1284" w:type="dxa"/>
            <w:gridSpan w:val="3"/>
            <w:vAlign w:val="center"/>
          </w:tcPr>
          <w:p w:rsidR="007951CB" w:rsidRPr="00D03014" w:rsidRDefault="007951CB" w:rsidP="007951CB">
            <w:pPr>
              <w:jc w:val="right"/>
            </w:pPr>
            <w:r>
              <w:t>2022</w:t>
            </w:r>
          </w:p>
        </w:tc>
        <w:tc>
          <w:tcPr>
            <w:tcW w:w="1039" w:type="dxa"/>
            <w:gridSpan w:val="4"/>
            <w:vAlign w:val="center"/>
          </w:tcPr>
          <w:p w:rsidR="007951CB" w:rsidRPr="00D03014" w:rsidRDefault="007951CB" w:rsidP="007951CB">
            <w:r w:rsidRPr="00E2453B">
              <w:t>ГУ Сомбор</w:t>
            </w:r>
          </w:p>
        </w:tc>
        <w:tc>
          <w:tcPr>
            <w:tcW w:w="1269" w:type="dxa"/>
            <w:gridSpan w:val="3"/>
            <w:vAlign w:val="center"/>
          </w:tcPr>
          <w:p w:rsidR="007951CB" w:rsidRPr="00D03014" w:rsidRDefault="007951CB" w:rsidP="007951CB"/>
        </w:tc>
        <w:tc>
          <w:tcPr>
            <w:tcW w:w="1145" w:type="dxa"/>
            <w:gridSpan w:val="3"/>
            <w:shd w:val="clear" w:color="auto" w:fill="auto"/>
            <w:vAlign w:val="center"/>
          </w:tcPr>
          <w:p w:rsidR="007951CB" w:rsidRPr="007951CB" w:rsidRDefault="007951CB" w:rsidP="007951CB">
            <w:pPr>
              <w:jc w:val="right"/>
              <w:rPr>
                <w:lang/>
              </w:rPr>
            </w:pPr>
            <w:r>
              <w:rPr>
                <w:lang/>
              </w:rPr>
              <w:t>0</w:t>
            </w:r>
          </w:p>
        </w:tc>
        <w:tc>
          <w:tcPr>
            <w:tcW w:w="1145" w:type="dxa"/>
            <w:gridSpan w:val="3"/>
            <w:shd w:val="clear" w:color="auto" w:fill="auto"/>
            <w:vAlign w:val="center"/>
          </w:tcPr>
          <w:p w:rsidR="007951CB" w:rsidRPr="007951CB" w:rsidRDefault="007951CB" w:rsidP="007951CB">
            <w:pPr>
              <w:jc w:val="right"/>
              <w:rPr>
                <w:lang/>
              </w:rPr>
            </w:pPr>
            <w:r>
              <w:rPr>
                <w:lang/>
              </w:rPr>
              <w:t>0</w:t>
            </w:r>
          </w:p>
        </w:tc>
        <w:tc>
          <w:tcPr>
            <w:tcW w:w="1146" w:type="dxa"/>
            <w:gridSpan w:val="2"/>
            <w:tcBorders>
              <w:right w:val="single" w:sz="4" w:space="0" w:color="auto"/>
            </w:tcBorders>
            <w:shd w:val="clear" w:color="auto" w:fill="auto"/>
            <w:vAlign w:val="center"/>
          </w:tcPr>
          <w:p w:rsidR="007951CB" w:rsidRPr="007951CB" w:rsidRDefault="007951CB" w:rsidP="007951CB">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7951CB" w:rsidRPr="007951CB" w:rsidRDefault="007951CB" w:rsidP="007951CB">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7951CB" w:rsidRPr="007951CB" w:rsidRDefault="007951CB" w:rsidP="007951CB">
            <w:pPr>
              <w:jc w:val="right"/>
              <w:rPr>
                <w:lang/>
              </w:rPr>
            </w:pPr>
            <w:r>
              <w:rPr>
                <w:lang/>
              </w:rPr>
              <w:t>0</w:t>
            </w:r>
          </w:p>
        </w:tc>
      </w:tr>
      <w:tr w:rsidR="007951CB"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tcPr>
          <w:p w:rsidR="007951CB" w:rsidRPr="00D03014" w:rsidRDefault="007951CB" w:rsidP="007951CB">
            <w:r>
              <w:t>3.2.4</w:t>
            </w:r>
            <w:r w:rsidRPr="00D03014">
              <w:t>. Повећање доступности културних садржаја младим</w:t>
            </w:r>
            <w:r>
              <w:t>а</w:t>
            </w:r>
          </w:p>
        </w:tc>
        <w:tc>
          <w:tcPr>
            <w:tcW w:w="1301" w:type="dxa"/>
            <w:gridSpan w:val="5"/>
          </w:tcPr>
          <w:p w:rsidR="007951CB" w:rsidRPr="00D03014" w:rsidRDefault="007951CB" w:rsidP="007951CB">
            <w:r w:rsidRPr="00D03014">
              <w:t>ГУ Сомбор</w:t>
            </w:r>
          </w:p>
        </w:tc>
        <w:tc>
          <w:tcPr>
            <w:tcW w:w="1487" w:type="dxa"/>
            <w:gridSpan w:val="3"/>
          </w:tcPr>
          <w:p w:rsidR="007951CB" w:rsidRPr="00D03014" w:rsidRDefault="007951CB" w:rsidP="007951CB">
            <w:r w:rsidRPr="00D03014">
              <w:t>Народно позориште Сомбор, Културни центар „Лаза Костић“, ОЦД</w:t>
            </w:r>
          </w:p>
        </w:tc>
        <w:tc>
          <w:tcPr>
            <w:tcW w:w="1284" w:type="dxa"/>
            <w:gridSpan w:val="3"/>
          </w:tcPr>
          <w:p w:rsidR="007951CB" w:rsidRPr="00D03014" w:rsidRDefault="007951CB" w:rsidP="007951CB">
            <w:pPr>
              <w:jc w:val="right"/>
            </w:pPr>
            <w:r w:rsidRPr="00D03014">
              <w:t>2024</w:t>
            </w:r>
          </w:p>
        </w:tc>
        <w:tc>
          <w:tcPr>
            <w:tcW w:w="1039" w:type="dxa"/>
            <w:gridSpan w:val="4"/>
            <w:vAlign w:val="center"/>
          </w:tcPr>
          <w:p w:rsidR="007951CB" w:rsidRPr="00E22DAD" w:rsidRDefault="007951CB" w:rsidP="007951CB">
            <w:pPr>
              <w:rPr>
                <w:strike/>
                <w:highlight w:val="yellow"/>
              </w:rPr>
            </w:pPr>
            <w:r w:rsidRPr="00E2453B">
              <w:t>ГУ Сомбор</w:t>
            </w:r>
          </w:p>
        </w:tc>
        <w:tc>
          <w:tcPr>
            <w:tcW w:w="1269" w:type="dxa"/>
            <w:gridSpan w:val="3"/>
            <w:vAlign w:val="center"/>
          </w:tcPr>
          <w:p w:rsidR="007951CB" w:rsidRPr="00E22DAD" w:rsidRDefault="007951CB" w:rsidP="007951CB">
            <w:pPr>
              <w:rPr>
                <w:strike/>
                <w:highlight w:val="yellow"/>
              </w:rPr>
            </w:pPr>
          </w:p>
        </w:tc>
        <w:tc>
          <w:tcPr>
            <w:tcW w:w="1145" w:type="dxa"/>
            <w:gridSpan w:val="3"/>
            <w:shd w:val="clear" w:color="auto" w:fill="auto"/>
            <w:vAlign w:val="center"/>
          </w:tcPr>
          <w:p w:rsidR="007951CB" w:rsidRPr="007951CB" w:rsidRDefault="007951CB" w:rsidP="007951CB">
            <w:pPr>
              <w:jc w:val="right"/>
              <w:rPr>
                <w:lang/>
              </w:rPr>
            </w:pPr>
            <w:r>
              <w:rPr>
                <w:lang/>
              </w:rPr>
              <w:t>0</w:t>
            </w:r>
          </w:p>
        </w:tc>
        <w:tc>
          <w:tcPr>
            <w:tcW w:w="1145" w:type="dxa"/>
            <w:gridSpan w:val="3"/>
            <w:shd w:val="clear" w:color="auto" w:fill="auto"/>
            <w:vAlign w:val="center"/>
          </w:tcPr>
          <w:p w:rsidR="007951CB" w:rsidRPr="007951CB" w:rsidRDefault="007951CB" w:rsidP="007951CB">
            <w:pPr>
              <w:jc w:val="right"/>
              <w:rPr>
                <w:lang/>
              </w:rPr>
            </w:pPr>
            <w:r>
              <w:rPr>
                <w:lang/>
              </w:rPr>
              <w:t>0</w:t>
            </w:r>
          </w:p>
        </w:tc>
        <w:tc>
          <w:tcPr>
            <w:tcW w:w="1146" w:type="dxa"/>
            <w:gridSpan w:val="2"/>
            <w:tcBorders>
              <w:right w:val="single" w:sz="4" w:space="0" w:color="auto"/>
            </w:tcBorders>
            <w:shd w:val="clear" w:color="auto" w:fill="auto"/>
            <w:vAlign w:val="center"/>
          </w:tcPr>
          <w:p w:rsidR="007951CB" w:rsidRPr="007951CB" w:rsidRDefault="007951CB" w:rsidP="007951CB">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7951CB" w:rsidRPr="007951CB" w:rsidRDefault="007951CB" w:rsidP="007951CB">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7951CB" w:rsidRPr="007951CB" w:rsidRDefault="007951CB" w:rsidP="007951CB">
            <w:pPr>
              <w:jc w:val="right"/>
              <w:rPr>
                <w:lang/>
              </w:rPr>
            </w:pPr>
            <w:r>
              <w:rPr>
                <w:lang/>
              </w:rPr>
              <w:t>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C5E0B3" w:themeFill="accent6" w:themeFillTint="66"/>
            <w:vAlign w:val="center"/>
          </w:tcPr>
          <w:p w:rsidR="00370BA4" w:rsidRPr="00D03014" w:rsidRDefault="00370BA4" w:rsidP="00370BA4">
            <w:pPr>
              <w:rPr>
                <w:rFonts w:ascii="Arial" w:hAnsi="Arial" w:cs="Arial"/>
                <w:b/>
                <w:sz w:val="28"/>
                <w:szCs w:val="28"/>
              </w:rPr>
            </w:pPr>
            <w:r w:rsidRPr="00D03014">
              <w:rPr>
                <w:rFonts w:ascii="Arial" w:hAnsi="Arial" w:cs="Arial"/>
                <w:b/>
                <w:sz w:val="28"/>
                <w:szCs w:val="28"/>
              </w:rPr>
              <w:t>Посебни циљ 4: Унапређење доступности и разноликости програма</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C5E0B3" w:themeFill="accent6" w:themeFillTint="66"/>
            <w:vAlign w:val="center"/>
          </w:tcPr>
          <w:p w:rsidR="00370BA4" w:rsidRPr="00D03014" w:rsidRDefault="00370BA4" w:rsidP="00370BA4">
            <w:pPr>
              <w:rPr>
                <w:rFonts w:ascii="Arial" w:eastAsia="Times New Roman" w:hAnsi="Arial" w:cs="Arial"/>
                <w:color w:val="222222"/>
                <w:sz w:val="24"/>
                <w:szCs w:val="24"/>
              </w:rPr>
            </w:pPr>
            <w:r w:rsidRPr="00D03014">
              <w:rPr>
                <w:rFonts w:ascii="Arial" w:eastAsia="Times New Roman" w:hAnsi="Arial" w:cs="Arial"/>
                <w:color w:val="222222"/>
                <w:sz w:val="24"/>
                <w:szCs w:val="24"/>
              </w:rPr>
              <w:t>Институција одговорна за праћење и контролу реализације</w:t>
            </w:r>
            <w:r w:rsidRPr="00D03014">
              <w:rPr>
                <w:rFonts w:ascii="Arial" w:eastAsia="Times New Roman" w:hAnsi="Arial" w:cs="Arial"/>
                <w:color w:val="222222"/>
              </w:rPr>
              <w:t>: Градска управа Сомбор, Савет за културу града Сомбора</w:t>
            </w:r>
          </w:p>
        </w:tc>
      </w:tr>
      <w:tr w:rsidR="00894DCB" w:rsidRPr="00D03014" w:rsidTr="001858E0">
        <w:trPr>
          <w:trHeight w:val="400"/>
        </w:trPr>
        <w:tc>
          <w:tcPr>
            <w:tcW w:w="1878" w:type="dxa"/>
            <w:gridSpan w:val="2"/>
            <w:tcBorders>
              <w:top w:val="double" w:sz="4" w:space="0" w:color="auto"/>
              <w:left w:val="double" w:sz="4" w:space="0" w:color="auto"/>
            </w:tcBorders>
            <w:shd w:val="clear" w:color="auto" w:fill="D9D9D9" w:themeFill="background1" w:themeFillShade="D9"/>
            <w:vAlign w:val="center"/>
          </w:tcPr>
          <w:p w:rsidR="00894DCB" w:rsidRPr="00D03014" w:rsidRDefault="00894DCB" w:rsidP="00894DCB">
            <w:pPr>
              <w:rPr>
                <w:rFonts w:ascii="Arial" w:hAnsi="Arial" w:cs="Arial"/>
              </w:rPr>
            </w:pPr>
            <w:r w:rsidRPr="00D03014">
              <w:rPr>
                <w:rFonts w:ascii="Arial" w:hAnsi="Arial" w:cs="Arial"/>
              </w:rPr>
              <w:t xml:space="preserve">Показатељ(и) на нивоу посебног циља (показатељ </w:t>
            </w:r>
            <w:r w:rsidRPr="00D03014">
              <w:rPr>
                <w:rFonts w:ascii="Arial" w:hAnsi="Arial" w:cs="Arial"/>
              </w:rPr>
              <w:lastRenderedPageBreak/>
              <w:t>исхода)</w:t>
            </w:r>
          </w:p>
        </w:tc>
        <w:tc>
          <w:tcPr>
            <w:tcW w:w="1463" w:type="dxa"/>
            <w:gridSpan w:val="5"/>
            <w:tcBorders>
              <w:top w:val="double" w:sz="4" w:space="0" w:color="auto"/>
            </w:tcBorders>
            <w:shd w:val="clear" w:color="auto" w:fill="D9D9D9" w:themeFill="background1" w:themeFillShade="D9"/>
            <w:vAlign w:val="center"/>
          </w:tcPr>
          <w:p w:rsidR="00894DCB" w:rsidRPr="00D03014" w:rsidRDefault="00894DCB" w:rsidP="00894DCB">
            <w:pPr>
              <w:jc w:val="center"/>
              <w:rPr>
                <w:rFonts w:ascii="Arial" w:hAnsi="Arial" w:cs="Arial"/>
              </w:rPr>
            </w:pPr>
            <w:r w:rsidRPr="00D03014">
              <w:rPr>
                <w:rFonts w:ascii="Arial" w:hAnsi="Arial" w:cs="Arial"/>
              </w:rPr>
              <w:lastRenderedPageBreak/>
              <w:t>Јединица мере</w:t>
            </w:r>
          </w:p>
          <w:p w:rsidR="00894DCB" w:rsidRPr="00D03014" w:rsidRDefault="00894DCB" w:rsidP="00894DCB">
            <w:pPr>
              <w:jc w:val="center"/>
              <w:rPr>
                <w:rFonts w:ascii="Arial" w:hAnsi="Arial" w:cs="Arial"/>
              </w:rPr>
            </w:pPr>
          </w:p>
        </w:tc>
        <w:tc>
          <w:tcPr>
            <w:tcW w:w="1460" w:type="dxa"/>
            <w:gridSpan w:val="4"/>
            <w:tcBorders>
              <w:top w:val="double" w:sz="4" w:space="0" w:color="auto"/>
            </w:tcBorders>
            <w:shd w:val="clear" w:color="auto" w:fill="D9D9D9" w:themeFill="background1" w:themeFillShade="D9"/>
            <w:vAlign w:val="center"/>
          </w:tcPr>
          <w:p w:rsidR="00894DCB" w:rsidRPr="00D03014" w:rsidRDefault="00894DCB" w:rsidP="00894DCB">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tcBorders>
            <w:shd w:val="clear" w:color="auto" w:fill="D9D9D9" w:themeFill="background1" w:themeFillShade="D9"/>
            <w:vAlign w:val="center"/>
          </w:tcPr>
          <w:p w:rsidR="00894DCB" w:rsidRPr="00D03014" w:rsidRDefault="00894DCB" w:rsidP="00894DCB">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tcBorders>
            <w:shd w:val="clear" w:color="auto" w:fill="D9D9D9" w:themeFill="background1" w:themeFillShade="D9"/>
            <w:vAlign w:val="center"/>
          </w:tcPr>
          <w:p w:rsidR="00894DCB" w:rsidRPr="00D03014" w:rsidRDefault="00894DCB" w:rsidP="00894DCB">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tcBorders>
            <w:shd w:val="clear" w:color="auto" w:fill="D9D9D9" w:themeFill="background1" w:themeFillShade="D9"/>
            <w:vAlign w:val="center"/>
          </w:tcPr>
          <w:p w:rsidR="00894DCB" w:rsidRPr="00D03014" w:rsidRDefault="00EF6F4E" w:rsidP="00EF6F4E">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tcBorders>
            <w:shd w:val="clear" w:color="auto" w:fill="D9D9D9" w:themeFill="background1" w:themeFillShade="D9"/>
            <w:vAlign w:val="center"/>
          </w:tcPr>
          <w:p w:rsidR="00894DCB" w:rsidRPr="00EF6F4E" w:rsidRDefault="00894DCB" w:rsidP="00894DCB">
            <w:pPr>
              <w:jc w:val="center"/>
              <w:rPr>
                <w:rFonts w:ascii="Arial" w:hAnsi="Arial" w:cs="Arial"/>
                <w:lang/>
              </w:rPr>
            </w:pPr>
            <w:r w:rsidRPr="00D03014">
              <w:rPr>
                <w:rFonts w:ascii="Arial" w:hAnsi="Arial" w:cs="Arial"/>
              </w:rPr>
              <w:t>Циљана вредност у години т+</w:t>
            </w:r>
            <w:r w:rsidR="00EF6F4E">
              <w:rPr>
                <w:rFonts w:ascii="Arial" w:hAnsi="Arial" w:cs="Arial"/>
                <w:lang/>
              </w:rPr>
              <w:t>1</w:t>
            </w:r>
          </w:p>
        </w:tc>
        <w:tc>
          <w:tcPr>
            <w:tcW w:w="1221" w:type="dxa"/>
            <w:gridSpan w:val="2"/>
            <w:tcBorders>
              <w:top w:val="double" w:sz="4" w:space="0" w:color="auto"/>
            </w:tcBorders>
            <w:shd w:val="clear" w:color="auto" w:fill="D9D9D9" w:themeFill="background1" w:themeFillShade="D9"/>
            <w:vAlign w:val="center"/>
          </w:tcPr>
          <w:p w:rsidR="00894DCB" w:rsidRPr="00D03014" w:rsidRDefault="00894DCB" w:rsidP="00894DCB">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tcBorders>
            <w:shd w:val="clear" w:color="auto" w:fill="D9D9D9" w:themeFill="background1" w:themeFillShade="D9"/>
            <w:vAlign w:val="center"/>
          </w:tcPr>
          <w:p w:rsidR="00894DCB" w:rsidRPr="00D03014" w:rsidRDefault="00894DCB" w:rsidP="00894DCB">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right w:val="double" w:sz="4" w:space="0" w:color="auto"/>
            </w:tcBorders>
            <w:shd w:val="clear" w:color="auto" w:fill="D9D9D9" w:themeFill="background1" w:themeFillShade="D9"/>
            <w:vAlign w:val="center"/>
          </w:tcPr>
          <w:p w:rsidR="00894DCB" w:rsidRPr="00D03014" w:rsidRDefault="00894DCB" w:rsidP="00894DCB">
            <w:pPr>
              <w:jc w:val="center"/>
              <w:rPr>
                <w:rFonts w:ascii="Arial" w:hAnsi="Arial" w:cs="Arial"/>
              </w:rPr>
            </w:pPr>
            <w:r w:rsidRPr="00D03014">
              <w:rPr>
                <w:rFonts w:ascii="Arial" w:hAnsi="Arial" w:cs="Arial"/>
              </w:rPr>
              <w:t>Циљана вредност у последњ</w:t>
            </w:r>
            <w:r w:rsidRPr="00D03014">
              <w:rPr>
                <w:rFonts w:ascii="Arial" w:hAnsi="Arial" w:cs="Arial"/>
              </w:rPr>
              <w:lastRenderedPageBreak/>
              <w:t>ој години АП</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7C48D2" w:rsidRDefault="00370BA4" w:rsidP="00370BA4">
            <w:pPr>
              <w:shd w:val="clear" w:color="auto" w:fill="FFFFFF" w:themeFill="background1"/>
              <w:rPr>
                <w:rFonts w:ascii="Arial" w:hAnsi="Arial" w:cs="Arial"/>
                <w:lang/>
              </w:rPr>
            </w:pPr>
            <w:r>
              <w:rPr>
                <w:rFonts w:ascii="Arial" w:hAnsi="Arial" w:cs="Arial"/>
                <w:lang/>
              </w:rPr>
              <w:lastRenderedPageBreak/>
              <w:t>Успостављен јединствени систем онлајн продаје улазница за културно – туристичка дешавања</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t>0-не</w:t>
            </w:r>
          </w:p>
          <w:p w:rsidR="00370BA4" w:rsidRPr="00526753" w:rsidRDefault="00370BA4" w:rsidP="00370BA4">
            <w:pPr>
              <w:shd w:val="clear" w:color="auto" w:fill="FFFFFF" w:themeFill="background1"/>
              <w:rPr>
                <w:rFonts w:ascii="Arial" w:hAnsi="Arial" w:cs="Arial"/>
              </w:rPr>
            </w:pPr>
            <w:r w:rsidRPr="00526753">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Извештаји установа културе, ТО Сомбор</w:t>
            </w:r>
          </w:p>
        </w:tc>
        <w:tc>
          <w:tcPr>
            <w:tcW w:w="1459"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t>1</w:t>
            </w:r>
          </w:p>
        </w:tc>
      </w:tr>
      <w:tr w:rsidR="00370BA4" w:rsidRPr="00334460"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Покренута дечја позоришна сцена у оквиру Културног центра „Лаза Костић“</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t>0-не</w:t>
            </w:r>
          </w:p>
          <w:p w:rsidR="00370BA4" w:rsidRPr="0021557D" w:rsidRDefault="00370BA4" w:rsidP="00370BA4">
            <w:pPr>
              <w:shd w:val="clear" w:color="auto" w:fill="FFFFFF" w:themeFill="background1"/>
              <w:contextualSpacing/>
              <w:rPr>
                <w:rFonts w:ascii="Arial" w:hAnsi="Arial" w:cs="Arial"/>
                <w:sz w:val="20"/>
                <w:szCs w:val="20"/>
                <w:lang/>
              </w:rPr>
            </w:pPr>
            <w:r w:rsidRPr="00526753">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lang/>
              </w:rPr>
              <w:t>Извештај КЦ</w:t>
            </w:r>
          </w:p>
        </w:tc>
        <w:tc>
          <w:tcPr>
            <w:tcW w:w="1459"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526753">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21557D" w:rsidRDefault="00370BA4" w:rsidP="00370BA4">
            <w:pPr>
              <w:shd w:val="clear" w:color="auto" w:fill="FFFFFF" w:themeFill="background1"/>
              <w:jc w:val="center"/>
              <w:rPr>
                <w:rFonts w:ascii="Arial" w:hAnsi="Arial" w:cs="Arial"/>
                <w:sz w:val="20"/>
                <w:szCs w:val="20"/>
                <w:lang/>
              </w:rPr>
            </w:pPr>
            <w:r w:rsidRPr="00526753">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sidRPr="00526753">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sidRPr="00526753">
              <w:rPr>
                <w:rFonts w:ascii="Arial" w:hAnsi="Arial" w:cs="Arial"/>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sidRPr="00526753">
              <w:rPr>
                <w:rFonts w:ascii="Arial" w:hAnsi="Arial" w:cs="Arial"/>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Pr>
                <w:rFonts w:ascii="Arial" w:hAnsi="Arial" w:cs="Arial"/>
                <w:lang/>
              </w:rPr>
              <w:t>0</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sz w:val="20"/>
                <w:szCs w:val="20"/>
                <w:lang/>
              </w:rPr>
            </w:pPr>
            <w:r w:rsidRPr="00526753">
              <w:rPr>
                <w:rFonts w:ascii="Arial" w:hAnsi="Arial" w:cs="Arial"/>
                <w:lang/>
              </w:rPr>
              <w:t>1</w:t>
            </w:r>
          </w:p>
        </w:tc>
      </w:tr>
      <w:tr w:rsidR="00370BA4" w:rsidRPr="00334460"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Извршена конзервација и уприличена јавна презентација Повеље слободног и краљевског града</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t>0-не</w:t>
            </w:r>
          </w:p>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Извештај Историјског архива Сомбор</w:t>
            </w:r>
          </w:p>
        </w:tc>
        <w:tc>
          <w:tcPr>
            <w:tcW w:w="1459"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1</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b/>
                <w:sz w:val="24"/>
                <w:szCs w:val="24"/>
              </w:rPr>
            </w:pPr>
            <w:r w:rsidRPr="00D03014">
              <w:rPr>
                <w:rFonts w:ascii="Arial" w:hAnsi="Arial" w:cs="Arial"/>
                <w:b/>
                <w:sz w:val="24"/>
                <w:szCs w:val="24"/>
              </w:rPr>
              <w:t>Мера 4.1: Презентација и промоција културе града у дигиталном облику</w:t>
            </w:r>
          </w:p>
        </w:tc>
      </w:tr>
      <w:tr w:rsidR="00370BA4" w:rsidRPr="00367057"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t xml:space="preserve"> </w:t>
            </w:r>
            <w:r w:rsidRPr="009615FA">
              <w:rPr>
                <w:rFonts w:ascii="Arial" w:eastAsia="Times New Roman" w:hAnsi="Arial" w:cs="Arial"/>
                <w:color w:val="222222"/>
              </w:rPr>
              <w:t>Градска управа Сомбор</w:t>
            </w:r>
            <w:r>
              <w:rPr>
                <w:rFonts w:ascii="Arial" w:eastAsia="Times New Roman" w:hAnsi="Arial" w:cs="Arial"/>
                <w:color w:val="222222"/>
                <w:lang/>
              </w:rPr>
              <w:t>, установе културе, организације у култури</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2021-2023</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7951CB" w:rsidRDefault="00370BA4" w:rsidP="00370BA4">
            <w:pPr>
              <w:rPr>
                <w:rFonts w:ascii="Arial" w:hAnsi="Arial" w:cs="Arial"/>
                <w:lang/>
              </w:rPr>
            </w:pPr>
            <w:r w:rsidRPr="00D03014">
              <w:rPr>
                <w:rFonts w:ascii="Arial" w:hAnsi="Arial" w:cs="Arial"/>
              </w:rPr>
              <w:t>Тип мере:</w:t>
            </w:r>
            <w:r w:rsidR="007951CB">
              <w:t xml:space="preserve"> </w:t>
            </w:r>
            <w:r w:rsidR="007951CB" w:rsidRPr="007951CB">
              <w:rPr>
                <w:rFonts w:ascii="Arial" w:hAnsi="Arial" w:cs="Arial"/>
              </w:rPr>
              <w:t>информативно-едукативна</w:t>
            </w:r>
            <w:r w:rsidR="007951CB">
              <w:rPr>
                <w:rFonts w:ascii="Arial" w:hAnsi="Arial" w:cs="Arial"/>
                <w:lang/>
              </w:rPr>
              <w:t xml:space="preserve">; </w:t>
            </w:r>
            <w:r w:rsidR="007951CB" w:rsidRPr="007951CB">
              <w:rPr>
                <w:rFonts w:ascii="Arial" w:hAnsi="Arial" w:cs="Arial"/>
                <w:lang/>
              </w:rPr>
              <w:t>обезбеђење добара и пружање услуга од стране учесника у планском систему</w:t>
            </w:r>
          </w:p>
        </w:tc>
      </w:tr>
      <w:tr w:rsidR="00D2040D"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D9D9D9" w:themeFill="background1" w:themeFillShade="D9"/>
            <w:vAlign w:val="center"/>
          </w:tcPr>
          <w:p w:rsidR="00D2040D" w:rsidRPr="00D03014" w:rsidRDefault="00D2040D" w:rsidP="00D2040D">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Јединица мере</w:t>
            </w:r>
          </w:p>
          <w:p w:rsidR="00D2040D" w:rsidRPr="00D03014" w:rsidRDefault="00D2040D" w:rsidP="00D2040D">
            <w:pPr>
              <w:jc w:val="center"/>
              <w:rPr>
                <w:rFonts w:ascii="Arial" w:hAnsi="Arial" w:cs="Arial"/>
              </w:rPr>
            </w:pPr>
          </w:p>
        </w:tc>
        <w:tc>
          <w:tcPr>
            <w:tcW w:w="1460"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последњој години АП</w:t>
            </w:r>
          </w:p>
        </w:tc>
      </w:tr>
      <w:tr w:rsidR="00370BA4" w:rsidRPr="009F2563"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526753" w:rsidRDefault="00370BA4" w:rsidP="00370BA4">
            <w:pPr>
              <w:shd w:val="clear" w:color="auto" w:fill="FFFFFF" w:themeFill="background1"/>
              <w:rPr>
                <w:rFonts w:ascii="Arial" w:hAnsi="Arial" w:cs="Arial"/>
                <w:lang/>
              </w:rPr>
            </w:pPr>
            <w:r w:rsidRPr="00526753">
              <w:rPr>
                <w:rFonts w:ascii="Arial" w:hAnsi="Arial" w:cs="Arial"/>
                <w:lang/>
              </w:rPr>
              <w:t xml:space="preserve">Креирана </w:t>
            </w:r>
            <w:r w:rsidRPr="00526753">
              <w:rPr>
                <w:rFonts w:ascii="Arial" w:hAnsi="Arial" w:cs="Arial"/>
                <w:lang/>
              </w:rPr>
              <w:lastRenderedPageBreak/>
              <w:t>мобилна апликација културно – туристичке понуде Сомбора</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lastRenderedPageBreak/>
              <w:t>0-не</w:t>
            </w:r>
          </w:p>
          <w:p w:rsidR="00370BA4" w:rsidRPr="00526753" w:rsidRDefault="00370BA4" w:rsidP="00370BA4">
            <w:pPr>
              <w:shd w:val="clear" w:color="auto" w:fill="FFFFFF" w:themeFill="background1"/>
              <w:rPr>
                <w:rFonts w:ascii="Arial" w:hAnsi="Arial" w:cs="Arial"/>
                <w:lang/>
              </w:rPr>
            </w:pPr>
            <w:r w:rsidRPr="00526753">
              <w:rPr>
                <w:rFonts w:ascii="Arial" w:hAnsi="Arial" w:cs="Arial"/>
                <w:lang/>
              </w:rPr>
              <w:lastRenderedPageBreak/>
              <w:t>1-да</w:t>
            </w:r>
          </w:p>
        </w:tc>
        <w:tc>
          <w:tcPr>
            <w:tcW w:w="1460" w:type="dxa"/>
            <w:gridSpan w:val="4"/>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rPr>
            </w:pPr>
            <w:r w:rsidRPr="00526753">
              <w:rPr>
                <w:rFonts w:ascii="Arial" w:hAnsi="Arial" w:cs="Arial"/>
                <w:lang/>
              </w:rPr>
              <w:lastRenderedPageBreak/>
              <w:t xml:space="preserve">Извештаји </w:t>
            </w:r>
            <w:r w:rsidRPr="00526753">
              <w:rPr>
                <w:rFonts w:ascii="Arial" w:hAnsi="Arial" w:cs="Arial"/>
                <w:lang/>
              </w:rPr>
              <w:lastRenderedPageBreak/>
              <w:t>установа културе, ТО Сомбор, ОЦД</w:t>
            </w:r>
          </w:p>
        </w:tc>
        <w:tc>
          <w:tcPr>
            <w:tcW w:w="1459"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lastRenderedPageBreak/>
              <w:t>0</w:t>
            </w:r>
          </w:p>
        </w:tc>
        <w:tc>
          <w:tcPr>
            <w:tcW w:w="1458"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sidRPr="00526753">
              <w:rPr>
                <w:rFonts w:ascii="Arial" w:hAnsi="Arial" w:cs="Arial"/>
                <w:lang/>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7C48D2" w:rsidRDefault="00370BA4" w:rsidP="00370BA4">
            <w:pPr>
              <w:shd w:val="clear" w:color="auto" w:fill="FFFFFF" w:themeFill="background1"/>
              <w:rPr>
                <w:rFonts w:ascii="Arial" w:hAnsi="Arial" w:cs="Arial"/>
                <w:lang/>
              </w:rPr>
            </w:pPr>
            <w:r>
              <w:rPr>
                <w:rFonts w:ascii="Arial" w:hAnsi="Arial" w:cs="Arial"/>
                <w:lang/>
              </w:rPr>
              <w:lastRenderedPageBreak/>
              <w:t>Број дигитализованих значајних културно – туристичких тачака у Сомбору</w:t>
            </w:r>
          </w:p>
        </w:tc>
        <w:tc>
          <w:tcPr>
            <w:tcW w:w="1463" w:type="dxa"/>
            <w:gridSpan w:val="5"/>
            <w:tcBorders>
              <w:top w:val="double" w:sz="4" w:space="0" w:color="auto"/>
            </w:tcBorders>
            <w:shd w:val="clear" w:color="auto" w:fill="FFFFFF" w:themeFill="background1"/>
            <w:vAlign w:val="center"/>
          </w:tcPr>
          <w:p w:rsidR="00370BA4" w:rsidRPr="007C48D2" w:rsidRDefault="00370BA4" w:rsidP="00370BA4">
            <w:pPr>
              <w:shd w:val="clear" w:color="auto" w:fill="FFFFFF" w:themeFill="background1"/>
              <w:jc w:val="center"/>
              <w:rPr>
                <w:rFonts w:ascii="Arial" w:hAnsi="Arial" w:cs="Arial"/>
                <w:lang/>
              </w:rPr>
            </w:pPr>
            <w:r>
              <w:rPr>
                <w:rFonts w:ascii="Arial" w:hAnsi="Arial" w:cs="Arial"/>
                <w:lang/>
              </w:rPr>
              <w:t>број</w:t>
            </w:r>
          </w:p>
        </w:tc>
        <w:tc>
          <w:tcPr>
            <w:tcW w:w="1460" w:type="dxa"/>
            <w:gridSpan w:val="4"/>
            <w:tcBorders>
              <w:top w:val="double" w:sz="4" w:space="0" w:color="auto"/>
            </w:tcBorders>
            <w:shd w:val="clear" w:color="auto" w:fill="FFFFFF" w:themeFill="background1"/>
            <w:vAlign w:val="center"/>
          </w:tcPr>
          <w:p w:rsidR="00370BA4" w:rsidRPr="00D03014" w:rsidRDefault="00370BA4" w:rsidP="00370BA4">
            <w:pPr>
              <w:shd w:val="clear" w:color="auto" w:fill="FFFFFF" w:themeFill="background1"/>
              <w:jc w:val="center"/>
              <w:rPr>
                <w:rFonts w:ascii="Arial" w:hAnsi="Arial" w:cs="Arial"/>
              </w:rPr>
            </w:pPr>
            <w:r w:rsidRPr="007C48D2">
              <w:rPr>
                <w:rFonts w:ascii="Arial" w:hAnsi="Arial" w:cs="Arial"/>
              </w:rPr>
              <w:t>Извештаји установа културе, ТО Сомбор, ОЦД</w:t>
            </w:r>
          </w:p>
        </w:tc>
        <w:tc>
          <w:tcPr>
            <w:tcW w:w="1459" w:type="dxa"/>
            <w:gridSpan w:val="3"/>
            <w:tcBorders>
              <w:top w:val="double" w:sz="4" w:space="0" w:color="auto"/>
            </w:tcBorders>
            <w:shd w:val="clear" w:color="auto" w:fill="FFFFFF" w:themeFill="background1"/>
            <w:vAlign w:val="center"/>
          </w:tcPr>
          <w:p w:rsidR="00370BA4" w:rsidRPr="007C48D2" w:rsidRDefault="00370BA4" w:rsidP="00370BA4">
            <w:pPr>
              <w:shd w:val="clear" w:color="auto" w:fill="FFFFFF" w:themeFill="background1"/>
              <w:jc w:val="center"/>
              <w:rPr>
                <w:rFonts w:ascii="Arial" w:hAnsi="Arial" w:cs="Arial"/>
                <w:lang/>
              </w:rPr>
            </w:pPr>
            <w:r>
              <w:rPr>
                <w:rFonts w:ascii="Arial" w:hAnsi="Arial" w:cs="Arial"/>
                <w:lang/>
              </w:rPr>
              <w:t>0</w:t>
            </w:r>
          </w:p>
        </w:tc>
        <w:tc>
          <w:tcPr>
            <w:tcW w:w="1458" w:type="dxa"/>
            <w:gridSpan w:val="3"/>
            <w:tcBorders>
              <w:top w:val="double" w:sz="4" w:space="0" w:color="auto"/>
            </w:tcBorders>
            <w:shd w:val="clear" w:color="auto" w:fill="FFFFFF" w:themeFill="background1"/>
            <w:vAlign w:val="center"/>
          </w:tcPr>
          <w:p w:rsidR="00370BA4" w:rsidRPr="007C48D2" w:rsidRDefault="00370BA4" w:rsidP="00370BA4">
            <w:pPr>
              <w:shd w:val="clear" w:color="auto" w:fill="FFFFFF" w:themeFill="background1"/>
              <w:jc w:val="center"/>
              <w:rPr>
                <w:rFonts w:ascii="Arial" w:hAnsi="Arial" w:cs="Arial"/>
                <w:lang/>
              </w:rPr>
            </w:pPr>
            <w:r>
              <w:rPr>
                <w:rFonts w:ascii="Arial" w:hAnsi="Arial" w:cs="Arial"/>
                <w:lang/>
              </w:rPr>
              <w:t>2019</w:t>
            </w:r>
          </w:p>
        </w:tc>
        <w:tc>
          <w:tcPr>
            <w:tcW w:w="1222" w:type="dxa"/>
            <w:gridSpan w:val="4"/>
            <w:tcBorders>
              <w:top w:val="double" w:sz="4" w:space="0" w:color="auto"/>
            </w:tcBorders>
            <w:shd w:val="clear" w:color="auto" w:fill="FFFFFF" w:themeFill="background1"/>
            <w:vAlign w:val="center"/>
          </w:tcPr>
          <w:p w:rsidR="00370BA4" w:rsidRPr="007C48D2" w:rsidRDefault="00370BA4" w:rsidP="00370BA4">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370BA4" w:rsidRPr="007C48D2" w:rsidRDefault="00370BA4" w:rsidP="00370BA4">
            <w:pPr>
              <w:shd w:val="clear" w:color="auto" w:fill="FFFFFF" w:themeFill="background1"/>
              <w:jc w:val="center"/>
              <w:rPr>
                <w:rFonts w:ascii="Arial" w:hAnsi="Arial" w:cs="Arial"/>
                <w:lang/>
              </w:rPr>
            </w:pPr>
            <w:r>
              <w:rPr>
                <w:rFonts w:ascii="Arial" w:hAnsi="Arial" w:cs="Arial"/>
                <w:lang/>
              </w:rPr>
              <w:t>0</w:t>
            </w:r>
          </w:p>
        </w:tc>
        <w:tc>
          <w:tcPr>
            <w:tcW w:w="1221" w:type="dxa"/>
            <w:gridSpan w:val="2"/>
            <w:tcBorders>
              <w:top w:val="double" w:sz="4" w:space="0" w:color="auto"/>
              <w:right w:val="single" w:sz="4" w:space="0" w:color="auto"/>
            </w:tcBorders>
            <w:shd w:val="clear" w:color="auto" w:fill="FFFFFF" w:themeFill="background1"/>
            <w:vAlign w:val="center"/>
          </w:tcPr>
          <w:p w:rsidR="00370BA4" w:rsidRPr="007C48D2" w:rsidRDefault="00370BA4" w:rsidP="00370BA4">
            <w:pPr>
              <w:shd w:val="clear" w:color="auto" w:fill="FFFFFF" w:themeFill="background1"/>
              <w:jc w:val="center"/>
              <w:rPr>
                <w:rFonts w:ascii="Arial" w:hAnsi="Arial" w:cs="Arial"/>
                <w:lang/>
              </w:rPr>
            </w:pPr>
            <w:r>
              <w:rPr>
                <w:rFonts w:ascii="Arial" w:hAnsi="Arial" w:cs="Arial"/>
                <w:lang/>
              </w:rPr>
              <w:t>0</w:t>
            </w:r>
          </w:p>
        </w:tc>
        <w:tc>
          <w:tcPr>
            <w:tcW w:w="1226" w:type="dxa"/>
            <w:gridSpan w:val="4"/>
            <w:tcBorders>
              <w:top w:val="double" w:sz="4" w:space="0" w:color="auto"/>
              <w:right w:val="single" w:sz="4" w:space="0" w:color="auto"/>
            </w:tcBorders>
            <w:shd w:val="clear" w:color="auto" w:fill="FFFFFF" w:themeFill="background1"/>
            <w:vAlign w:val="center"/>
          </w:tcPr>
          <w:p w:rsidR="00370BA4" w:rsidRPr="00473772" w:rsidRDefault="00370BA4" w:rsidP="00370BA4">
            <w:pPr>
              <w:shd w:val="clear" w:color="auto" w:fill="FFFFFF" w:themeFill="background1"/>
              <w:jc w:val="center"/>
              <w:rPr>
                <w:rFonts w:ascii="Arial" w:hAnsi="Arial" w:cs="Arial"/>
                <w:lang/>
              </w:rPr>
            </w:pPr>
            <w:r>
              <w:rPr>
                <w:rFonts w:ascii="Arial" w:hAnsi="Arial" w:cs="Arial"/>
                <w:lang/>
              </w:rPr>
              <w:t>3</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Pr="00473772" w:rsidRDefault="00370BA4" w:rsidP="00370BA4">
            <w:pPr>
              <w:shd w:val="clear" w:color="auto" w:fill="FFFFFF" w:themeFill="background1"/>
              <w:jc w:val="center"/>
              <w:rPr>
                <w:rFonts w:ascii="Arial" w:hAnsi="Arial" w:cs="Arial"/>
                <w:lang/>
              </w:rPr>
            </w:pPr>
            <w:r>
              <w:rPr>
                <w:rFonts w:ascii="Arial" w:hAnsi="Arial" w:cs="Arial"/>
                <w:lang/>
              </w:rPr>
              <w:t>4</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Креиран виртуелни музеј и виртуелна поставка</w:t>
            </w:r>
          </w:p>
        </w:tc>
        <w:tc>
          <w:tcPr>
            <w:tcW w:w="1463" w:type="dxa"/>
            <w:gridSpan w:val="5"/>
            <w:tcBorders>
              <w:top w:val="double" w:sz="4" w:space="0" w:color="auto"/>
            </w:tcBorders>
            <w:shd w:val="clear" w:color="auto" w:fill="FFFFFF" w:themeFill="background1"/>
            <w:vAlign w:val="center"/>
          </w:tcPr>
          <w:p w:rsidR="00370BA4" w:rsidRPr="00F92024" w:rsidRDefault="00370BA4" w:rsidP="00370BA4">
            <w:pPr>
              <w:shd w:val="clear" w:color="auto" w:fill="FFFFFF" w:themeFill="background1"/>
              <w:rPr>
                <w:rFonts w:ascii="Arial" w:hAnsi="Arial" w:cs="Arial"/>
                <w:lang/>
              </w:rPr>
            </w:pPr>
            <w:r w:rsidRPr="00F92024">
              <w:rPr>
                <w:rFonts w:ascii="Arial" w:hAnsi="Arial" w:cs="Arial"/>
                <w:lang/>
              </w:rPr>
              <w:t>0-не</w:t>
            </w:r>
          </w:p>
          <w:p w:rsidR="00370BA4" w:rsidRDefault="00370BA4" w:rsidP="00370BA4">
            <w:pPr>
              <w:shd w:val="clear" w:color="auto" w:fill="FFFFFF" w:themeFill="background1"/>
              <w:rPr>
                <w:rFonts w:ascii="Arial" w:hAnsi="Arial" w:cs="Arial"/>
                <w:lang/>
              </w:rPr>
            </w:pPr>
            <w:r w:rsidRPr="00F92024">
              <w:rPr>
                <w:rFonts w:ascii="Arial" w:hAnsi="Arial" w:cs="Arial"/>
                <w:lang/>
              </w:rPr>
              <w:t>1-да</w:t>
            </w:r>
          </w:p>
        </w:tc>
        <w:tc>
          <w:tcPr>
            <w:tcW w:w="1460" w:type="dxa"/>
            <w:gridSpan w:val="4"/>
            <w:tcBorders>
              <w:top w:val="double" w:sz="4" w:space="0" w:color="auto"/>
            </w:tcBorders>
            <w:shd w:val="clear" w:color="auto" w:fill="FFFFFF" w:themeFill="background1"/>
            <w:vAlign w:val="center"/>
          </w:tcPr>
          <w:p w:rsidR="00370BA4" w:rsidRPr="007C48D2" w:rsidRDefault="00370BA4" w:rsidP="00370BA4">
            <w:pPr>
              <w:shd w:val="clear" w:color="auto" w:fill="FFFFFF" w:themeFill="background1"/>
              <w:jc w:val="center"/>
              <w:rPr>
                <w:rFonts w:ascii="Arial" w:hAnsi="Arial" w:cs="Arial"/>
                <w:lang/>
              </w:rPr>
            </w:pPr>
            <w:r>
              <w:rPr>
                <w:rFonts w:ascii="Arial" w:hAnsi="Arial" w:cs="Arial"/>
                <w:lang/>
              </w:rPr>
              <w:t>Извештај Градског музеја Сомбор</w:t>
            </w:r>
          </w:p>
        </w:tc>
        <w:tc>
          <w:tcPr>
            <w:tcW w:w="1459" w:type="dxa"/>
            <w:gridSpan w:val="3"/>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458" w:type="dxa"/>
            <w:gridSpan w:val="3"/>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2019</w:t>
            </w:r>
          </w:p>
        </w:tc>
        <w:tc>
          <w:tcPr>
            <w:tcW w:w="1222" w:type="dxa"/>
            <w:gridSpan w:val="4"/>
            <w:tcBorders>
              <w:top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right w:val="sing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1" w:type="dxa"/>
            <w:gridSpan w:val="2"/>
            <w:tcBorders>
              <w:top w:val="double" w:sz="4" w:space="0" w:color="auto"/>
              <w:right w:val="sing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6" w:type="dxa"/>
            <w:gridSpan w:val="4"/>
            <w:tcBorders>
              <w:top w:val="double" w:sz="4" w:space="0" w:color="auto"/>
              <w:right w:val="sing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1</w:t>
            </w:r>
          </w:p>
        </w:tc>
        <w:tc>
          <w:tcPr>
            <w:tcW w:w="1223" w:type="dxa"/>
            <w:gridSpan w:val="2"/>
            <w:tcBorders>
              <w:top w:val="double" w:sz="4" w:space="0" w:color="auto"/>
              <w:left w:val="single" w:sz="4" w:space="0" w:color="auto"/>
              <w:right w:val="double" w:sz="4" w:space="0" w:color="auto"/>
            </w:tcBorders>
            <w:shd w:val="clear" w:color="auto" w:fill="FFFFFF" w:themeFill="background1"/>
            <w:vAlign w:val="center"/>
          </w:tcPr>
          <w:p w:rsidR="00370BA4" w:rsidRDefault="00370BA4" w:rsidP="00370BA4">
            <w:pPr>
              <w:shd w:val="clear" w:color="auto" w:fill="FFFFFF" w:themeFill="background1"/>
              <w:jc w:val="center"/>
              <w:rPr>
                <w:rFonts w:ascii="Arial" w:hAnsi="Arial" w:cs="Arial"/>
                <w:lang/>
              </w:rPr>
            </w:pPr>
            <w:r>
              <w:rPr>
                <w:rFonts w:ascii="Arial" w:hAnsi="Arial" w:cs="Arial"/>
                <w:lang/>
              </w:rPr>
              <w:t>1</w:t>
            </w:r>
          </w:p>
        </w:tc>
      </w:tr>
      <w:tr w:rsidR="00370BA4" w:rsidRPr="00D03014" w:rsidTr="001858E0">
        <w:trPr>
          <w:trHeight w:val="398"/>
        </w:trPr>
        <w:tc>
          <w:tcPr>
            <w:tcW w:w="2531" w:type="dxa"/>
            <w:gridSpan w:val="5"/>
            <w:vMerge w:val="restart"/>
            <w:tcBorders>
              <w:top w:val="single" w:sz="4" w:space="0" w:color="auto"/>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83"/>
            </w:r>
          </w:p>
        </w:tc>
        <w:tc>
          <w:tcPr>
            <w:tcW w:w="2145" w:type="dxa"/>
            <w:gridSpan w:val="5"/>
            <w:vMerge w:val="restart"/>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84"/>
            </w:r>
          </w:p>
        </w:tc>
        <w:tc>
          <w:tcPr>
            <w:tcW w:w="9156" w:type="dxa"/>
            <w:gridSpan w:val="22"/>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894DCB">
            <w:pPr>
              <w:jc w:val="center"/>
              <w:rPr>
                <w:rFonts w:ascii="Arial" w:hAnsi="Arial" w:cs="Arial"/>
              </w:rPr>
            </w:pPr>
            <w:r w:rsidRPr="00D03014">
              <w:rPr>
                <w:rFonts w:ascii="Arial" w:hAnsi="Arial" w:cs="Arial"/>
              </w:rPr>
              <w:t xml:space="preserve"> Укупна процењ</w:t>
            </w:r>
            <w:r w:rsidR="00894DCB">
              <w:rPr>
                <w:rFonts w:ascii="Arial" w:hAnsi="Arial" w:cs="Arial"/>
              </w:rPr>
              <w:t>ена финансијска средства у</w:t>
            </w:r>
            <w:r w:rsidRPr="00D03014">
              <w:rPr>
                <w:rFonts w:ascii="Arial" w:hAnsi="Arial" w:cs="Arial"/>
              </w:rPr>
              <w:t xml:space="preserve"> дин.</w:t>
            </w:r>
          </w:p>
        </w:tc>
      </w:tr>
      <w:tr w:rsidR="007951CB"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7951CB" w:rsidRPr="00D03014" w:rsidRDefault="007951CB" w:rsidP="007951CB">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7951CB" w:rsidRPr="00D03014" w:rsidRDefault="007951CB" w:rsidP="007951CB">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7951CB" w:rsidRPr="00D03014" w:rsidRDefault="007951CB" w:rsidP="007951CB">
            <w:pPr>
              <w:jc w:val="center"/>
              <w:rPr>
                <w:rFonts w:ascii="Arial" w:hAnsi="Arial" w:cs="Arial"/>
              </w:rPr>
            </w:pPr>
            <w:r w:rsidRPr="00D03014">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7951CB" w:rsidRPr="00D03014" w:rsidRDefault="007951CB" w:rsidP="007951CB">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7951CB" w:rsidRPr="00D03014" w:rsidRDefault="007951CB" w:rsidP="007951CB">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7951CB" w:rsidRPr="00D03014" w:rsidRDefault="007951CB" w:rsidP="007951CB">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7951CB" w:rsidRPr="00D03014" w:rsidRDefault="007951CB" w:rsidP="007951CB">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2.120.000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Default="007951CB" w:rsidP="00370BA4">
            <w:pPr>
              <w:jc w:val="center"/>
              <w:rPr>
                <w:rFonts w:ascii="Arial" w:hAnsi="Arial" w:cs="Arial"/>
                <w:lang/>
              </w:rPr>
            </w:pPr>
            <w:r>
              <w:rPr>
                <w:rFonts w:ascii="Arial" w:hAnsi="Arial" w:cs="Arial"/>
                <w:lang/>
              </w:rPr>
              <w:t>2.420.000</w:t>
            </w:r>
          </w:p>
          <w:p w:rsidR="007951CB" w:rsidRPr="007951CB" w:rsidRDefault="007951CB" w:rsidP="00370BA4">
            <w:pPr>
              <w:jc w:val="center"/>
              <w:rPr>
                <w:rFonts w:ascii="Arial" w:hAnsi="Arial" w:cs="Arial"/>
                <w:lang/>
              </w:rPr>
            </w:pPr>
            <w:r>
              <w:rPr>
                <w:rFonts w:ascii="Arial" w:hAnsi="Arial" w:cs="Arial"/>
                <w:lang/>
              </w:rPr>
              <w:t>1.000.000*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Default="007951CB" w:rsidP="00370BA4">
            <w:pPr>
              <w:jc w:val="center"/>
              <w:rPr>
                <w:rFonts w:ascii="Arial" w:hAnsi="Arial" w:cs="Arial"/>
                <w:lang/>
              </w:rPr>
            </w:pPr>
            <w:r>
              <w:rPr>
                <w:rFonts w:ascii="Arial" w:hAnsi="Arial" w:cs="Arial"/>
                <w:lang/>
              </w:rPr>
              <w:t>220.000</w:t>
            </w:r>
          </w:p>
          <w:p w:rsidR="007951CB" w:rsidRPr="007951CB" w:rsidRDefault="007951CB" w:rsidP="00370BA4">
            <w:pPr>
              <w:jc w:val="center"/>
              <w:rPr>
                <w:rFonts w:ascii="Arial" w:hAnsi="Arial" w:cs="Arial"/>
                <w:lang/>
              </w:rPr>
            </w:pPr>
            <w:r>
              <w:rPr>
                <w:rFonts w:ascii="Arial" w:hAnsi="Arial" w:cs="Arial"/>
                <w:lang/>
              </w:rPr>
              <w:t>1.000.000*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7951CB" w:rsidRDefault="007951CB" w:rsidP="00370BA4">
            <w:pPr>
              <w:jc w:val="center"/>
              <w:rPr>
                <w:rFonts w:ascii="Arial" w:hAnsi="Arial" w:cs="Arial"/>
                <w:lang/>
              </w:rPr>
            </w:pPr>
            <w:r>
              <w:rPr>
                <w:rFonts w:ascii="Arial" w:hAnsi="Arial" w:cs="Arial"/>
                <w:lang/>
              </w:rPr>
              <w:t>/</w:t>
            </w:r>
          </w:p>
        </w:tc>
      </w:tr>
      <w:tr w:rsidR="00370BA4" w:rsidRPr="009F2563"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85"/>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86"/>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Укупна процењена финанс</w:t>
            </w:r>
            <w:r w:rsidR="00894DCB">
              <w:rPr>
                <w:rFonts w:ascii="Arial" w:hAnsi="Arial" w:cs="Arial"/>
                <w:sz w:val="20"/>
                <w:szCs w:val="20"/>
              </w:rPr>
              <w:t>ијска средства по изворима у</w:t>
            </w:r>
            <w:r w:rsidRPr="009F2563">
              <w:rPr>
                <w:rFonts w:ascii="Arial" w:hAnsi="Arial" w:cs="Arial"/>
                <w:sz w:val="20"/>
                <w:szCs w:val="20"/>
              </w:rPr>
              <w:t xml:space="preserve"> дин.</w:t>
            </w:r>
            <w:r w:rsidRPr="009F2563">
              <w:rPr>
                <w:rFonts w:ascii="Arial" w:hAnsi="Arial" w:cs="Arial"/>
                <w:sz w:val="20"/>
                <w:szCs w:val="20"/>
                <w:vertAlign w:val="superscript"/>
              </w:rPr>
              <w:footnoteReference w:id="87"/>
            </w:r>
          </w:p>
        </w:tc>
      </w:tr>
      <w:tr w:rsidR="00370BA4" w:rsidRPr="009F2563"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894DCB" w:rsidRPr="00D03014" w:rsidTr="00EF6F4E">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894DCB" w:rsidRPr="00D03014" w:rsidRDefault="00894DCB" w:rsidP="00894DCB">
            <w:r w:rsidRPr="00D03014">
              <w:t>4.1.1.</w:t>
            </w:r>
          </w:p>
          <w:p w:rsidR="00894DCB" w:rsidRPr="00D03014" w:rsidRDefault="00894DCB" w:rsidP="00894DCB">
            <w:r w:rsidRPr="00D03014">
              <w:t xml:space="preserve">Креирање мобилне </w:t>
            </w:r>
            <w:r w:rsidRPr="00D03014">
              <w:lastRenderedPageBreak/>
              <w:t>апликације културно-туристичке понуде Сомбора</w:t>
            </w:r>
          </w:p>
        </w:tc>
        <w:tc>
          <w:tcPr>
            <w:tcW w:w="1301" w:type="dxa"/>
            <w:gridSpan w:val="5"/>
            <w:vAlign w:val="center"/>
          </w:tcPr>
          <w:p w:rsidR="00894DCB" w:rsidRPr="00D03014" w:rsidRDefault="00894DCB" w:rsidP="00894DCB">
            <w:pPr>
              <w:rPr>
                <w:color w:val="00B050"/>
              </w:rPr>
            </w:pPr>
            <w:r w:rsidRPr="00D03014">
              <w:lastRenderedPageBreak/>
              <w:t>ГУ Сомбор</w:t>
            </w:r>
          </w:p>
        </w:tc>
        <w:tc>
          <w:tcPr>
            <w:tcW w:w="1487" w:type="dxa"/>
            <w:gridSpan w:val="3"/>
            <w:vAlign w:val="center"/>
          </w:tcPr>
          <w:p w:rsidR="00894DCB" w:rsidRPr="00D03014" w:rsidRDefault="00894DCB" w:rsidP="00894DCB">
            <w:r w:rsidRPr="00D03014">
              <w:t xml:space="preserve">установе културе, </w:t>
            </w:r>
          </w:p>
          <w:p w:rsidR="00894DCB" w:rsidRPr="00D03014" w:rsidRDefault="00894DCB" w:rsidP="00894DCB">
            <w:r w:rsidRPr="00D03014">
              <w:t xml:space="preserve">ТО Сомбор, </w:t>
            </w:r>
            <w:r w:rsidRPr="00D03014">
              <w:lastRenderedPageBreak/>
              <w:t>ОЦД</w:t>
            </w:r>
          </w:p>
        </w:tc>
        <w:tc>
          <w:tcPr>
            <w:tcW w:w="1284" w:type="dxa"/>
            <w:gridSpan w:val="3"/>
            <w:vAlign w:val="center"/>
          </w:tcPr>
          <w:p w:rsidR="00894DCB" w:rsidRPr="00D03014" w:rsidRDefault="00894DCB" w:rsidP="00894DCB">
            <w:pPr>
              <w:jc w:val="right"/>
            </w:pPr>
            <w:r>
              <w:lastRenderedPageBreak/>
              <w:t>2023</w:t>
            </w:r>
          </w:p>
        </w:tc>
        <w:tc>
          <w:tcPr>
            <w:tcW w:w="1039" w:type="dxa"/>
            <w:gridSpan w:val="4"/>
          </w:tcPr>
          <w:p w:rsidR="00894DCB" w:rsidRPr="00D03014" w:rsidRDefault="00894DCB" w:rsidP="00894DCB">
            <w:r w:rsidRPr="00D62AF1">
              <w:t>ГУ Сомбор</w:t>
            </w:r>
          </w:p>
        </w:tc>
        <w:tc>
          <w:tcPr>
            <w:tcW w:w="1269" w:type="dxa"/>
            <w:gridSpan w:val="3"/>
            <w:vAlign w:val="center"/>
          </w:tcPr>
          <w:p w:rsidR="00894DCB" w:rsidRPr="00D03014" w:rsidRDefault="00894DCB" w:rsidP="00894DCB"/>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6" w:type="dxa"/>
            <w:gridSpan w:val="2"/>
            <w:tcBorders>
              <w:right w:val="single" w:sz="4" w:space="0" w:color="auto"/>
            </w:tcBorders>
            <w:shd w:val="clear" w:color="auto" w:fill="auto"/>
            <w:vAlign w:val="center"/>
          </w:tcPr>
          <w:p w:rsidR="00894DCB" w:rsidRPr="007951CB" w:rsidRDefault="00894DCB" w:rsidP="00894DCB">
            <w:pPr>
              <w:jc w:val="right"/>
              <w:rPr>
                <w:lang/>
              </w:rPr>
            </w:pPr>
            <w:r>
              <w:rPr>
                <w:lang/>
              </w:rPr>
              <w:t>1.060.000</w:t>
            </w:r>
          </w:p>
        </w:tc>
        <w:tc>
          <w:tcPr>
            <w:tcW w:w="1145" w:type="dxa"/>
            <w:gridSpan w:val="4"/>
            <w:tcBorders>
              <w:left w:val="single" w:sz="4" w:space="0" w:color="auto"/>
              <w:right w:val="single" w:sz="4" w:space="0" w:color="auto"/>
            </w:tcBorders>
            <w:shd w:val="clear" w:color="auto" w:fill="auto"/>
            <w:vAlign w:val="center"/>
          </w:tcPr>
          <w:p w:rsidR="00894DCB" w:rsidRPr="007951CB" w:rsidRDefault="00894DCB" w:rsidP="00894DCB">
            <w:pPr>
              <w:jc w:val="right"/>
              <w:rPr>
                <w:lang/>
              </w:rPr>
            </w:pPr>
            <w:r>
              <w:rPr>
                <w:lang/>
              </w:rPr>
              <w:t>60.000</w:t>
            </w:r>
          </w:p>
        </w:tc>
        <w:tc>
          <w:tcPr>
            <w:tcW w:w="1146" w:type="dxa"/>
            <w:tcBorders>
              <w:left w:val="single" w:sz="4" w:space="0" w:color="auto"/>
              <w:right w:val="double" w:sz="4" w:space="0" w:color="auto"/>
            </w:tcBorders>
            <w:shd w:val="clear" w:color="auto" w:fill="auto"/>
            <w:vAlign w:val="center"/>
          </w:tcPr>
          <w:p w:rsidR="00894DCB" w:rsidRPr="007951CB" w:rsidRDefault="00894DCB" w:rsidP="00894DCB">
            <w:pPr>
              <w:jc w:val="right"/>
              <w:rPr>
                <w:lang/>
              </w:rPr>
            </w:pPr>
            <w:r>
              <w:rPr>
                <w:lang/>
              </w:rPr>
              <w:t>60.000</w:t>
            </w:r>
          </w:p>
        </w:tc>
      </w:tr>
      <w:tr w:rsidR="00894DCB" w:rsidRPr="00D03014" w:rsidTr="00894DCB">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894DCB" w:rsidRPr="00D03014" w:rsidRDefault="00894DCB" w:rsidP="00894DCB">
            <w:r w:rsidRPr="00D03014">
              <w:lastRenderedPageBreak/>
              <w:t>4.1.2.</w:t>
            </w:r>
          </w:p>
          <w:p w:rsidR="00894DCB" w:rsidRPr="00D03014" w:rsidRDefault="00894DCB" w:rsidP="00894DCB">
            <w:r w:rsidRPr="00D03014">
              <w:t>Дигитализација значајних културно-туристичких тачака у граду (3Д/холограмска/ виртуелна мапа)</w:t>
            </w:r>
          </w:p>
        </w:tc>
        <w:tc>
          <w:tcPr>
            <w:tcW w:w="1301" w:type="dxa"/>
            <w:gridSpan w:val="5"/>
            <w:vAlign w:val="center"/>
          </w:tcPr>
          <w:p w:rsidR="00894DCB" w:rsidRPr="00D03014" w:rsidRDefault="00894DCB" w:rsidP="00894DCB">
            <w:r w:rsidRPr="00D03014">
              <w:t xml:space="preserve"> ГУ Сомбор</w:t>
            </w:r>
          </w:p>
        </w:tc>
        <w:tc>
          <w:tcPr>
            <w:tcW w:w="1487" w:type="dxa"/>
            <w:gridSpan w:val="3"/>
            <w:vAlign w:val="center"/>
          </w:tcPr>
          <w:p w:rsidR="00894DCB" w:rsidRPr="00D03014" w:rsidRDefault="00894DCB" w:rsidP="00894DCB">
            <w:r w:rsidRPr="00D03014">
              <w:t xml:space="preserve">установе културе, </w:t>
            </w:r>
          </w:p>
          <w:p w:rsidR="00894DCB" w:rsidRPr="00D03014" w:rsidRDefault="00894DCB" w:rsidP="00894DCB">
            <w:r w:rsidRPr="00D03014">
              <w:t>ТО Сомбор, ОЦД</w:t>
            </w:r>
          </w:p>
        </w:tc>
        <w:tc>
          <w:tcPr>
            <w:tcW w:w="1284" w:type="dxa"/>
            <w:gridSpan w:val="3"/>
            <w:vAlign w:val="center"/>
          </w:tcPr>
          <w:p w:rsidR="00894DCB" w:rsidRPr="00D03014" w:rsidRDefault="00894DCB" w:rsidP="00894DCB">
            <w:pPr>
              <w:jc w:val="right"/>
            </w:pPr>
            <w:r>
              <w:t>2024</w:t>
            </w:r>
          </w:p>
        </w:tc>
        <w:tc>
          <w:tcPr>
            <w:tcW w:w="1039" w:type="dxa"/>
            <w:gridSpan w:val="4"/>
            <w:vAlign w:val="center"/>
          </w:tcPr>
          <w:p w:rsidR="00894DCB" w:rsidRPr="00D03014" w:rsidRDefault="00894DCB" w:rsidP="00894DCB">
            <w:r w:rsidRPr="00D62AF1">
              <w:t>ГУ Сомбор</w:t>
            </w:r>
          </w:p>
        </w:tc>
        <w:tc>
          <w:tcPr>
            <w:tcW w:w="1269" w:type="dxa"/>
            <w:gridSpan w:val="3"/>
            <w:vAlign w:val="center"/>
          </w:tcPr>
          <w:p w:rsidR="00894DCB" w:rsidRPr="00D03014" w:rsidRDefault="00894DCB" w:rsidP="00894DCB"/>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6" w:type="dxa"/>
            <w:gridSpan w:val="2"/>
            <w:tcBorders>
              <w:right w:val="single" w:sz="4" w:space="0" w:color="auto"/>
            </w:tcBorders>
            <w:shd w:val="clear" w:color="auto" w:fill="auto"/>
            <w:vAlign w:val="center"/>
          </w:tcPr>
          <w:p w:rsidR="00894DCB" w:rsidRPr="007951CB" w:rsidRDefault="00894DCB" w:rsidP="00894DCB">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894DCB" w:rsidRPr="007951CB" w:rsidRDefault="00894DCB" w:rsidP="00894DCB">
            <w:pPr>
              <w:jc w:val="right"/>
              <w:rPr>
                <w:lang/>
              </w:rPr>
            </w:pPr>
            <w:r>
              <w:rPr>
                <w:lang/>
              </w:rPr>
              <w:t>1.080.000</w:t>
            </w:r>
          </w:p>
        </w:tc>
        <w:tc>
          <w:tcPr>
            <w:tcW w:w="1146" w:type="dxa"/>
            <w:tcBorders>
              <w:left w:val="single" w:sz="4" w:space="0" w:color="auto"/>
              <w:right w:val="double" w:sz="4" w:space="0" w:color="auto"/>
            </w:tcBorders>
            <w:shd w:val="clear" w:color="auto" w:fill="auto"/>
            <w:vAlign w:val="center"/>
          </w:tcPr>
          <w:p w:rsidR="00894DCB" w:rsidRPr="007951CB" w:rsidRDefault="00894DCB" w:rsidP="00894DCB">
            <w:pPr>
              <w:jc w:val="right"/>
              <w:rPr>
                <w:lang/>
              </w:rPr>
            </w:pPr>
            <w:r>
              <w:rPr>
                <w:lang/>
              </w:rPr>
              <w:t>0</w:t>
            </w:r>
          </w:p>
        </w:tc>
      </w:tr>
      <w:tr w:rsidR="00894DCB" w:rsidRPr="00D03014" w:rsidTr="00894DCB">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894DCB" w:rsidRPr="00D03014" w:rsidRDefault="00894DCB" w:rsidP="00894DCB">
            <w:r w:rsidRPr="00D03014">
              <w:t>4.1.3.</w:t>
            </w:r>
          </w:p>
          <w:p w:rsidR="00894DCB" w:rsidRPr="00D03014" w:rsidRDefault="00894DCB" w:rsidP="00894DCB">
            <w:r w:rsidRPr="00D03014">
              <w:t xml:space="preserve">Унапређење интерактивне туристичке дигиталне табле </w:t>
            </w:r>
          </w:p>
        </w:tc>
        <w:tc>
          <w:tcPr>
            <w:tcW w:w="1301" w:type="dxa"/>
            <w:gridSpan w:val="5"/>
          </w:tcPr>
          <w:p w:rsidR="00894DCB" w:rsidRPr="00D03014" w:rsidRDefault="00894DCB" w:rsidP="00894DCB"/>
          <w:p w:rsidR="00894DCB" w:rsidRPr="00D03014" w:rsidRDefault="00894DCB" w:rsidP="00894DCB"/>
          <w:p w:rsidR="00894DCB" w:rsidRPr="00D03014" w:rsidRDefault="00894DCB" w:rsidP="00894DCB">
            <w:pPr>
              <w:rPr>
                <w:color w:val="00B050"/>
              </w:rPr>
            </w:pPr>
            <w:r w:rsidRPr="00D03014">
              <w:t xml:space="preserve"> ГУ Сомбор</w:t>
            </w:r>
          </w:p>
        </w:tc>
        <w:tc>
          <w:tcPr>
            <w:tcW w:w="1487" w:type="dxa"/>
            <w:gridSpan w:val="3"/>
          </w:tcPr>
          <w:p w:rsidR="00894DCB" w:rsidRPr="00D03014" w:rsidRDefault="00894DCB" w:rsidP="00894DCB">
            <w:r w:rsidRPr="00D03014">
              <w:t>установе културе, ТО Сомбор, ОЦД</w:t>
            </w:r>
          </w:p>
        </w:tc>
        <w:tc>
          <w:tcPr>
            <w:tcW w:w="1284" w:type="dxa"/>
            <w:gridSpan w:val="3"/>
            <w:vAlign w:val="center"/>
          </w:tcPr>
          <w:p w:rsidR="00894DCB" w:rsidRPr="00D03014" w:rsidRDefault="00894DCB" w:rsidP="00894DCB">
            <w:pPr>
              <w:jc w:val="right"/>
            </w:pPr>
            <w:r>
              <w:t xml:space="preserve"> 2022</w:t>
            </w:r>
          </w:p>
        </w:tc>
        <w:tc>
          <w:tcPr>
            <w:tcW w:w="1039" w:type="dxa"/>
            <w:gridSpan w:val="4"/>
            <w:vAlign w:val="center"/>
          </w:tcPr>
          <w:p w:rsidR="00894DCB" w:rsidRPr="00D03014" w:rsidRDefault="00894DCB" w:rsidP="00894DCB">
            <w:r w:rsidRPr="00D62AF1">
              <w:t>ГУ Сомбор</w:t>
            </w:r>
          </w:p>
        </w:tc>
        <w:tc>
          <w:tcPr>
            <w:tcW w:w="1269" w:type="dxa"/>
            <w:gridSpan w:val="3"/>
            <w:vAlign w:val="center"/>
          </w:tcPr>
          <w:p w:rsidR="00894DCB" w:rsidRPr="00D03014" w:rsidRDefault="00894DCB" w:rsidP="00894DCB"/>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6" w:type="dxa"/>
            <w:gridSpan w:val="2"/>
            <w:tcBorders>
              <w:right w:val="single" w:sz="4" w:space="0" w:color="auto"/>
            </w:tcBorders>
            <w:shd w:val="clear" w:color="auto" w:fill="auto"/>
            <w:vAlign w:val="center"/>
          </w:tcPr>
          <w:p w:rsidR="00894DCB" w:rsidRPr="007951CB" w:rsidRDefault="00894DCB" w:rsidP="00894DCB">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894DCB" w:rsidRPr="007951CB" w:rsidRDefault="00894DCB" w:rsidP="00894DCB">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894DCB" w:rsidRPr="007951CB" w:rsidRDefault="00894DCB" w:rsidP="00894DCB">
            <w:pPr>
              <w:jc w:val="right"/>
              <w:rPr>
                <w:lang/>
              </w:rPr>
            </w:pPr>
            <w:r>
              <w:rPr>
                <w:lang/>
              </w:rPr>
              <w:t>0</w:t>
            </w:r>
          </w:p>
        </w:tc>
      </w:tr>
      <w:tr w:rsidR="00894DCB" w:rsidRPr="00D03014" w:rsidTr="00894DCB">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894DCB" w:rsidRPr="00D03014" w:rsidRDefault="00894DCB" w:rsidP="00894DCB">
            <w:r w:rsidRPr="00D03014">
              <w:t>4.1.4.</w:t>
            </w:r>
          </w:p>
          <w:p w:rsidR="00894DCB" w:rsidRPr="00D03014" w:rsidRDefault="00894DCB" w:rsidP="00894DCB">
            <w:r w:rsidRPr="00D03014">
              <w:t>Успостављање јединственог система онлајн продаје улазница (тикет сервиса) за културно-туристичка дешавања</w:t>
            </w:r>
          </w:p>
        </w:tc>
        <w:tc>
          <w:tcPr>
            <w:tcW w:w="1301" w:type="dxa"/>
            <w:gridSpan w:val="5"/>
            <w:vAlign w:val="center"/>
          </w:tcPr>
          <w:p w:rsidR="00894DCB" w:rsidRPr="00D03014" w:rsidRDefault="00894DCB" w:rsidP="00894DCB">
            <w:r w:rsidRPr="00D03014">
              <w:t>ГУ Сомбор</w:t>
            </w:r>
          </w:p>
        </w:tc>
        <w:tc>
          <w:tcPr>
            <w:tcW w:w="1487" w:type="dxa"/>
            <w:gridSpan w:val="3"/>
            <w:vAlign w:val="center"/>
          </w:tcPr>
          <w:p w:rsidR="00894DCB" w:rsidRPr="00D03014" w:rsidRDefault="00894DCB" w:rsidP="00894DCB">
            <w:r w:rsidRPr="00D03014">
              <w:t>установе културе, ТО Сомбор</w:t>
            </w:r>
          </w:p>
        </w:tc>
        <w:tc>
          <w:tcPr>
            <w:tcW w:w="1284" w:type="dxa"/>
            <w:gridSpan w:val="3"/>
            <w:vAlign w:val="center"/>
          </w:tcPr>
          <w:p w:rsidR="00894DCB" w:rsidRPr="00D03014" w:rsidRDefault="00894DCB" w:rsidP="00894DCB">
            <w:pPr>
              <w:jc w:val="right"/>
            </w:pPr>
            <w:r>
              <w:t>2025</w:t>
            </w:r>
          </w:p>
        </w:tc>
        <w:tc>
          <w:tcPr>
            <w:tcW w:w="1039" w:type="dxa"/>
            <w:gridSpan w:val="4"/>
            <w:vAlign w:val="center"/>
          </w:tcPr>
          <w:p w:rsidR="00894DCB" w:rsidRPr="00E22DAD" w:rsidRDefault="00894DCB" w:rsidP="00894DCB">
            <w:pPr>
              <w:rPr>
                <w:strike/>
                <w:highlight w:val="yellow"/>
              </w:rPr>
            </w:pPr>
            <w:r w:rsidRPr="00D62AF1">
              <w:t>ГУ Сомбор</w:t>
            </w:r>
          </w:p>
        </w:tc>
        <w:tc>
          <w:tcPr>
            <w:tcW w:w="1269" w:type="dxa"/>
            <w:gridSpan w:val="3"/>
            <w:vAlign w:val="center"/>
          </w:tcPr>
          <w:p w:rsidR="00894DCB" w:rsidRPr="00E22DAD" w:rsidRDefault="00894DCB" w:rsidP="00894DCB">
            <w:pPr>
              <w:rPr>
                <w:strike/>
                <w:highlight w:val="yellow"/>
              </w:rPr>
            </w:pPr>
          </w:p>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5" w:type="dxa"/>
            <w:gridSpan w:val="3"/>
            <w:shd w:val="clear" w:color="auto" w:fill="auto"/>
            <w:vAlign w:val="center"/>
          </w:tcPr>
          <w:p w:rsidR="00894DCB" w:rsidRPr="007951CB" w:rsidRDefault="00894DCB" w:rsidP="00894DCB">
            <w:pPr>
              <w:jc w:val="right"/>
              <w:rPr>
                <w:lang/>
              </w:rPr>
            </w:pPr>
            <w:r>
              <w:rPr>
                <w:lang/>
              </w:rPr>
              <w:t>0</w:t>
            </w:r>
          </w:p>
        </w:tc>
        <w:tc>
          <w:tcPr>
            <w:tcW w:w="1146" w:type="dxa"/>
            <w:gridSpan w:val="2"/>
            <w:tcBorders>
              <w:right w:val="single" w:sz="4" w:space="0" w:color="auto"/>
            </w:tcBorders>
            <w:shd w:val="clear" w:color="auto" w:fill="auto"/>
            <w:vAlign w:val="center"/>
          </w:tcPr>
          <w:p w:rsidR="00894DCB" w:rsidRPr="007951CB" w:rsidRDefault="00894DCB" w:rsidP="00894DCB">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894DCB" w:rsidRDefault="00894DCB" w:rsidP="00894DCB">
            <w:pPr>
              <w:jc w:val="right"/>
              <w:rPr>
                <w:lang/>
              </w:rPr>
            </w:pPr>
            <w:r>
              <w:rPr>
                <w:lang/>
              </w:rPr>
              <w:t>1.220.000</w:t>
            </w:r>
          </w:p>
          <w:p w:rsidR="00894DCB" w:rsidRPr="007951CB" w:rsidRDefault="00894DCB" w:rsidP="00894DCB">
            <w:pPr>
              <w:jc w:val="right"/>
              <w:rPr>
                <w:lang/>
              </w:rPr>
            </w:pPr>
            <w:r>
              <w:rPr>
                <w:lang/>
              </w:rPr>
              <w:t>1.000.000*</w:t>
            </w:r>
          </w:p>
        </w:tc>
        <w:tc>
          <w:tcPr>
            <w:tcW w:w="1146" w:type="dxa"/>
            <w:tcBorders>
              <w:left w:val="single" w:sz="4" w:space="0" w:color="auto"/>
              <w:right w:val="double" w:sz="4" w:space="0" w:color="auto"/>
            </w:tcBorders>
            <w:shd w:val="clear" w:color="auto" w:fill="auto"/>
            <w:vAlign w:val="center"/>
          </w:tcPr>
          <w:p w:rsidR="00894DCB" w:rsidRDefault="00894DCB" w:rsidP="00894DCB">
            <w:pPr>
              <w:jc w:val="right"/>
              <w:rPr>
                <w:lang/>
              </w:rPr>
            </w:pPr>
            <w:r>
              <w:rPr>
                <w:lang/>
              </w:rPr>
              <w:t>100.000</w:t>
            </w:r>
          </w:p>
          <w:p w:rsidR="00894DCB" w:rsidRPr="007951CB" w:rsidRDefault="00894DCB" w:rsidP="00894DCB">
            <w:pPr>
              <w:jc w:val="right"/>
              <w:rPr>
                <w:lang/>
              </w:rPr>
            </w:pPr>
            <w:r>
              <w:rPr>
                <w:lang/>
              </w:rPr>
              <w:t>1.000.000*</w:t>
            </w:r>
          </w:p>
        </w:tc>
      </w:tr>
      <w:tr w:rsidR="00370BA4"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370BA4" w:rsidRPr="00D03014" w:rsidRDefault="00370BA4" w:rsidP="00370BA4">
            <w:r w:rsidRPr="00D03014">
              <w:t xml:space="preserve">4.1.5. </w:t>
            </w:r>
          </w:p>
          <w:p w:rsidR="00370BA4" w:rsidRPr="00D03014" w:rsidRDefault="00370BA4" w:rsidP="00370BA4">
            <w:r w:rsidRPr="00D03014">
              <w:t xml:space="preserve">Развој виртуелног музеја и виртуелне поставке </w:t>
            </w:r>
          </w:p>
        </w:tc>
        <w:tc>
          <w:tcPr>
            <w:tcW w:w="1301" w:type="dxa"/>
            <w:gridSpan w:val="5"/>
            <w:vAlign w:val="center"/>
          </w:tcPr>
          <w:p w:rsidR="00370BA4" w:rsidRPr="00D03014" w:rsidRDefault="00370BA4" w:rsidP="00370BA4">
            <w:r w:rsidRPr="00D03014">
              <w:t>Градски музеј</w:t>
            </w:r>
          </w:p>
        </w:tc>
        <w:tc>
          <w:tcPr>
            <w:tcW w:w="1487" w:type="dxa"/>
            <w:gridSpan w:val="3"/>
            <w:vAlign w:val="center"/>
          </w:tcPr>
          <w:p w:rsidR="00370BA4" w:rsidRPr="00D03014" w:rsidRDefault="00370BA4" w:rsidP="00370BA4">
            <w:r w:rsidRPr="00D03014">
              <w:t>ГУ Сомбор</w:t>
            </w:r>
          </w:p>
        </w:tc>
        <w:tc>
          <w:tcPr>
            <w:tcW w:w="1284" w:type="dxa"/>
            <w:gridSpan w:val="3"/>
            <w:vAlign w:val="center"/>
          </w:tcPr>
          <w:p w:rsidR="00370BA4" w:rsidRPr="00894DCB" w:rsidRDefault="00370BA4" w:rsidP="00894DCB">
            <w:pPr>
              <w:jc w:val="right"/>
              <w:rPr>
                <w:lang/>
              </w:rPr>
            </w:pPr>
            <w:r>
              <w:t>202</w:t>
            </w:r>
            <w:r w:rsidR="00894DCB">
              <w:rPr>
                <w:lang/>
              </w:rPr>
              <w:t>5</w:t>
            </w:r>
          </w:p>
        </w:tc>
        <w:tc>
          <w:tcPr>
            <w:tcW w:w="1039" w:type="dxa"/>
            <w:gridSpan w:val="4"/>
            <w:vAlign w:val="center"/>
          </w:tcPr>
          <w:p w:rsidR="00370BA4" w:rsidRPr="00E22DAD" w:rsidRDefault="00894DCB" w:rsidP="00370BA4">
            <w:pPr>
              <w:rPr>
                <w:strike/>
                <w:highlight w:val="yellow"/>
              </w:rPr>
            </w:pPr>
            <w:r w:rsidRPr="00D62AF1">
              <w:t>ГУ Сомбор</w:t>
            </w:r>
          </w:p>
        </w:tc>
        <w:tc>
          <w:tcPr>
            <w:tcW w:w="1269" w:type="dxa"/>
            <w:gridSpan w:val="3"/>
            <w:vAlign w:val="center"/>
          </w:tcPr>
          <w:p w:rsidR="00370BA4" w:rsidRPr="00E22DAD" w:rsidRDefault="00370BA4" w:rsidP="00370BA4">
            <w:pPr>
              <w:rPr>
                <w:strike/>
                <w:highlight w:val="yellow"/>
              </w:rPr>
            </w:pPr>
          </w:p>
        </w:tc>
        <w:tc>
          <w:tcPr>
            <w:tcW w:w="1145" w:type="dxa"/>
            <w:gridSpan w:val="3"/>
            <w:shd w:val="clear" w:color="auto" w:fill="auto"/>
            <w:vAlign w:val="center"/>
          </w:tcPr>
          <w:p w:rsidR="00370BA4" w:rsidRPr="00894DCB" w:rsidRDefault="00894DCB" w:rsidP="007951CB">
            <w:pPr>
              <w:jc w:val="right"/>
              <w:rPr>
                <w:lang/>
              </w:rPr>
            </w:pPr>
            <w:r>
              <w:rPr>
                <w:lang/>
              </w:rPr>
              <w:t>0</w:t>
            </w:r>
          </w:p>
        </w:tc>
        <w:tc>
          <w:tcPr>
            <w:tcW w:w="1145" w:type="dxa"/>
            <w:gridSpan w:val="3"/>
            <w:shd w:val="clear" w:color="auto" w:fill="auto"/>
            <w:vAlign w:val="center"/>
          </w:tcPr>
          <w:p w:rsidR="00370BA4" w:rsidRPr="00894DCB" w:rsidRDefault="00894DCB" w:rsidP="007951CB">
            <w:pPr>
              <w:jc w:val="right"/>
              <w:rPr>
                <w:lang/>
              </w:rPr>
            </w:pPr>
            <w:r>
              <w:rPr>
                <w:lang/>
              </w:rPr>
              <w:t>0</w:t>
            </w:r>
          </w:p>
        </w:tc>
        <w:tc>
          <w:tcPr>
            <w:tcW w:w="1146" w:type="dxa"/>
            <w:gridSpan w:val="2"/>
            <w:tcBorders>
              <w:right w:val="single" w:sz="4" w:space="0" w:color="auto"/>
            </w:tcBorders>
            <w:shd w:val="clear" w:color="auto" w:fill="auto"/>
            <w:vAlign w:val="center"/>
          </w:tcPr>
          <w:p w:rsidR="00370BA4" w:rsidRPr="00894DCB" w:rsidRDefault="00894DCB" w:rsidP="007951CB">
            <w:pPr>
              <w:jc w:val="right"/>
              <w:rPr>
                <w:lang/>
              </w:rPr>
            </w:pPr>
            <w:r>
              <w:rPr>
                <w:lang/>
              </w:rPr>
              <w:t>1.060.000</w:t>
            </w:r>
          </w:p>
        </w:tc>
        <w:tc>
          <w:tcPr>
            <w:tcW w:w="1145" w:type="dxa"/>
            <w:gridSpan w:val="4"/>
            <w:tcBorders>
              <w:left w:val="single" w:sz="4" w:space="0" w:color="auto"/>
              <w:right w:val="single" w:sz="4" w:space="0" w:color="auto"/>
            </w:tcBorders>
            <w:shd w:val="clear" w:color="auto" w:fill="auto"/>
            <w:vAlign w:val="center"/>
          </w:tcPr>
          <w:p w:rsidR="00370BA4" w:rsidRPr="00894DCB" w:rsidRDefault="00894DCB" w:rsidP="007951CB">
            <w:pPr>
              <w:jc w:val="right"/>
              <w:rPr>
                <w:lang/>
              </w:rPr>
            </w:pPr>
            <w:r>
              <w:rPr>
                <w:lang/>
              </w:rPr>
              <w:t>60.000</w:t>
            </w:r>
          </w:p>
        </w:tc>
        <w:tc>
          <w:tcPr>
            <w:tcW w:w="1146" w:type="dxa"/>
            <w:tcBorders>
              <w:left w:val="single" w:sz="4" w:space="0" w:color="auto"/>
              <w:right w:val="double" w:sz="4" w:space="0" w:color="auto"/>
            </w:tcBorders>
            <w:shd w:val="clear" w:color="auto" w:fill="auto"/>
            <w:vAlign w:val="center"/>
          </w:tcPr>
          <w:p w:rsidR="00370BA4" w:rsidRPr="00894DCB" w:rsidRDefault="00894DCB" w:rsidP="007951CB">
            <w:pPr>
              <w:jc w:val="right"/>
              <w:rPr>
                <w:lang/>
              </w:rPr>
            </w:pPr>
            <w:r>
              <w:rPr>
                <w:lang/>
              </w:rPr>
              <w:t>60.000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b/>
                <w:sz w:val="24"/>
                <w:szCs w:val="24"/>
              </w:rPr>
            </w:pPr>
            <w:r w:rsidRPr="00D03014">
              <w:rPr>
                <w:rFonts w:ascii="Arial" w:hAnsi="Arial" w:cs="Arial"/>
                <w:b/>
                <w:sz w:val="24"/>
                <w:szCs w:val="24"/>
              </w:rPr>
              <w:t xml:space="preserve">Мера 4.2: Развој система медијске најаве и критике </w:t>
            </w:r>
          </w:p>
        </w:tc>
      </w:tr>
      <w:tr w:rsidR="00370BA4" w:rsidRPr="009615FA"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eastAsia="Times New Roman" w:hAnsi="Arial" w:cs="Arial"/>
                <w:color w:val="222222"/>
                <w:lang/>
              </w:rPr>
            </w:pPr>
            <w:r w:rsidRPr="00D03014">
              <w:rPr>
                <w:rFonts w:ascii="Arial" w:eastAsia="Times New Roman" w:hAnsi="Arial" w:cs="Arial"/>
                <w:color w:val="222222"/>
              </w:rPr>
              <w:lastRenderedPageBreak/>
              <w:t>Институција одговорна за праћење и контролу реализације:</w:t>
            </w:r>
            <w:r>
              <w:rPr>
                <w:rFonts w:ascii="Arial" w:eastAsia="Times New Roman" w:hAnsi="Arial" w:cs="Arial"/>
                <w:color w:val="222222"/>
                <w:lang/>
              </w:rPr>
              <w:t xml:space="preserve"> </w:t>
            </w:r>
            <w:r w:rsidRPr="009615FA">
              <w:rPr>
                <w:rFonts w:ascii="Arial" w:eastAsia="Times New Roman" w:hAnsi="Arial" w:cs="Arial"/>
                <w:color w:val="222222"/>
                <w:lang/>
              </w:rPr>
              <w:t>Градска управа Сомбор</w:t>
            </w:r>
            <w:r>
              <w:rPr>
                <w:rFonts w:ascii="Arial" w:eastAsia="Times New Roman" w:hAnsi="Arial" w:cs="Arial"/>
                <w:color w:val="222222"/>
                <w:lang/>
              </w:rPr>
              <w:t>, Савет за културу</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2021-2022</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rPr>
            </w:pPr>
            <w:r w:rsidRPr="00D03014">
              <w:rPr>
                <w:rFonts w:ascii="Arial" w:hAnsi="Arial" w:cs="Arial"/>
              </w:rPr>
              <w:t>Тип мере:</w:t>
            </w:r>
            <w:r w:rsidR="00894DCB" w:rsidRPr="007951CB">
              <w:rPr>
                <w:rFonts w:ascii="Arial" w:hAnsi="Arial" w:cs="Arial"/>
              </w:rPr>
              <w:t xml:space="preserve"> информативно-едукативна</w:t>
            </w:r>
          </w:p>
        </w:tc>
      </w:tr>
      <w:tr w:rsidR="00D2040D"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D9D9D9" w:themeFill="background1" w:themeFillShade="D9"/>
            <w:vAlign w:val="center"/>
          </w:tcPr>
          <w:p w:rsidR="00D2040D" w:rsidRPr="00D03014" w:rsidRDefault="00D2040D" w:rsidP="00D2040D">
            <w:pPr>
              <w:rPr>
                <w:rFonts w:ascii="Arial" w:hAnsi="Arial" w:cs="Arial"/>
              </w:rPr>
            </w:pPr>
            <w:r w:rsidRPr="00D03014">
              <w:rPr>
                <w:rFonts w:ascii="Arial" w:hAnsi="Arial" w:cs="Arial"/>
              </w:rPr>
              <w:t>Показатељ(и) на нивоу посебног циља (показатељ исхода)</w:t>
            </w:r>
          </w:p>
        </w:tc>
        <w:tc>
          <w:tcPr>
            <w:tcW w:w="1463" w:type="dxa"/>
            <w:gridSpan w:val="5"/>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Јединица мере</w:t>
            </w:r>
          </w:p>
          <w:p w:rsidR="00D2040D" w:rsidRPr="00D03014" w:rsidRDefault="00D2040D" w:rsidP="00D2040D">
            <w:pPr>
              <w:jc w:val="center"/>
              <w:rPr>
                <w:rFonts w:ascii="Arial" w:hAnsi="Arial" w:cs="Arial"/>
              </w:rPr>
            </w:pPr>
          </w:p>
        </w:tc>
        <w:tc>
          <w:tcPr>
            <w:tcW w:w="1460"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Pr>
                <w:rFonts w:ascii="Arial" w:hAnsi="Arial" w:cs="Arial"/>
              </w:rPr>
              <w:t>Циљана вредност у години т</w:t>
            </w:r>
          </w:p>
        </w:tc>
        <w:tc>
          <w:tcPr>
            <w:tcW w:w="1222"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т+1</w:t>
            </w:r>
          </w:p>
        </w:tc>
        <w:tc>
          <w:tcPr>
            <w:tcW w:w="1221" w:type="dxa"/>
            <w:gridSpan w:val="2"/>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т+2</w:t>
            </w:r>
          </w:p>
        </w:tc>
        <w:tc>
          <w:tcPr>
            <w:tcW w:w="1226"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години т+3</w:t>
            </w:r>
          </w:p>
        </w:tc>
        <w:tc>
          <w:tcPr>
            <w:tcW w:w="1223"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Циљана вредност у последњој години АП</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D03014" w:rsidRDefault="00370BA4" w:rsidP="00370BA4">
            <w:pPr>
              <w:shd w:val="clear" w:color="auto" w:fill="FFFFFF" w:themeFill="background1"/>
              <w:rPr>
                <w:rFonts w:ascii="Arial" w:hAnsi="Arial" w:cs="Arial"/>
              </w:rPr>
            </w:pPr>
            <w:r>
              <w:rPr>
                <w:rFonts w:ascii="Arial" w:hAnsi="Arial" w:cs="Arial"/>
              </w:rPr>
              <w:t>Отварен канал</w:t>
            </w:r>
            <w:r w:rsidRPr="00E466C0">
              <w:rPr>
                <w:rFonts w:ascii="Arial" w:hAnsi="Arial" w:cs="Arial"/>
              </w:rPr>
              <w:t xml:space="preserve"> културе и критике</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t>0-не</w:t>
            </w:r>
          </w:p>
          <w:p w:rsidR="00370BA4" w:rsidRPr="00D03014" w:rsidRDefault="00370BA4" w:rsidP="00370BA4">
            <w:pPr>
              <w:shd w:val="clear" w:color="auto" w:fill="FFFFFF" w:themeFill="background1"/>
              <w:rPr>
                <w:rFonts w:ascii="Arial" w:hAnsi="Arial" w:cs="Arial"/>
              </w:rPr>
            </w:pPr>
            <w:r w:rsidRPr="00526753">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lang/>
              </w:rPr>
              <w:t>ГУ Сомбор, извештаји установа културе</w:t>
            </w:r>
            <w:r w:rsidRPr="00526753">
              <w:rPr>
                <w:rFonts w:ascii="Arial" w:hAnsi="Arial" w:cs="Arial"/>
                <w:lang/>
              </w:rPr>
              <w:t>,</w:t>
            </w:r>
            <w:r>
              <w:rPr>
                <w:rFonts w:ascii="Arial" w:hAnsi="Arial" w:cs="Arial"/>
                <w:lang/>
              </w:rPr>
              <w:t xml:space="preserve"> медији</w:t>
            </w:r>
          </w:p>
        </w:tc>
        <w:tc>
          <w:tcPr>
            <w:tcW w:w="1459"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1</w:t>
            </w:r>
          </w:p>
        </w:tc>
      </w:tr>
      <w:tr w:rsidR="00370BA4" w:rsidRPr="00D03014" w:rsidTr="001858E0">
        <w:trPr>
          <w:trHeight w:val="398"/>
        </w:trPr>
        <w:tc>
          <w:tcPr>
            <w:tcW w:w="2531" w:type="dxa"/>
            <w:gridSpan w:val="5"/>
            <w:vMerge w:val="restart"/>
            <w:tcBorders>
              <w:top w:val="single" w:sz="4" w:space="0" w:color="auto"/>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88"/>
            </w:r>
          </w:p>
        </w:tc>
        <w:tc>
          <w:tcPr>
            <w:tcW w:w="2145" w:type="dxa"/>
            <w:gridSpan w:val="5"/>
            <w:vMerge w:val="restart"/>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89"/>
            </w:r>
          </w:p>
        </w:tc>
        <w:tc>
          <w:tcPr>
            <w:tcW w:w="9156" w:type="dxa"/>
            <w:gridSpan w:val="22"/>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894DCB">
            <w:pPr>
              <w:jc w:val="center"/>
              <w:rPr>
                <w:rFonts w:ascii="Arial" w:hAnsi="Arial" w:cs="Arial"/>
              </w:rPr>
            </w:pPr>
            <w:r w:rsidRPr="00D03014">
              <w:rPr>
                <w:rFonts w:ascii="Arial" w:hAnsi="Arial" w:cs="Arial"/>
              </w:rPr>
              <w:t xml:space="preserve"> Укупна процењена финансијска средства у дин.</w:t>
            </w:r>
          </w:p>
        </w:tc>
      </w:tr>
      <w:tr w:rsidR="00894DCB"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80.000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Default="00894DCB" w:rsidP="00370BA4">
            <w:pPr>
              <w:jc w:val="center"/>
              <w:rPr>
                <w:rFonts w:ascii="Arial" w:hAnsi="Arial" w:cs="Arial"/>
                <w:lang/>
              </w:rPr>
            </w:pPr>
            <w:r>
              <w:rPr>
                <w:rFonts w:ascii="Arial" w:hAnsi="Arial" w:cs="Arial"/>
                <w:lang/>
              </w:rPr>
              <w:t>120.000</w:t>
            </w:r>
          </w:p>
          <w:p w:rsidR="00894DCB" w:rsidRPr="00894DCB" w:rsidRDefault="00894DCB" w:rsidP="00370BA4">
            <w:pPr>
              <w:jc w:val="center"/>
              <w:rPr>
                <w:rFonts w:ascii="Arial" w:hAnsi="Arial" w:cs="Arial"/>
                <w:lang/>
              </w:rPr>
            </w:pPr>
            <w:r>
              <w:rPr>
                <w:rFonts w:ascii="Arial" w:hAnsi="Arial" w:cs="Arial"/>
                <w:lang/>
              </w:rPr>
              <w:t>180.000*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180.000*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180.000*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180.000*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r>
      <w:tr w:rsidR="00370BA4" w:rsidRPr="009F2563"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90"/>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91"/>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Укупна процењена финанс</w:t>
            </w:r>
            <w:r w:rsidR="00894DCB">
              <w:rPr>
                <w:rFonts w:ascii="Arial" w:hAnsi="Arial" w:cs="Arial"/>
                <w:sz w:val="20"/>
                <w:szCs w:val="20"/>
              </w:rPr>
              <w:t>ијска средства по изворима у</w:t>
            </w:r>
            <w:r w:rsidRPr="009F2563">
              <w:rPr>
                <w:rFonts w:ascii="Arial" w:hAnsi="Arial" w:cs="Arial"/>
                <w:sz w:val="20"/>
                <w:szCs w:val="20"/>
              </w:rPr>
              <w:t xml:space="preserve"> дин.</w:t>
            </w:r>
            <w:r w:rsidRPr="009F2563">
              <w:rPr>
                <w:rFonts w:ascii="Arial" w:hAnsi="Arial" w:cs="Arial"/>
                <w:sz w:val="20"/>
                <w:szCs w:val="20"/>
                <w:vertAlign w:val="superscript"/>
              </w:rPr>
              <w:footnoteReference w:id="92"/>
            </w:r>
          </w:p>
        </w:tc>
      </w:tr>
      <w:tr w:rsidR="00370BA4" w:rsidRPr="009F2563"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894DCB" w:rsidRPr="00D03014" w:rsidTr="00894DCB">
        <w:trPr>
          <w:trHeight w:val="386"/>
        </w:trPr>
        <w:tc>
          <w:tcPr>
            <w:tcW w:w="1725" w:type="dxa"/>
            <w:tcBorders>
              <w:top w:val="single" w:sz="4" w:space="0" w:color="auto"/>
              <w:left w:val="double" w:sz="4" w:space="0" w:color="auto"/>
              <w:bottom w:val="single" w:sz="4" w:space="0" w:color="auto"/>
              <w:right w:val="single" w:sz="4" w:space="0" w:color="auto"/>
            </w:tcBorders>
            <w:vAlign w:val="center"/>
          </w:tcPr>
          <w:p w:rsidR="00894DCB" w:rsidRPr="00E466C0" w:rsidRDefault="00894DCB" w:rsidP="00894DCB">
            <w:r w:rsidRPr="00E466C0">
              <w:t>4.2.1.</w:t>
            </w:r>
          </w:p>
          <w:p w:rsidR="00894DCB" w:rsidRPr="00E466C0" w:rsidRDefault="00894DCB" w:rsidP="00894DCB">
            <w:r w:rsidRPr="00E466C0">
              <w:t xml:space="preserve">Отварање канала културе и критике (интернет, друштвене мреже, вибер </w:t>
            </w:r>
            <w:r w:rsidRPr="00E466C0">
              <w:lastRenderedPageBreak/>
              <w:t>групе...)</w:t>
            </w:r>
          </w:p>
        </w:tc>
        <w:tc>
          <w:tcPr>
            <w:tcW w:w="1301" w:type="dxa"/>
            <w:gridSpan w:val="5"/>
            <w:vAlign w:val="center"/>
          </w:tcPr>
          <w:p w:rsidR="00894DCB" w:rsidRPr="00E466C0" w:rsidRDefault="00894DCB" w:rsidP="00894DCB">
            <w:r w:rsidRPr="00E466C0">
              <w:lastRenderedPageBreak/>
              <w:t>установе културе</w:t>
            </w:r>
          </w:p>
        </w:tc>
        <w:tc>
          <w:tcPr>
            <w:tcW w:w="1487" w:type="dxa"/>
            <w:gridSpan w:val="3"/>
            <w:vAlign w:val="center"/>
          </w:tcPr>
          <w:p w:rsidR="00894DCB" w:rsidRPr="00E466C0" w:rsidRDefault="00894DCB" w:rsidP="00894DCB">
            <w:r w:rsidRPr="00E466C0">
              <w:t xml:space="preserve">       ОЦД</w:t>
            </w:r>
          </w:p>
        </w:tc>
        <w:tc>
          <w:tcPr>
            <w:tcW w:w="1284" w:type="dxa"/>
            <w:gridSpan w:val="3"/>
            <w:vAlign w:val="center"/>
          </w:tcPr>
          <w:p w:rsidR="00894DCB" w:rsidRPr="00894DCB" w:rsidRDefault="00894DCB" w:rsidP="00894DCB">
            <w:pPr>
              <w:jc w:val="right"/>
              <w:rPr>
                <w:lang/>
              </w:rPr>
            </w:pPr>
            <w:r>
              <w:t>202</w:t>
            </w:r>
            <w:r>
              <w:rPr>
                <w:lang/>
              </w:rPr>
              <w:t>5</w:t>
            </w:r>
          </w:p>
        </w:tc>
        <w:tc>
          <w:tcPr>
            <w:tcW w:w="1039" w:type="dxa"/>
            <w:gridSpan w:val="4"/>
            <w:vAlign w:val="center"/>
          </w:tcPr>
          <w:p w:rsidR="00894DCB" w:rsidRPr="00894DCB" w:rsidRDefault="00894DCB" w:rsidP="00894DCB">
            <w:pPr>
              <w:rPr>
                <w:lang/>
              </w:rPr>
            </w:pPr>
            <w:r>
              <w:rPr>
                <w:lang/>
              </w:rPr>
              <w:t>ГУ Сомбор</w:t>
            </w:r>
          </w:p>
        </w:tc>
        <w:tc>
          <w:tcPr>
            <w:tcW w:w="1269" w:type="dxa"/>
            <w:gridSpan w:val="3"/>
            <w:vAlign w:val="center"/>
          </w:tcPr>
          <w:p w:rsidR="00894DCB" w:rsidRPr="00D03014" w:rsidRDefault="00894DCB" w:rsidP="00894DCB"/>
        </w:tc>
        <w:tc>
          <w:tcPr>
            <w:tcW w:w="1145" w:type="dxa"/>
            <w:gridSpan w:val="3"/>
            <w:shd w:val="clear" w:color="auto" w:fill="auto"/>
            <w:vAlign w:val="center"/>
          </w:tcPr>
          <w:p w:rsidR="00894DCB" w:rsidRPr="00894DCB" w:rsidRDefault="00894DCB" w:rsidP="00894DCB">
            <w:pPr>
              <w:jc w:val="right"/>
              <w:rPr>
                <w:lang/>
              </w:rPr>
            </w:pPr>
            <w:r>
              <w:rPr>
                <w:lang/>
              </w:rPr>
              <w:t>0</w:t>
            </w:r>
          </w:p>
        </w:tc>
        <w:tc>
          <w:tcPr>
            <w:tcW w:w="1145" w:type="dxa"/>
            <w:gridSpan w:val="3"/>
            <w:shd w:val="clear" w:color="auto" w:fill="auto"/>
            <w:vAlign w:val="center"/>
          </w:tcPr>
          <w:p w:rsidR="00894DCB" w:rsidRPr="00894DCB" w:rsidRDefault="00894DCB" w:rsidP="00894DCB">
            <w:pPr>
              <w:jc w:val="right"/>
              <w:rPr>
                <w:lang/>
              </w:rPr>
            </w:pPr>
            <w:r>
              <w:rPr>
                <w:lang/>
              </w:rPr>
              <w:t>180.000*</w:t>
            </w:r>
          </w:p>
        </w:tc>
        <w:tc>
          <w:tcPr>
            <w:tcW w:w="1146" w:type="dxa"/>
            <w:gridSpan w:val="2"/>
            <w:tcBorders>
              <w:right w:val="single" w:sz="4" w:space="0" w:color="auto"/>
            </w:tcBorders>
            <w:shd w:val="clear" w:color="auto" w:fill="auto"/>
            <w:vAlign w:val="center"/>
          </w:tcPr>
          <w:p w:rsidR="00894DCB" w:rsidRPr="00894DCB" w:rsidRDefault="00894DCB" w:rsidP="00894DCB">
            <w:pPr>
              <w:jc w:val="right"/>
              <w:rPr>
                <w:lang/>
              </w:rPr>
            </w:pPr>
            <w:r w:rsidRPr="007F5580">
              <w:rPr>
                <w:lang/>
              </w:rPr>
              <w:t>180.000*</w:t>
            </w:r>
          </w:p>
        </w:tc>
        <w:tc>
          <w:tcPr>
            <w:tcW w:w="1145" w:type="dxa"/>
            <w:gridSpan w:val="4"/>
            <w:tcBorders>
              <w:left w:val="single" w:sz="4" w:space="0" w:color="auto"/>
              <w:right w:val="single" w:sz="4" w:space="0" w:color="auto"/>
            </w:tcBorders>
            <w:shd w:val="clear" w:color="auto" w:fill="auto"/>
            <w:vAlign w:val="center"/>
          </w:tcPr>
          <w:p w:rsidR="00894DCB" w:rsidRPr="00894DCB" w:rsidRDefault="00894DCB" w:rsidP="00894DCB">
            <w:pPr>
              <w:jc w:val="right"/>
            </w:pPr>
            <w:r w:rsidRPr="007F5580">
              <w:rPr>
                <w:lang/>
              </w:rPr>
              <w:t>180.000*</w:t>
            </w:r>
          </w:p>
        </w:tc>
        <w:tc>
          <w:tcPr>
            <w:tcW w:w="1146" w:type="dxa"/>
            <w:tcBorders>
              <w:left w:val="single" w:sz="4" w:space="0" w:color="auto"/>
              <w:right w:val="double" w:sz="4" w:space="0" w:color="auto"/>
            </w:tcBorders>
            <w:shd w:val="clear" w:color="auto" w:fill="auto"/>
            <w:vAlign w:val="center"/>
          </w:tcPr>
          <w:p w:rsidR="00894DCB" w:rsidRPr="00894DCB" w:rsidRDefault="00894DCB" w:rsidP="00894DCB">
            <w:pPr>
              <w:jc w:val="right"/>
            </w:pPr>
            <w:r w:rsidRPr="007F5580">
              <w:rPr>
                <w:lang/>
              </w:rPr>
              <w:t>180.000*</w:t>
            </w:r>
          </w:p>
        </w:tc>
      </w:tr>
      <w:tr w:rsidR="00894DCB"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894DCB" w:rsidRPr="00C63232" w:rsidRDefault="00894DCB" w:rsidP="00894DCB">
            <w:pPr>
              <w:rPr>
                <w:highlight w:val="red"/>
              </w:rPr>
            </w:pPr>
            <w:r w:rsidRPr="00E466C0">
              <w:lastRenderedPageBreak/>
              <w:t>4.2.2. Сагледавање могућности и успостављање сарадње са локалним медијима у вези са покретањем емисије и других садржаја из културе</w:t>
            </w:r>
          </w:p>
        </w:tc>
        <w:tc>
          <w:tcPr>
            <w:tcW w:w="1301" w:type="dxa"/>
            <w:gridSpan w:val="5"/>
            <w:vAlign w:val="center"/>
          </w:tcPr>
          <w:p w:rsidR="00894DCB" w:rsidRPr="00D03014" w:rsidRDefault="00894DCB" w:rsidP="00894DCB">
            <w:pPr>
              <w:rPr>
                <w:color w:val="00B050"/>
              </w:rPr>
            </w:pPr>
            <w:r w:rsidRPr="00D03014">
              <w:t>ГУ Сомбор</w:t>
            </w:r>
          </w:p>
        </w:tc>
        <w:tc>
          <w:tcPr>
            <w:tcW w:w="1487" w:type="dxa"/>
            <w:gridSpan w:val="3"/>
            <w:vAlign w:val="center"/>
          </w:tcPr>
          <w:p w:rsidR="00894DCB" w:rsidRPr="00D03014" w:rsidRDefault="00894DCB" w:rsidP="00894DCB">
            <w:r w:rsidRPr="00D03014">
              <w:t>установе културе, медији, ОЦД</w:t>
            </w:r>
          </w:p>
        </w:tc>
        <w:tc>
          <w:tcPr>
            <w:tcW w:w="1284" w:type="dxa"/>
            <w:gridSpan w:val="3"/>
            <w:vAlign w:val="center"/>
          </w:tcPr>
          <w:p w:rsidR="00894DCB" w:rsidRPr="00D03014" w:rsidRDefault="00894DCB" w:rsidP="00894DCB">
            <w:pPr>
              <w:jc w:val="right"/>
            </w:pPr>
            <w:r>
              <w:t>2022</w:t>
            </w:r>
          </w:p>
        </w:tc>
        <w:tc>
          <w:tcPr>
            <w:tcW w:w="1039" w:type="dxa"/>
            <w:gridSpan w:val="4"/>
            <w:vAlign w:val="center"/>
          </w:tcPr>
          <w:p w:rsidR="00894DCB" w:rsidRPr="00D03014" w:rsidRDefault="00894DCB" w:rsidP="00894DCB">
            <w:r>
              <w:rPr>
                <w:lang/>
              </w:rPr>
              <w:t>ГУ Сомбор</w:t>
            </w:r>
          </w:p>
        </w:tc>
        <w:tc>
          <w:tcPr>
            <w:tcW w:w="1269" w:type="dxa"/>
            <w:gridSpan w:val="3"/>
            <w:vAlign w:val="center"/>
          </w:tcPr>
          <w:p w:rsidR="00894DCB" w:rsidRPr="00D03014" w:rsidRDefault="00894DCB" w:rsidP="00894DCB"/>
        </w:tc>
        <w:tc>
          <w:tcPr>
            <w:tcW w:w="1145" w:type="dxa"/>
            <w:gridSpan w:val="3"/>
            <w:shd w:val="clear" w:color="auto" w:fill="auto"/>
            <w:vAlign w:val="center"/>
          </w:tcPr>
          <w:p w:rsidR="00894DCB" w:rsidRPr="00894DCB" w:rsidRDefault="00894DCB" w:rsidP="00894DCB">
            <w:pPr>
              <w:jc w:val="right"/>
              <w:rPr>
                <w:lang/>
              </w:rPr>
            </w:pPr>
            <w:r>
              <w:rPr>
                <w:lang/>
              </w:rPr>
              <w:t>0</w:t>
            </w:r>
          </w:p>
        </w:tc>
        <w:tc>
          <w:tcPr>
            <w:tcW w:w="1145" w:type="dxa"/>
            <w:gridSpan w:val="3"/>
            <w:shd w:val="clear" w:color="auto" w:fill="auto"/>
            <w:vAlign w:val="center"/>
          </w:tcPr>
          <w:p w:rsidR="00894DCB" w:rsidRPr="00894DCB" w:rsidRDefault="00894DCB" w:rsidP="00894DCB">
            <w:pPr>
              <w:jc w:val="right"/>
              <w:rPr>
                <w:lang/>
              </w:rPr>
            </w:pPr>
            <w:r>
              <w:rPr>
                <w:lang/>
              </w:rPr>
              <w:t>0</w:t>
            </w:r>
          </w:p>
        </w:tc>
        <w:tc>
          <w:tcPr>
            <w:tcW w:w="1146" w:type="dxa"/>
            <w:gridSpan w:val="2"/>
            <w:tcBorders>
              <w:right w:val="single" w:sz="4" w:space="0" w:color="auto"/>
            </w:tcBorders>
            <w:shd w:val="clear" w:color="auto" w:fill="auto"/>
            <w:vAlign w:val="center"/>
          </w:tcPr>
          <w:p w:rsidR="00894DCB" w:rsidRPr="00894DCB" w:rsidRDefault="00894DCB" w:rsidP="00894DCB">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894DCB" w:rsidRPr="00894DCB" w:rsidRDefault="00894DCB" w:rsidP="00894DCB">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894DCB" w:rsidRPr="00894DCB" w:rsidRDefault="00894DCB" w:rsidP="00894DCB">
            <w:pPr>
              <w:jc w:val="right"/>
              <w:rPr>
                <w:lang/>
              </w:rPr>
            </w:pPr>
            <w:r>
              <w:rPr>
                <w:lang/>
              </w:rPr>
              <w:t>0</w:t>
            </w:r>
          </w:p>
        </w:tc>
      </w:tr>
      <w:tr w:rsidR="00894DCB"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894DCB" w:rsidRDefault="00894DCB" w:rsidP="00894DCB">
            <w:r w:rsidRPr="00E466C0">
              <w:t>4.2.3.</w:t>
            </w:r>
          </w:p>
          <w:p w:rsidR="00894DCB" w:rsidRPr="00C63232" w:rsidRDefault="00894DCB" w:rsidP="00894DCB">
            <w:pPr>
              <w:rPr>
                <w:highlight w:val="red"/>
              </w:rPr>
            </w:pPr>
            <w:r w:rsidRPr="00E466C0">
              <w:t>Увођење редовног прикупљања анкета после културних програма као форме критичког осврта публике, који се може графички и текстуално комуницирати у јавности</w:t>
            </w:r>
          </w:p>
        </w:tc>
        <w:tc>
          <w:tcPr>
            <w:tcW w:w="1301" w:type="dxa"/>
            <w:gridSpan w:val="5"/>
          </w:tcPr>
          <w:p w:rsidR="00894DCB" w:rsidRPr="00D03014" w:rsidRDefault="00894DCB" w:rsidP="00894DCB"/>
          <w:p w:rsidR="00894DCB" w:rsidRPr="00D03014" w:rsidRDefault="00894DCB" w:rsidP="00894DCB"/>
          <w:p w:rsidR="00894DCB" w:rsidRPr="00D03014" w:rsidRDefault="00894DCB" w:rsidP="00894DCB"/>
          <w:p w:rsidR="00894DCB" w:rsidRPr="00D03014" w:rsidRDefault="00894DCB" w:rsidP="00894DCB"/>
          <w:p w:rsidR="00894DCB" w:rsidRPr="00D03014" w:rsidRDefault="00894DCB" w:rsidP="00894DCB">
            <w:r w:rsidRPr="00D03014">
              <w:t>ГУ Сомбор</w:t>
            </w:r>
          </w:p>
        </w:tc>
        <w:tc>
          <w:tcPr>
            <w:tcW w:w="1487" w:type="dxa"/>
            <w:gridSpan w:val="3"/>
          </w:tcPr>
          <w:p w:rsidR="00894DCB" w:rsidRPr="00D03014" w:rsidRDefault="00894DCB" w:rsidP="00894DCB"/>
          <w:p w:rsidR="00894DCB" w:rsidRPr="00D03014" w:rsidRDefault="00894DCB" w:rsidP="00894DCB"/>
          <w:p w:rsidR="00894DCB" w:rsidRPr="00D03014" w:rsidRDefault="00894DCB" w:rsidP="00894DCB">
            <w:r w:rsidRPr="00D03014">
              <w:t>установе културе, медији, ОЦД</w:t>
            </w:r>
          </w:p>
        </w:tc>
        <w:tc>
          <w:tcPr>
            <w:tcW w:w="1284" w:type="dxa"/>
            <w:gridSpan w:val="3"/>
            <w:vAlign w:val="center"/>
          </w:tcPr>
          <w:p w:rsidR="00894DCB" w:rsidRPr="00D03014" w:rsidRDefault="00894DCB" w:rsidP="00894DCB">
            <w:pPr>
              <w:jc w:val="right"/>
            </w:pPr>
            <w:r>
              <w:t>2022</w:t>
            </w:r>
          </w:p>
        </w:tc>
        <w:tc>
          <w:tcPr>
            <w:tcW w:w="1039" w:type="dxa"/>
            <w:gridSpan w:val="4"/>
            <w:vAlign w:val="center"/>
          </w:tcPr>
          <w:p w:rsidR="00894DCB" w:rsidRPr="00D03014" w:rsidRDefault="00894DCB" w:rsidP="00894DCB">
            <w:r>
              <w:rPr>
                <w:lang/>
              </w:rPr>
              <w:t>ГУ Сомбор</w:t>
            </w:r>
          </w:p>
        </w:tc>
        <w:tc>
          <w:tcPr>
            <w:tcW w:w="1269" w:type="dxa"/>
            <w:gridSpan w:val="3"/>
            <w:vAlign w:val="center"/>
          </w:tcPr>
          <w:p w:rsidR="00894DCB" w:rsidRPr="00D03014" w:rsidRDefault="00894DCB" w:rsidP="00894DCB"/>
        </w:tc>
        <w:tc>
          <w:tcPr>
            <w:tcW w:w="1145" w:type="dxa"/>
            <w:gridSpan w:val="3"/>
            <w:shd w:val="clear" w:color="auto" w:fill="auto"/>
            <w:vAlign w:val="center"/>
          </w:tcPr>
          <w:p w:rsidR="00894DCB" w:rsidRPr="00894DCB" w:rsidRDefault="00894DCB" w:rsidP="00894DCB">
            <w:pPr>
              <w:jc w:val="right"/>
              <w:rPr>
                <w:lang/>
              </w:rPr>
            </w:pPr>
            <w:r>
              <w:rPr>
                <w:lang/>
              </w:rPr>
              <w:t>80.000</w:t>
            </w:r>
          </w:p>
        </w:tc>
        <w:tc>
          <w:tcPr>
            <w:tcW w:w="1145" w:type="dxa"/>
            <w:gridSpan w:val="3"/>
            <w:shd w:val="clear" w:color="auto" w:fill="auto"/>
            <w:vAlign w:val="center"/>
          </w:tcPr>
          <w:p w:rsidR="00894DCB" w:rsidRPr="00894DCB" w:rsidRDefault="00894DCB" w:rsidP="00894DCB">
            <w:pPr>
              <w:jc w:val="right"/>
              <w:rPr>
                <w:lang/>
              </w:rPr>
            </w:pPr>
            <w:r>
              <w:rPr>
                <w:lang/>
              </w:rPr>
              <w:t>120.000</w:t>
            </w:r>
          </w:p>
        </w:tc>
        <w:tc>
          <w:tcPr>
            <w:tcW w:w="1146" w:type="dxa"/>
            <w:gridSpan w:val="2"/>
            <w:tcBorders>
              <w:right w:val="single" w:sz="4" w:space="0" w:color="auto"/>
            </w:tcBorders>
            <w:shd w:val="clear" w:color="auto" w:fill="auto"/>
            <w:vAlign w:val="center"/>
          </w:tcPr>
          <w:p w:rsidR="00894DCB" w:rsidRPr="00894DCB" w:rsidRDefault="00894DCB" w:rsidP="00894DCB">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894DCB" w:rsidRPr="00894DCB" w:rsidRDefault="00894DCB" w:rsidP="00894DCB">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894DCB" w:rsidRPr="00894DCB" w:rsidRDefault="00894DCB" w:rsidP="00894DCB">
            <w:pPr>
              <w:jc w:val="right"/>
              <w:rPr>
                <w:lang/>
              </w:rPr>
            </w:pPr>
            <w:r>
              <w:rPr>
                <w:lang/>
              </w:rPr>
              <w:t>0</w:t>
            </w:r>
          </w:p>
        </w:tc>
      </w:tr>
      <w:tr w:rsidR="00370BA4" w:rsidRPr="00D03014" w:rsidTr="001858E0">
        <w:trPr>
          <w:trHeight w:val="398"/>
        </w:trPr>
        <w:tc>
          <w:tcPr>
            <w:tcW w:w="13832" w:type="dxa"/>
            <w:gridSpan w:val="32"/>
            <w:tcBorders>
              <w:top w:val="double" w:sz="4" w:space="0" w:color="auto"/>
              <w:left w:val="double" w:sz="4" w:space="0" w:color="auto"/>
              <w:right w:val="double" w:sz="4" w:space="0" w:color="auto"/>
            </w:tcBorders>
            <w:shd w:val="clear" w:color="auto" w:fill="F7CAAC" w:themeFill="accent2" w:themeFillTint="66"/>
            <w:vAlign w:val="center"/>
          </w:tcPr>
          <w:p w:rsidR="00370BA4" w:rsidRPr="00D03014" w:rsidRDefault="00370BA4" w:rsidP="00370BA4">
            <w:pPr>
              <w:rPr>
                <w:rFonts w:ascii="Arial" w:hAnsi="Arial" w:cs="Arial"/>
                <w:b/>
                <w:sz w:val="24"/>
                <w:szCs w:val="24"/>
              </w:rPr>
            </w:pPr>
            <w:r w:rsidRPr="00D03014">
              <w:rPr>
                <w:rFonts w:ascii="Arial" w:hAnsi="Arial" w:cs="Arial"/>
                <w:b/>
                <w:sz w:val="24"/>
                <w:szCs w:val="24"/>
              </w:rPr>
              <w:t>Мера 4.3: Развој нових формата и потенцијала културне понуде</w:t>
            </w:r>
          </w:p>
        </w:tc>
      </w:tr>
      <w:tr w:rsidR="00370BA4" w:rsidRPr="009615FA" w:rsidTr="001858E0">
        <w:trPr>
          <w:trHeight w:val="398"/>
        </w:trPr>
        <w:tc>
          <w:tcPr>
            <w:tcW w:w="13832" w:type="dxa"/>
            <w:gridSpan w:val="32"/>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eastAsia="Times New Roman" w:hAnsi="Arial" w:cs="Arial"/>
                <w:color w:val="222222"/>
                <w:lang/>
              </w:rPr>
            </w:pPr>
            <w:r w:rsidRPr="00D03014">
              <w:rPr>
                <w:rFonts w:ascii="Arial" w:eastAsia="Times New Roman" w:hAnsi="Arial" w:cs="Arial"/>
                <w:color w:val="222222"/>
              </w:rPr>
              <w:t>Институција одговорна за праћење и контролу реализације:</w:t>
            </w:r>
            <w:r>
              <w:rPr>
                <w:rFonts w:ascii="Arial" w:eastAsia="Times New Roman" w:hAnsi="Arial" w:cs="Arial"/>
                <w:color w:val="222222"/>
                <w:lang/>
              </w:rPr>
              <w:t xml:space="preserve"> </w:t>
            </w:r>
            <w:r w:rsidRPr="00D03014">
              <w:rPr>
                <w:rFonts w:ascii="Arial" w:eastAsia="Times New Roman" w:hAnsi="Arial" w:cs="Arial"/>
                <w:color w:val="222222"/>
              </w:rPr>
              <w:t>Градска управа Сомбор</w:t>
            </w:r>
            <w:r>
              <w:rPr>
                <w:rFonts w:ascii="Arial" w:eastAsia="Times New Roman" w:hAnsi="Arial" w:cs="Arial"/>
                <w:color w:val="222222"/>
                <w:lang/>
              </w:rPr>
              <w:t xml:space="preserve">, установе културе </w:t>
            </w:r>
          </w:p>
        </w:tc>
      </w:tr>
      <w:tr w:rsidR="00370BA4" w:rsidRPr="00D03014" w:rsidTr="001858E0">
        <w:trPr>
          <w:trHeight w:val="398"/>
        </w:trPr>
        <w:tc>
          <w:tcPr>
            <w:tcW w:w="8105" w:type="dxa"/>
            <w:gridSpan w:val="19"/>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9615FA" w:rsidRDefault="00370BA4" w:rsidP="00370BA4">
            <w:pPr>
              <w:rPr>
                <w:rFonts w:ascii="Arial" w:hAnsi="Arial" w:cs="Arial"/>
                <w:lang/>
              </w:rPr>
            </w:pPr>
            <w:r w:rsidRPr="00D03014">
              <w:rPr>
                <w:rFonts w:ascii="Arial" w:hAnsi="Arial" w:cs="Arial"/>
              </w:rPr>
              <w:t>Период спровођења:</w:t>
            </w:r>
            <w:r>
              <w:rPr>
                <w:rFonts w:ascii="Arial" w:hAnsi="Arial" w:cs="Arial"/>
                <w:lang/>
              </w:rPr>
              <w:t xml:space="preserve"> 2021-2025</w:t>
            </w:r>
          </w:p>
        </w:tc>
        <w:tc>
          <w:tcPr>
            <w:tcW w:w="5727" w:type="dxa"/>
            <w:gridSpan w:val="13"/>
            <w:tcBorders>
              <w:top w:val="double" w:sz="4" w:space="0" w:color="auto"/>
              <w:left w:val="double" w:sz="4" w:space="0" w:color="auto"/>
              <w:bottom w:val="double" w:sz="4" w:space="0" w:color="auto"/>
              <w:right w:val="double" w:sz="4" w:space="0" w:color="auto"/>
            </w:tcBorders>
            <w:shd w:val="clear" w:color="auto" w:fill="F7CAAC" w:themeFill="accent2" w:themeFillTint="66"/>
            <w:vAlign w:val="center"/>
          </w:tcPr>
          <w:p w:rsidR="00370BA4" w:rsidRPr="00894DCB" w:rsidRDefault="00370BA4" w:rsidP="00370BA4">
            <w:pPr>
              <w:rPr>
                <w:rFonts w:ascii="Arial" w:hAnsi="Arial" w:cs="Arial"/>
                <w:lang/>
              </w:rPr>
            </w:pPr>
            <w:r w:rsidRPr="00D03014">
              <w:rPr>
                <w:rFonts w:ascii="Arial" w:hAnsi="Arial" w:cs="Arial"/>
              </w:rPr>
              <w:t>Тип мере:</w:t>
            </w:r>
            <w:r w:rsidR="00894DCB">
              <w:t xml:space="preserve"> </w:t>
            </w:r>
            <w:r w:rsidR="00894DCB" w:rsidRPr="00894DCB">
              <w:rPr>
                <w:rFonts w:ascii="Arial" w:hAnsi="Arial" w:cs="Arial"/>
              </w:rPr>
              <w:t>информативно-едукативна</w:t>
            </w:r>
            <w:r w:rsidR="00894DCB">
              <w:rPr>
                <w:rFonts w:ascii="Arial" w:hAnsi="Arial" w:cs="Arial"/>
                <w:lang/>
              </w:rPr>
              <w:t xml:space="preserve">; </w:t>
            </w:r>
            <w:r w:rsidR="00894DCB" w:rsidRPr="007951CB">
              <w:rPr>
                <w:rFonts w:ascii="Arial" w:hAnsi="Arial" w:cs="Arial"/>
                <w:lang/>
              </w:rPr>
              <w:t>обезбеђење добара и пружање услуга од стране учесника у планском систему</w:t>
            </w:r>
          </w:p>
        </w:tc>
      </w:tr>
      <w:tr w:rsidR="00D2040D" w:rsidRPr="00D03014" w:rsidTr="001858E0">
        <w:trPr>
          <w:trHeight w:val="400"/>
        </w:trPr>
        <w:tc>
          <w:tcPr>
            <w:tcW w:w="1878" w:type="dxa"/>
            <w:gridSpan w:val="2"/>
            <w:tcBorders>
              <w:top w:val="double" w:sz="4" w:space="0" w:color="auto"/>
              <w:left w:val="double" w:sz="4" w:space="0" w:color="auto"/>
              <w:bottom w:val="single" w:sz="4" w:space="0" w:color="auto"/>
            </w:tcBorders>
            <w:shd w:val="clear" w:color="auto" w:fill="D9D9D9" w:themeFill="background1" w:themeFillShade="D9"/>
            <w:vAlign w:val="center"/>
          </w:tcPr>
          <w:p w:rsidR="00D2040D" w:rsidRPr="00D03014" w:rsidRDefault="00D2040D" w:rsidP="00D2040D">
            <w:pPr>
              <w:rPr>
                <w:rFonts w:ascii="Arial" w:hAnsi="Arial" w:cs="Arial"/>
              </w:rPr>
            </w:pPr>
            <w:r w:rsidRPr="00D03014">
              <w:rPr>
                <w:rFonts w:ascii="Arial" w:hAnsi="Arial" w:cs="Arial"/>
              </w:rPr>
              <w:t xml:space="preserve">Показатељ(и) на нивоу посебног циља </w:t>
            </w:r>
            <w:r w:rsidRPr="00D03014">
              <w:rPr>
                <w:rFonts w:ascii="Arial" w:hAnsi="Arial" w:cs="Arial"/>
              </w:rPr>
              <w:lastRenderedPageBreak/>
              <w:t>(показатељ исхода)</w:t>
            </w:r>
          </w:p>
        </w:tc>
        <w:tc>
          <w:tcPr>
            <w:tcW w:w="1463" w:type="dxa"/>
            <w:gridSpan w:val="5"/>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lastRenderedPageBreak/>
              <w:t>Јединица мере</w:t>
            </w:r>
          </w:p>
          <w:p w:rsidR="00D2040D" w:rsidRPr="00D03014" w:rsidRDefault="00D2040D" w:rsidP="00D2040D">
            <w:pPr>
              <w:jc w:val="center"/>
              <w:rPr>
                <w:rFonts w:ascii="Arial" w:hAnsi="Arial" w:cs="Arial"/>
              </w:rPr>
            </w:pPr>
          </w:p>
        </w:tc>
        <w:tc>
          <w:tcPr>
            <w:tcW w:w="1460"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Извор провере</w:t>
            </w:r>
          </w:p>
        </w:tc>
        <w:tc>
          <w:tcPr>
            <w:tcW w:w="1459"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Почетна вредност</w:t>
            </w:r>
          </w:p>
        </w:tc>
        <w:tc>
          <w:tcPr>
            <w:tcW w:w="1458"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t>Базна година</w:t>
            </w:r>
          </w:p>
        </w:tc>
        <w:tc>
          <w:tcPr>
            <w:tcW w:w="1222"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Pr>
                <w:rFonts w:ascii="Arial" w:hAnsi="Arial" w:cs="Arial"/>
              </w:rPr>
              <w:t xml:space="preserve">Циљана вредност у години </w:t>
            </w:r>
            <w:r>
              <w:rPr>
                <w:rFonts w:ascii="Arial" w:hAnsi="Arial" w:cs="Arial"/>
              </w:rPr>
              <w:lastRenderedPageBreak/>
              <w:t>т</w:t>
            </w:r>
          </w:p>
        </w:tc>
        <w:tc>
          <w:tcPr>
            <w:tcW w:w="1222" w:type="dxa"/>
            <w:gridSpan w:val="3"/>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lastRenderedPageBreak/>
              <w:t xml:space="preserve">Циљана вредност у години </w:t>
            </w:r>
            <w:r w:rsidRPr="00D03014">
              <w:rPr>
                <w:rFonts w:ascii="Arial" w:hAnsi="Arial" w:cs="Arial"/>
              </w:rPr>
              <w:lastRenderedPageBreak/>
              <w:t>т+1</w:t>
            </w:r>
          </w:p>
        </w:tc>
        <w:tc>
          <w:tcPr>
            <w:tcW w:w="1221" w:type="dxa"/>
            <w:gridSpan w:val="2"/>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lastRenderedPageBreak/>
              <w:t xml:space="preserve">Циљана вредност у години </w:t>
            </w:r>
            <w:r w:rsidRPr="00D03014">
              <w:rPr>
                <w:rFonts w:ascii="Arial" w:hAnsi="Arial" w:cs="Arial"/>
              </w:rPr>
              <w:lastRenderedPageBreak/>
              <w:t>т+2</w:t>
            </w:r>
          </w:p>
        </w:tc>
        <w:tc>
          <w:tcPr>
            <w:tcW w:w="1226" w:type="dxa"/>
            <w:gridSpan w:val="4"/>
            <w:tcBorders>
              <w:top w:val="double" w:sz="4" w:space="0" w:color="auto"/>
              <w:bottom w:val="sing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lastRenderedPageBreak/>
              <w:t xml:space="preserve">Циљана вредност у години </w:t>
            </w:r>
            <w:r w:rsidRPr="00D03014">
              <w:rPr>
                <w:rFonts w:ascii="Arial" w:hAnsi="Arial" w:cs="Arial"/>
              </w:rPr>
              <w:lastRenderedPageBreak/>
              <w:t>т+3</w:t>
            </w:r>
          </w:p>
        </w:tc>
        <w:tc>
          <w:tcPr>
            <w:tcW w:w="1223" w:type="dxa"/>
            <w:gridSpan w:val="2"/>
            <w:tcBorders>
              <w:top w:val="double" w:sz="4" w:space="0" w:color="auto"/>
              <w:bottom w:val="single" w:sz="4" w:space="0" w:color="auto"/>
              <w:right w:val="double" w:sz="4" w:space="0" w:color="auto"/>
            </w:tcBorders>
            <w:shd w:val="clear" w:color="auto" w:fill="D9D9D9" w:themeFill="background1" w:themeFillShade="D9"/>
            <w:vAlign w:val="center"/>
          </w:tcPr>
          <w:p w:rsidR="00D2040D" w:rsidRPr="00D03014" w:rsidRDefault="00D2040D" w:rsidP="00D2040D">
            <w:pPr>
              <w:jc w:val="center"/>
              <w:rPr>
                <w:rFonts w:ascii="Arial" w:hAnsi="Arial" w:cs="Arial"/>
              </w:rPr>
            </w:pPr>
            <w:r w:rsidRPr="00D03014">
              <w:rPr>
                <w:rFonts w:ascii="Arial" w:hAnsi="Arial" w:cs="Arial"/>
              </w:rPr>
              <w:lastRenderedPageBreak/>
              <w:t xml:space="preserve">Циљана вредност у </w:t>
            </w:r>
            <w:r w:rsidRPr="00D03014">
              <w:rPr>
                <w:rFonts w:ascii="Arial" w:hAnsi="Arial" w:cs="Arial"/>
              </w:rPr>
              <w:lastRenderedPageBreak/>
              <w:t>последњој години АП</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Pr="00511594" w:rsidRDefault="00370BA4" w:rsidP="00370BA4">
            <w:pPr>
              <w:shd w:val="clear" w:color="auto" w:fill="FFFFFF" w:themeFill="background1"/>
              <w:rPr>
                <w:rFonts w:ascii="Arial" w:hAnsi="Arial" w:cs="Arial"/>
                <w:lang/>
              </w:rPr>
            </w:pPr>
            <w:r>
              <w:rPr>
                <w:rFonts w:ascii="Arial" w:hAnsi="Arial" w:cs="Arial"/>
                <w:lang/>
              </w:rPr>
              <w:lastRenderedPageBreak/>
              <w:t>Уведен систем континуираног испитивања публике</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t>0-не</w:t>
            </w:r>
          </w:p>
          <w:p w:rsidR="00370BA4" w:rsidRPr="00D03014" w:rsidRDefault="00370BA4" w:rsidP="00370BA4">
            <w:pPr>
              <w:shd w:val="clear" w:color="auto" w:fill="FFFFFF" w:themeFill="background1"/>
              <w:rPr>
                <w:rFonts w:ascii="Arial" w:hAnsi="Arial" w:cs="Arial"/>
              </w:rPr>
            </w:pPr>
            <w:r w:rsidRPr="00526753">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lang/>
              </w:rPr>
              <w:t>Извештаји установа културе</w:t>
            </w:r>
          </w:p>
        </w:tc>
        <w:tc>
          <w:tcPr>
            <w:tcW w:w="1459"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Pr>
                <w:rFonts w:ascii="Arial" w:hAnsi="Arial" w:cs="Arial"/>
                <w:lang/>
              </w:rPr>
              <w:t>1</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1</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1</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Pr="00D03014" w:rsidRDefault="00370BA4" w:rsidP="00370BA4">
            <w:pPr>
              <w:shd w:val="clear" w:color="auto" w:fill="FFFFFF" w:themeFill="background1"/>
              <w:jc w:val="center"/>
              <w:rPr>
                <w:rFonts w:ascii="Arial" w:hAnsi="Arial" w:cs="Arial"/>
              </w:rPr>
            </w:pPr>
            <w:r w:rsidRPr="00526753">
              <w:rPr>
                <w:rFonts w:ascii="Arial" w:hAnsi="Arial" w:cs="Arial"/>
                <w:lang/>
              </w:rPr>
              <w:t>1</w:t>
            </w: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Број насељених места који учествују  у смотрама/такмичењима села у области културе, на годишњем нивоу</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Pr>
                <w:rFonts w:ascii="Arial" w:hAnsi="Arial" w:cs="Arial"/>
                <w:lang/>
              </w:rPr>
              <w:t>број</w:t>
            </w:r>
          </w:p>
        </w:tc>
        <w:tc>
          <w:tcPr>
            <w:tcW w:w="1460"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Извештај КЦ, извештаји ОЦД, извештаји Месних заједница</w:t>
            </w:r>
          </w:p>
        </w:tc>
        <w:tc>
          <w:tcPr>
            <w:tcW w:w="1459"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Pr>
                <w:rFonts w:ascii="Arial" w:hAnsi="Arial" w:cs="Arial"/>
                <w:lang/>
              </w:rPr>
              <w:t>0</w:t>
            </w:r>
          </w:p>
        </w:tc>
        <w:tc>
          <w:tcPr>
            <w:tcW w:w="1222" w:type="dxa"/>
            <w:gridSpan w:val="3"/>
            <w:tcBorders>
              <w:top w:val="double" w:sz="4" w:space="0" w:color="auto"/>
              <w:bottom w:val="single" w:sz="4" w:space="0" w:color="auto"/>
              <w:right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1" w:type="dxa"/>
            <w:gridSpan w:val="2"/>
            <w:tcBorders>
              <w:top w:val="double" w:sz="4" w:space="0" w:color="auto"/>
              <w:left w:val="sing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Pr>
                <w:rFonts w:ascii="Arial" w:hAnsi="Arial" w:cs="Arial"/>
                <w:lang/>
              </w:rPr>
              <w:t>7</w:t>
            </w:r>
          </w:p>
        </w:tc>
        <w:tc>
          <w:tcPr>
            <w:tcW w:w="1226" w:type="dxa"/>
            <w:gridSpan w:val="4"/>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jc w:val="center"/>
              <w:rPr>
                <w:rFonts w:ascii="Arial" w:hAnsi="Arial" w:cs="Arial"/>
                <w:lang/>
              </w:rPr>
            </w:pPr>
            <w:r>
              <w:rPr>
                <w:rFonts w:ascii="Arial" w:hAnsi="Arial" w:cs="Arial"/>
                <w:lang/>
              </w:rPr>
              <w:t>9</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rPr>
            </w:pPr>
            <w:r>
              <w:rPr>
                <w:rFonts w:ascii="Arial" w:hAnsi="Arial" w:cs="Arial"/>
              </w:rPr>
              <w:t>12</w:t>
            </w:r>
          </w:p>
          <w:p w:rsidR="00370BA4" w:rsidRPr="00763400" w:rsidRDefault="00370BA4" w:rsidP="00370BA4">
            <w:pPr>
              <w:shd w:val="clear" w:color="auto" w:fill="FFFFFF" w:themeFill="background1"/>
              <w:jc w:val="center"/>
              <w:rPr>
                <w:rFonts w:ascii="Arial" w:hAnsi="Arial" w:cs="Arial"/>
              </w:rPr>
            </w:pPr>
          </w:p>
        </w:tc>
      </w:tr>
      <w:tr w:rsidR="00370BA4" w:rsidRPr="00D03014" w:rsidTr="001858E0">
        <w:trPr>
          <w:trHeight w:val="400"/>
        </w:trPr>
        <w:tc>
          <w:tcPr>
            <w:tcW w:w="1878" w:type="dxa"/>
            <w:gridSpan w:val="2"/>
            <w:tcBorders>
              <w:top w:val="double" w:sz="4" w:space="0" w:color="auto"/>
              <w:left w:val="double" w:sz="4" w:space="0" w:color="auto"/>
            </w:tcBorders>
            <w:shd w:val="clear" w:color="auto" w:fill="FFFFFF" w:themeFill="background1"/>
            <w:vAlign w:val="center"/>
          </w:tcPr>
          <w:p w:rsidR="00370BA4" w:rsidRDefault="00370BA4" w:rsidP="00370BA4">
            <w:pPr>
              <w:shd w:val="clear" w:color="auto" w:fill="FFFFFF" w:themeFill="background1"/>
              <w:rPr>
                <w:rFonts w:ascii="Arial" w:hAnsi="Arial" w:cs="Arial"/>
                <w:lang/>
              </w:rPr>
            </w:pPr>
            <w:r>
              <w:rPr>
                <w:rFonts w:ascii="Arial" w:hAnsi="Arial" w:cs="Arial"/>
                <w:lang/>
              </w:rPr>
              <w:t>Креиран идентитет и препознатљивост филмског фестивала</w:t>
            </w:r>
          </w:p>
        </w:tc>
        <w:tc>
          <w:tcPr>
            <w:tcW w:w="1463" w:type="dxa"/>
            <w:gridSpan w:val="5"/>
            <w:tcBorders>
              <w:top w:val="double" w:sz="4" w:space="0" w:color="auto"/>
              <w:bottom w:val="single" w:sz="4" w:space="0" w:color="auto"/>
            </w:tcBorders>
            <w:shd w:val="clear" w:color="auto" w:fill="FFFFFF" w:themeFill="background1"/>
          </w:tcPr>
          <w:p w:rsidR="00370BA4" w:rsidRPr="00526753" w:rsidRDefault="00370BA4" w:rsidP="00370BA4">
            <w:pPr>
              <w:shd w:val="clear" w:color="auto" w:fill="FFFFFF" w:themeFill="background1"/>
              <w:contextualSpacing/>
              <w:rPr>
                <w:rFonts w:ascii="Arial" w:hAnsi="Arial" w:cs="Arial"/>
                <w:lang/>
              </w:rPr>
            </w:pPr>
            <w:r w:rsidRPr="00526753">
              <w:rPr>
                <w:rFonts w:ascii="Arial" w:hAnsi="Arial" w:cs="Arial"/>
                <w:lang/>
              </w:rPr>
              <w:t>0-не</w:t>
            </w:r>
          </w:p>
          <w:p w:rsidR="00370BA4" w:rsidRDefault="00370BA4" w:rsidP="00370BA4">
            <w:pPr>
              <w:shd w:val="clear" w:color="auto" w:fill="FFFFFF" w:themeFill="background1"/>
              <w:contextualSpacing/>
              <w:rPr>
                <w:rFonts w:ascii="Arial" w:hAnsi="Arial" w:cs="Arial"/>
                <w:lang/>
              </w:rPr>
            </w:pPr>
            <w:r w:rsidRPr="00526753">
              <w:rPr>
                <w:rFonts w:ascii="Arial" w:hAnsi="Arial" w:cs="Arial"/>
                <w:lang/>
              </w:rPr>
              <w:t>1-да</w:t>
            </w:r>
          </w:p>
        </w:tc>
        <w:tc>
          <w:tcPr>
            <w:tcW w:w="1460"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Извештај</w:t>
            </w:r>
          </w:p>
          <w:p w:rsidR="00370BA4" w:rsidRDefault="00370BA4" w:rsidP="00370BA4">
            <w:pPr>
              <w:shd w:val="clear" w:color="auto" w:fill="FFFFFF" w:themeFill="background1"/>
              <w:jc w:val="center"/>
              <w:rPr>
                <w:rFonts w:ascii="Arial" w:hAnsi="Arial" w:cs="Arial"/>
                <w:lang/>
              </w:rPr>
            </w:pPr>
            <w:r>
              <w:rPr>
                <w:rFonts w:ascii="Arial" w:hAnsi="Arial" w:cs="Arial"/>
                <w:lang/>
              </w:rPr>
              <w:t>ГУ Сомбор</w:t>
            </w:r>
          </w:p>
        </w:tc>
        <w:tc>
          <w:tcPr>
            <w:tcW w:w="1459"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458"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sidRPr="00526753">
              <w:rPr>
                <w:rFonts w:ascii="Arial" w:hAnsi="Arial" w:cs="Arial"/>
                <w:lang/>
              </w:rPr>
              <w:t>2019</w:t>
            </w:r>
          </w:p>
        </w:tc>
        <w:tc>
          <w:tcPr>
            <w:tcW w:w="1222" w:type="dxa"/>
            <w:gridSpan w:val="4"/>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sidRPr="00526753">
              <w:rPr>
                <w:rFonts w:ascii="Arial" w:hAnsi="Arial" w:cs="Arial"/>
                <w:lang/>
              </w:rPr>
              <w:t>0</w:t>
            </w:r>
          </w:p>
        </w:tc>
        <w:tc>
          <w:tcPr>
            <w:tcW w:w="1222" w:type="dxa"/>
            <w:gridSpan w:val="3"/>
            <w:tcBorders>
              <w:top w:val="doub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1" w:type="dxa"/>
            <w:gridSpan w:val="2"/>
            <w:tcBorders>
              <w:top w:val="double" w:sz="4" w:space="0" w:color="auto"/>
              <w:bottom w:val="single" w:sz="4" w:space="0" w:color="auto"/>
              <w:right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6" w:type="dxa"/>
            <w:gridSpan w:val="4"/>
            <w:tcBorders>
              <w:top w:val="double" w:sz="4" w:space="0" w:color="auto"/>
              <w:left w:val="single" w:sz="4" w:space="0" w:color="auto"/>
              <w:bottom w:val="sing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Pr>
                <w:rFonts w:ascii="Arial" w:hAnsi="Arial" w:cs="Arial"/>
                <w:lang/>
              </w:rPr>
              <w:t>0</w:t>
            </w:r>
          </w:p>
        </w:tc>
        <w:tc>
          <w:tcPr>
            <w:tcW w:w="1223" w:type="dxa"/>
            <w:gridSpan w:val="2"/>
            <w:tcBorders>
              <w:top w:val="double" w:sz="4" w:space="0" w:color="auto"/>
              <w:bottom w:val="single" w:sz="4" w:space="0" w:color="auto"/>
              <w:right w:val="double" w:sz="4" w:space="0" w:color="auto"/>
            </w:tcBorders>
            <w:shd w:val="clear" w:color="auto" w:fill="FFFFFF" w:themeFill="background1"/>
          </w:tcPr>
          <w:p w:rsidR="00370BA4" w:rsidRDefault="00370BA4" w:rsidP="00370BA4">
            <w:pPr>
              <w:shd w:val="clear" w:color="auto" w:fill="FFFFFF" w:themeFill="background1"/>
              <w:jc w:val="center"/>
              <w:rPr>
                <w:rFonts w:ascii="Arial" w:hAnsi="Arial" w:cs="Arial"/>
                <w:lang/>
              </w:rPr>
            </w:pPr>
            <w:r w:rsidRPr="00526753">
              <w:rPr>
                <w:rFonts w:ascii="Arial" w:hAnsi="Arial" w:cs="Arial"/>
                <w:lang/>
              </w:rPr>
              <w:t>1</w:t>
            </w:r>
          </w:p>
        </w:tc>
      </w:tr>
      <w:tr w:rsidR="00370BA4" w:rsidRPr="00D03014" w:rsidTr="001858E0">
        <w:trPr>
          <w:trHeight w:val="398"/>
        </w:trPr>
        <w:tc>
          <w:tcPr>
            <w:tcW w:w="2531" w:type="dxa"/>
            <w:gridSpan w:val="5"/>
            <w:vMerge w:val="restart"/>
            <w:tcBorders>
              <w:top w:val="single" w:sz="4" w:space="0" w:color="auto"/>
              <w:left w:val="double" w:sz="4" w:space="0" w:color="auto"/>
              <w:bottom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Pr>
                <w:rFonts w:ascii="Arial" w:hAnsi="Arial" w:cs="Arial"/>
                <w:lang/>
              </w:rPr>
              <w:t>И</w:t>
            </w:r>
            <w:r w:rsidRPr="00D03014">
              <w:rPr>
                <w:rFonts w:ascii="Arial" w:hAnsi="Arial" w:cs="Arial"/>
              </w:rPr>
              <w:t>звор финансирања мере</w:t>
            </w:r>
            <w:r w:rsidRPr="00D03014">
              <w:rPr>
                <w:rFonts w:ascii="Arial" w:hAnsi="Arial" w:cs="Arial"/>
                <w:vertAlign w:val="superscript"/>
              </w:rPr>
              <w:footnoteReference w:id="93"/>
            </w:r>
          </w:p>
        </w:tc>
        <w:tc>
          <w:tcPr>
            <w:tcW w:w="2145" w:type="dxa"/>
            <w:gridSpan w:val="5"/>
            <w:vMerge w:val="restart"/>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370BA4">
            <w:pPr>
              <w:jc w:val="center"/>
              <w:rPr>
                <w:rFonts w:ascii="Arial" w:hAnsi="Arial" w:cs="Arial"/>
              </w:rPr>
            </w:pPr>
            <w:r w:rsidRPr="00D03014">
              <w:rPr>
                <w:rFonts w:ascii="Arial" w:hAnsi="Arial" w:cs="Arial"/>
              </w:rPr>
              <w:t>Веза са програмским буџетом</w:t>
            </w:r>
            <w:r w:rsidRPr="00D03014">
              <w:rPr>
                <w:rFonts w:ascii="Arial" w:hAnsi="Arial" w:cs="Arial"/>
                <w:vertAlign w:val="superscript"/>
              </w:rPr>
              <w:footnoteReference w:id="94"/>
            </w:r>
          </w:p>
        </w:tc>
        <w:tc>
          <w:tcPr>
            <w:tcW w:w="9156" w:type="dxa"/>
            <w:gridSpan w:val="22"/>
            <w:tcBorders>
              <w:top w:val="single" w:sz="4" w:space="0" w:color="auto"/>
              <w:left w:val="double" w:sz="4" w:space="0" w:color="auto"/>
              <w:right w:val="double" w:sz="4" w:space="0" w:color="auto"/>
            </w:tcBorders>
            <w:shd w:val="clear" w:color="auto" w:fill="A8D08D" w:themeFill="accent6" w:themeFillTint="99"/>
            <w:vAlign w:val="center"/>
          </w:tcPr>
          <w:p w:rsidR="00370BA4" w:rsidRPr="00D03014" w:rsidRDefault="00370BA4" w:rsidP="00894DCB">
            <w:pPr>
              <w:jc w:val="center"/>
              <w:rPr>
                <w:rFonts w:ascii="Arial" w:hAnsi="Arial" w:cs="Arial"/>
              </w:rPr>
            </w:pPr>
            <w:r w:rsidRPr="00D03014">
              <w:rPr>
                <w:rFonts w:ascii="Arial" w:hAnsi="Arial" w:cs="Arial"/>
              </w:rPr>
              <w:t xml:space="preserve"> Укупна процењена финансијска средства у дин.</w:t>
            </w:r>
          </w:p>
        </w:tc>
      </w:tr>
      <w:tr w:rsidR="00894DCB" w:rsidRPr="00D03014" w:rsidTr="00F61C95">
        <w:trPr>
          <w:trHeight w:val="398"/>
        </w:trPr>
        <w:tc>
          <w:tcPr>
            <w:tcW w:w="2531" w:type="dxa"/>
            <w:gridSpan w:val="5"/>
            <w:vMerge/>
            <w:tcBorders>
              <w:left w:val="double" w:sz="4" w:space="0" w:color="auto"/>
              <w:bottom w:val="double" w:sz="4" w:space="0" w:color="auto"/>
              <w:right w:val="doub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p>
        </w:tc>
        <w:tc>
          <w:tcPr>
            <w:tcW w:w="2145" w:type="dxa"/>
            <w:gridSpan w:val="5"/>
            <w:vMerge/>
            <w:tcBorders>
              <w:left w:val="double" w:sz="4" w:space="0" w:color="auto"/>
              <w:right w:val="doub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p>
        </w:tc>
        <w:tc>
          <w:tcPr>
            <w:tcW w:w="1830"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Pr>
                <w:rFonts w:ascii="Arial" w:hAnsi="Arial" w:cs="Arial"/>
              </w:rPr>
              <w:t>У години т</w:t>
            </w:r>
          </w:p>
        </w:tc>
        <w:tc>
          <w:tcPr>
            <w:tcW w:w="1829" w:type="dxa"/>
            <w:gridSpan w:val="5"/>
            <w:tcBorders>
              <w:top w:val="single" w:sz="4" w:space="0" w:color="auto"/>
              <w:left w:val="doub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т+1</w:t>
            </w:r>
          </w:p>
        </w:tc>
        <w:tc>
          <w:tcPr>
            <w:tcW w:w="1827" w:type="dxa"/>
            <w:gridSpan w:val="4"/>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т+2</w:t>
            </w:r>
          </w:p>
        </w:tc>
        <w:tc>
          <w:tcPr>
            <w:tcW w:w="1840" w:type="dxa"/>
            <w:gridSpan w:val="5"/>
            <w:tcBorders>
              <w:top w:val="single" w:sz="4" w:space="0" w:color="auto"/>
              <w:left w:val="single" w:sz="4" w:space="0" w:color="auto"/>
              <w:bottom w:val="double" w:sz="4" w:space="0" w:color="auto"/>
              <w:right w:val="sing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т+3</w:t>
            </w:r>
          </w:p>
        </w:tc>
        <w:tc>
          <w:tcPr>
            <w:tcW w:w="1830" w:type="dxa"/>
            <w:gridSpan w:val="3"/>
            <w:tcBorders>
              <w:top w:val="single" w:sz="4" w:space="0" w:color="auto"/>
              <w:left w:val="single" w:sz="4" w:space="0" w:color="auto"/>
              <w:bottom w:val="double" w:sz="4" w:space="0" w:color="auto"/>
              <w:right w:val="double" w:sz="4" w:space="0" w:color="auto"/>
            </w:tcBorders>
            <w:shd w:val="clear" w:color="auto" w:fill="A8D08D" w:themeFill="accent6" w:themeFillTint="99"/>
            <w:vAlign w:val="center"/>
          </w:tcPr>
          <w:p w:rsidR="00894DCB" w:rsidRPr="00D03014" w:rsidRDefault="00894DCB" w:rsidP="00894DCB">
            <w:pPr>
              <w:jc w:val="center"/>
              <w:rPr>
                <w:rFonts w:ascii="Arial" w:hAnsi="Arial" w:cs="Arial"/>
              </w:rPr>
            </w:pPr>
            <w:r w:rsidRPr="00D03014">
              <w:rPr>
                <w:rFonts w:ascii="Arial" w:hAnsi="Arial" w:cs="Arial"/>
              </w:rPr>
              <w:t>У години т+4</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Буџет Града</w:t>
            </w:r>
          </w:p>
        </w:tc>
        <w:tc>
          <w:tcPr>
            <w:tcW w:w="2145" w:type="dxa"/>
            <w:gridSpan w:val="5"/>
            <w:vMerge w:val="restart"/>
            <w:tcBorders>
              <w:top w:val="double" w:sz="4" w:space="0" w:color="auto"/>
              <w:left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EF6F4E" w:rsidRDefault="00EF6F4E" w:rsidP="00370BA4">
            <w:pPr>
              <w:jc w:val="center"/>
              <w:rPr>
                <w:rFonts w:ascii="Arial" w:hAnsi="Arial" w:cs="Arial"/>
                <w:lang/>
              </w:rPr>
            </w:pPr>
            <w:r>
              <w:rPr>
                <w:rFonts w:ascii="Arial" w:hAnsi="Arial" w:cs="Arial"/>
                <w:lang/>
              </w:rPr>
              <w:t>0</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EF6F4E" w:rsidRDefault="00EF6F4E" w:rsidP="00370BA4">
            <w:pPr>
              <w:jc w:val="center"/>
              <w:rPr>
                <w:rFonts w:ascii="Arial" w:hAnsi="Arial" w:cs="Arial"/>
                <w:lang/>
              </w:rPr>
            </w:pPr>
            <w:r>
              <w:rPr>
                <w:rFonts w:ascii="Arial" w:hAnsi="Arial" w:cs="Arial"/>
                <w:lang/>
              </w:rPr>
              <w:t>840.000</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EF6F4E" w:rsidRDefault="00EF6F4E" w:rsidP="00370BA4">
            <w:pPr>
              <w:jc w:val="center"/>
              <w:rPr>
                <w:rFonts w:ascii="Arial" w:hAnsi="Arial" w:cs="Arial"/>
                <w:lang/>
              </w:rPr>
            </w:pPr>
            <w:r>
              <w:rPr>
                <w:rFonts w:ascii="Arial" w:hAnsi="Arial" w:cs="Arial"/>
                <w:lang/>
              </w:rPr>
              <w:t>1.630.000</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Default="00EF6F4E" w:rsidP="00370BA4">
            <w:pPr>
              <w:jc w:val="center"/>
              <w:rPr>
                <w:rFonts w:ascii="Arial" w:hAnsi="Arial" w:cs="Arial"/>
                <w:lang/>
              </w:rPr>
            </w:pPr>
            <w:r>
              <w:rPr>
                <w:rFonts w:ascii="Arial" w:hAnsi="Arial" w:cs="Arial"/>
                <w:lang/>
              </w:rPr>
              <w:t>1.400.000</w:t>
            </w:r>
          </w:p>
          <w:p w:rsidR="00EF6F4E" w:rsidRPr="00EF6F4E" w:rsidRDefault="00EF6F4E" w:rsidP="00370BA4">
            <w:pPr>
              <w:jc w:val="center"/>
              <w:rPr>
                <w:rFonts w:ascii="Arial" w:hAnsi="Arial" w:cs="Arial"/>
                <w:lang/>
              </w:rPr>
            </w:pPr>
            <w:r>
              <w:rPr>
                <w:rFonts w:ascii="Arial" w:hAnsi="Arial" w:cs="Arial"/>
                <w:lang/>
              </w:rPr>
              <w:t>2.000.000*</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Default="00EF6F4E" w:rsidP="00370BA4">
            <w:pPr>
              <w:jc w:val="center"/>
              <w:rPr>
                <w:rFonts w:ascii="Arial" w:hAnsi="Arial" w:cs="Arial"/>
                <w:lang/>
              </w:rPr>
            </w:pPr>
            <w:r>
              <w:rPr>
                <w:rFonts w:ascii="Arial" w:hAnsi="Arial" w:cs="Arial"/>
                <w:lang/>
              </w:rPr>
              <w:t>2.990.000</w:t>
            </w:r>
          </w:p>
          <w:p w:rsidR="00EF6F4E" w:rsidRPr="00EF6F4E" w:rsidRDefault="00EF6F4E" w:rsidP="00370BA4">
            <w:pPr>
              <w:jc w:val="center"/>
              <w:rPr>
                <w:rFonts w:ascii="Arial" w:hAnsi="Arial" w:cs="Arial"/>
                <w:lang/>
              </w:rPr>
            </w:pPr>
            <w:r>
              <w:rPr>
                <w:rFonts w:ascii="Arial" w:hAnsi="Arial" w:cs="Arial"/>
                <w:lang/>
              </w:rPr>
              <w:t>8.500.000*</w:t>
            </w:r>
          </w:p>
        </w:tc>
      </w:tr>
      <w:tr w:rsidR="00370BA4" w:rsidRPr="00D03014" w:rsidTr="001858E0">
        <w:trPr>
          <w:trHeight w:val="398"/>
        </w:trPr>
        <w:tc>
          <w:tcPr>
            <w:tcW w:w="2531" w:type="dxa"/>
            <w:gridSpan w:val="5"/>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Други извори</w:t>
            </w:r>
          </w:p>
        </w:tc>
        <w:tc>
          <w:tcPr>
            <w:tcW w:w="2145" w:type="dxa"/>
            <w:gridSpan w:val="5"/>
            <w:vMerge/>
            <w:tcBorders>
              <w:left w:val="double" w:sz="4" w:space="0" w:color="auto"/>
              <w:bottom w:val="double" w:sz="4" w:space="0" w:color="auto"/>
              <w:right w:val="double" w:sz="4" w:space="0" w:color="auto"/>
            </w:tcBorders>
            <w:shd w:val="clear" w:color="auto" w:fill="FFFFFF" w:themeFill="background1"/>
            <w:vAlign w:val="center"/>
          </w:tcPr>
          <w:p w:rsidR="00370BA4" w:rsidRPr="00D03014" w:rsidRDefault="00370BA4" w:rsidP="00370BA4">
            <w:pPr>
              <w:jc w:val="center"/>
              <w:rPr>
                <w:rFonts w:ascii="Arial" w:hAnsi="Arial" w:cs="Arial"/>
              </w:rPr>
            </w:pPr>
          </w:p>
        </w:tc>
        <w:tc>
          <w:tcPr>
            <w:tcW w:w="1830" w:type="dxa"/>
            <w:gridSpan w:val="5"/>
            <w:tcBorders>
              <w:left w:val="doub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29"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27" w:type="dxa"/>
            <w:gridSpan w:val="4"/>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40" w:type="dxa"/>
            <w:gridSpan w:val="5"/>
            <w:tcBorders>
              <w:left w:val="single" w:sz="4" w:space="0" w:color="auto"/>
              <w:bottom w:val="double" w:sz="4" w:space="0" w:color="auto"/>
              <w:right w:val="sing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c>
          <w:tcPr>
            <w:tcW w:w="1830" w:type="dxa"/>
            <w:gridSpan w:val="3"/>
            <w:tcBorders>
              <w:top w:val="double" w:sz="4" w:space="0" w:color="auto"/>
              <w:left w:val="single" w:sz="4" w:space="0" w:color="auto"/>
              <w:bottom w:val="double" w:sz="4" w:space="0" w:color="auto"/>
              <w:right w:val="double" w:sz="4" w:space="0" w:color="auto"/>
            </w:tcBorders>
            <w:shd w:val="clear" w:color="auto" w:fill="FFFFFF" w:themeFill="background1"/>
            <w:vAlign w:val="center"/>
          </w:tcPr>
          <w:p w:rsidR="00370BA4" w:rsidRPr="00894DCB" w:rsidRDefault="00894DCB" w:rsidP="00370BA4">
            <w:pPr>
              <w:jc w:val="center"/>
              <w:rPr>
                <w:rFonts w:ascii="Arial" w:hAnsi="Arial" w:cs="Arial"/>
                <w:lang/>
              </w:rPr>
            </w:pPr>
            <w:r>
              <w:rPr>
                <w:rFonts w:ascii="Arial" w:hAnsi="Arial" w:cs="Arial"/>
                <w:lang/>
              </w:rPr>
              <w:t>/</w:t>
            </w:r>
          </w:p>
        </w:tc>
      </w:tr>
      <w:tr w:rsidR="00370BA4" w:rsidRPr="009F2563" w:rsidTr="001858E0">
        <w:trPr>
          <w:trHeight w:val="140"/>
        </w:trPr>
        <w:tc>
          <w:tcPr>
            <w:tcW w:w="1725" w:type="dxa"/>
            <w:vMerge w:val="restart"/>
            <w:tcBorders>
              <w:top w:val="double" w:sz="4" w:space="0" w:color="auto"/>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Назив активности:</w:t>
            </w:r>
          </w:p>
        </w:tc>
        <w:tc>
          <w:tcPr>
            <w:tcW w:w="1301" w:type="dxa"/>
            <w:gridSpan w:val="5"/>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Орган који спроводи активност</w:t>
            </w:r>
          </w:p>
        </w:tc>
        <w:tc>
          <w:tcPr>
            <w:tcW w:w="1487"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r w:rsidRPr="009F2563">
              <w:rPr>
                <w:rFonts w:ascii="Arial" w:hAnsi="Arial" w:cs="Arial"/>
                <w:sz w:val="20"/>
                <w:szCs w:val="20"/>
              </w:rPr>
              <w:t>Oргани партнери у спровођењу активности</w:t>
            </w:r>
          </w:p>
        </w:tc>
        <w:tc>
          <w:tcPr>
            <w:tcW w:w="1284"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Рок за завршетак активности</w:t>
            </w:r>
          </w:p>
        </w:tc>
        <w:tc>
          <w:tcPr>
            <w:tcW w:w="1039" w:type="dxa"/>
            <w:gridSpan w:val="4"/>
            <w:vMerge w:val="restart"/>
            <w:tcBorders>
              <w:top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Извор финансирања</w:t>
            </w:r>
            <w:r w:rsidRPr="009F2563">
              <w:rPr>
                <w:rFonts w:ascii="Arial" w:hAnsi="Arial" w:cs="Arial"/>
                <w:sz w:val="20"/>
                <w:szCs w:val="20"/>
                <w:vertAlign w:val="superscript"/>
              </w:rPr>
              <w:footnoteReference w:id="95"/>
            </w:r>
          </w:p>
        </w:tc>
        <w:tc>
          <w:tcPr>
            <w:tcW w:w="1269" w:type="dxa"/>
            <w:gridSpan w:val="3"/>
            <w:vMerge w:val="restart"/>
            <w:tcBorders>
              <w:top w:val="double" w:sz="4" w:space="0" w:color="auto"/>
            </w:tcBorders>
            <w:shd w:val="clear" w:color="auto" w:fill="FFF2CC" w:themeFill="accent4" w:themeFillTint="33"/>
            <w:vAlign w:val="center"/>
          </w:tcPr>
          <w:p w:rsidR="00370BA4" w:rsidRPr="009F2563" w:rsidRDefault="00370BA4" w:rsidP="00370BA4">
            <w:pPr>
              <w:rPr>
                <w:sz w:val="20"/>
                <w:szCs w:val="20"/>
              </w:rPr>
            </w:pPr>
            <w:r w:rsidRPr="009F2563">
              <w:rPr>
                <w:rFonts w:ascii="Arial" w:hAnsi="Arial" w:cs="Arial"/>
                <w:sz w:val="20"/>
                <w:szCs w:val="20"/>
              </w:rPr>
              <w:t>Веза са програмским буџетом</w:t>
            </w:r>
            <w:r w:rsidRPr="009F2563">
              <w:rPr>
                <w:rFonts w:ascii="Arial" w:hAnsi="Arial" w:cs="Arial"/>
                <w:sz w:val="20"/>
                <w:szCs w:val="20"/>
                <w:vertAlign w:val="superscript"/>
              </w:rPr>
              <w:footnoteReference w:id="96"/>
            </w:r>
          </w:p>
        </w:tc>
        <w:tc>
          <w:tcPr>
            <w:tcW w:w="5727" w:type="dxa"/>
            <w:gridSpan w:val="13"/>
            <w:tcBorders>
              <w:top w:val="double" w:sz="4" w:space="0" w:color="auto"/>
              <w:right w:val="double" w:sz="4" w:space="0" w:color="auto"/>
            </w:tcBorders>
            <w:shd w:val="clear" w:color="auto" w:fill="FFF2CC" w:themeFill="accent4" w:themeFillTint="33"/>
            <w:vAlign w:val="center"/>
          </w:tcPr>
          <w:p w:rsidR="00370BA4" w:rsidRPr="009F2563" w:rsidRDefault="00370BA4" w:rsidP="00894DCB">
            <w:pPr>
              <w:jc w:val="center"/>
              <w:rPr>
                <w:rFonts w:ascii="Arial" w:hAnsi="Arial" w:cs="Arial"/>
                <w:sz w:val="20"/>
                <w:szCs w:val="20"/>
              </w:rPr>
            </w:pPr>
            <w:r w:rsidRPr="009F2563">
              <w:rPr>
                <w:rFonts w:ascii="Arial" w:hAnsi="Arial" w:cs="Arial"/>
                <w:sz w:val="20"/>
                <w:szCs w:val="20"/>
              </w:rPr>
              <w:t>Укупна процењена финансијска средства по изворима у  дин.</w:t>
            </w:r>
            <w:r w:rsidRPr="009F2563">
              <w:rPr>
                <w:rFonts w:ascii="Arial" w:hAnsi="Arial" w:cs="Arial"/>
                <w:sz w:val="20"/>
                <w:szCs w:val="20"/>
                <w:vertAlign w:val="superscript"/>
              </w:rPr>
              <w:footnoteReference w:id="97"/>
            </w:r>
          </w:p>
        </w:tc>
      </w:tr>
      <w:tr w:rsidR="00370BA4" w:rsidRPr="009F2563" w:rsidTr="001858E0">
        <w:trPr>
          <w:trHeight w:val="386"/>
        </w:trPr>
        <w:tc>
          <w:tcPr>
            <w:tcW w:w="1725" w:type="dxa"/>
            <w:vMerge/>
            <w:tcBorders>
              <w:left w:val="double" w:sz="4" w:space="0" w:color="auto"/>
            </w:tcBorders>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301" w:type="dxa"/>
            <w:gridSpan w:val="5"/>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487" w:type="dxa"/>
            <w:gridSpan w:val="3"/>
            <w:vMerge/>
            <w:shd w:val="clear" w:color="auto" w:fill="FFF2CC" w:themeFill="accent4" w:themeFillTint="33"/>
            <w:vAlign w:val="center"/>
          </w:tcPr>
          <w:p w:rsidR="00370BA4" w:rsidRPr="009F2563" w:rsidRDefault="00370BA4" w:rsidP="00370BA4">
            <w:pPr>
              <w:rPr>
                <w:rFonts w:ascii="Arial" w:hAnsi="Arial" w:cs="Arial"/>
                <w:sz w:val="20"/>
                <w:szCs w:val="20"/>
              </w:rPr>
            </w:pPr>
          </w:p>
        </w:tc>
        <w:tc>
          <w:tcPr>
            <w:tcW w:w="1284"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039" w:type="dxa"/>
            <w:gridSpan w:val="4"/>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269" w:type="dxa"/>
            <w:gridSpan w:val="3"/>
            <w:vMerge/>
            <w:shd w:val="clear" w:color="auto" w:fill="FFF2CC" w:themeFill="accent4" w:themeFillTint="33"/>
            <w:vAlign w:val="center"/>
          </w:tcPr>
          <w:p w:rsidR="00370BA4" w:rsidRPr="009F2563" w:rsidRDefault="00370BA4" w:rsidP="00370BA4">
            <w:pPr>
              <w:jc w:val="center"/>
              <w:rPr>
                <w:rFonts w:ascii="Arial" w:hAnsi="Arial" w:cs="Arial"/>
                <w:sz w:val="20"/>
                <w:szCs w:val="20"/>
              </w:rPr>
            </w:pP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2021</w:t>
            </w:r>
          </w:p>
        </w:tc>
        <w:tc>
          <w:tcPr>
            <w:tcW w:w="1145" w:type="dxa"/>
            <w:gridSpan w:val="3"/>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2022</w:t>
            </w:r>
          </w:p>
        </w:tc>
        <w:tc>
          <w:tcPr>
            <w:tcW w:w="1146" w:type="dxa"/>
            <w:gridSpan w:val="2"/>
            <w:tcBorders>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2023</w:t>
            </w:r>
          </w:p>
        </w:tc>
        <w:tc>
          <w:tcPr>
            <w:tcW w:w="1145" w:type="dxa"/>
            <w:gridSpan w:val="4"/>
            <w:tcBorders>
              <w:left w:val="single" w:sz="4" w:space="0" w:color="auto"/>
              <w:right w:val="sing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2024</w:t>
            </w:r>
          </w:p>
        </w:tc>
        <w:tc>
          <w:tcPr>
            <w:tcW w:w="1146" w:type="dxa"/>
            <w:tcBorders>
              <w:left w:val="single" w:sz="4" w:space="0" w:color="auto"/>
              <w:right w:val="double" w:sz="4" w:space="0" w:color="auto"/>
            </w:tcBorders>
            <w:shd w:val="clear" w:color="auto" w:fill="FFF2CC" w:themeFill="accent4" w:themeFillTint="33"/>
            <w:vAlign w:val="center"/>
          </w:tcPr>
          <w:p w:rsidR="00370BA4" w:rsidRPr="009F2563" w:rsidRDefault="00370BA4" w:rsidP="00370BA4">
            <w:pPr>
              <w:jc w:val="center"/>
              <w:rPr>
                <w:rFonts w:ascii="Arial" w:hAnsi="Arial" w:cs="Arial"/>
                <w:sz w:val="20"/>
                <w:szCs w:val="20"/>
              </w:rPr>
            </w:pPr>
            <w:r w:rsidRPr="009F2563">
              <w:rPr>
                <w:rFonts w:ascii="Arial" w:hAnsi="Arial" w:cs="Arial"/>
                <w:sz w:val="20"/>
                <w:szCs w:val="20"/>
              </w:rPr>
              <w:t>2025</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D2040D" w:rsidRPr="00D03014" w:rsidRDefault="00D2040D" w:rsidP="00D2040D">
            <w:r w:rsidRPr="00D03014">
              <w:lastRenderedPageBreak/>
              <w:t>4.3.1.</w:t>
            </w:r>
          </w:p>
          <w:p w:rsidR="00D2040D" w:rsidRPr="00D03014" w:rsidRDefault="00D2040D" w:rsidP="00D2040D">
            <w:r w:rsidRPr="00D03014">
              <w:t>Увођење система континуираног испитивања публике у сврху препознавања укуса, навика и потреба</w:t>
            </w:r>
          </w:p>
        </w:tc>
        <w:tc>
          <w:tcPr>
            <w:tcW w:w="1301" w:type="dxa"/>
            <w:gridSpan w:val="5"/>
            <w:vAlign w:val="center"/>
          </w:tcPr>
          <w:p w:rsidR="00D2040D" w:rsidRPr="00D03014" w:rsidRDefault="00D2040D" w:rsidP="00D2040D">
            <w:r w:rsidRPr="00D03014">
              <w:t>Установе културе</w:t>
            </w:r>
          </w:p>
        </w:tc>
        <w:tc>
          <w:tcPr>
            <w:tcW w:w="1487" w:type="dxa"/>
            <w:gridSpan w:val="3"/>
            <w:vAlign w:val="center"/>
          </w:tcPr>
          <w:p w:rsidR="00D2040D" w:rsidRPr="00D03014" w:rsidRDefault="00D2040D" w:rsidP="00D2040D">
            <w:r w:rsidRPr="00D03014">
              <w:t>/</w:t>
            </w:r>
          </w:p>
        </w:tc>
        <w:tc>
          <w:tcPr>
            <w:tcW w:w="1284" w:type="dxa"/>
            <w:gridSpan w:val="3"/>
            <w:vAlign w:val="center"/>
          </w:tcPr>
          <w:p w:rsidR="00D2040D" w:rsidRPr="00776268" w:rsidRDefault="00D2040D" w:rsidP="00D2040D">
            <w:pPr>
              <w:jc w:val="right"/>
              <w:rPr>
                <w:lang/>
              </w:rPr>
            </w:pPr>
            <w:r>
              <w:t>202</w:t>
            </w:r>
            <w:r>
              <w:rPr>
                <w:lang/>
              </w:rPr>
              <w:t>2</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240.000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0</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D2040D" w:rsidRPr="00D03014" w:rsidRDefault="00D2040D" w:rsidP="00D2040D">
            <w:r w:rsidRPr="008A5CAE">
              <w:t>4.3.2.Увођење система  испитивања мотива и потреба туриста у туристичким објектима Сомбора и сагледавање улоге културе у мотивацији туристичких кретања</w:t>
            </w:r>
          </w:p>
        </w:tc>
        <w:tc>
          <w:tcPr>
            <w:tcW w:w="1301" w:type="dxa"/>
            <w:gridSpan w:val="5"/>
            <w:vAlign w:val="center"/>
          </w:tcPr>
          <w:p w:rsidR="00D2040D" w:rsidRPr="008A5CAE" w:rsidRDefault="00D2040D" w:rsidP="00D2040D">
            <w:pPr>
              <w:rPr>
                <w:lang/>
              </w:rPr>
            </w:pPr>
            <w:r>
              <w:rPr>
                <w:lang/>
              </w:rPr>
              <w:t>ТО Сомбор</w:t>
            </w:r>
          </w:p>
        </w:tc>
        <w:tc>
          <w:tcPr>
            <w:tcW w:w="1487" w:type="dxa"/>
            <w:gridSpan w:val="3"/>
            <w:vAlign w:val="center"/>
          </w:tcPr>
          <w:p w:rsidR="00D2040D" w:rsidRPr="008A5CAE" w:rsidRDefault="00D2040D" w:rsidP="00D2040D">
            <w:pPr>
              <w:rPr>
                <w:lang/>
              </w:rPr>
            </w:pPr>
            <w:r>
              <w:rPr>
                <w:lang/>
              </w:rPr>
              <w:t>туристички смештаји</w:t>
            </w:r>
          </w:p>
        </w:tc>
        <w:tc>
          <w:tcPr>
            <w:tcW w:w="1284" w:type="dxa"/>
            <w:gridSpan w:val="3"/>
            <w:vAlign w:val="center"/>
          </w:tcPr>
          <w:p w:rsidR="00D2040D" w:rsidRPr="008A5CAE" w:rsidRDefault="00D2040D" w:rsidP="00D2040D">
            <w:pPr>
              <w:jc w:val="right"/>
              <w:rPr>
                <w:lang/>
              </w:rPr>
            </w:pPr>
            <w:r>
              <w:rPr>
                <w:lang/>
              </w:rPr>
              <w:t>2023</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160.000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0</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D2040D" w:rsidRPr="00D03014" w:rsidRDefault="00D2040D" w:rsidP="00D2040D">
            <w:r>
              <w:t>4.3.3</w:t>
            </w:r>
            <w:r w:rsidRPr="00D03014">
              <w:t>.</w:t>
            </w:r>
          </w:p>
          <w:p w:rsidR="00D2040D" w:rsidRPr="00D03014" w:rsidRDefault="00D2040D" w:rsidP="00D2040D">
            <w:r w:rsidRPr="00D03014">
              <w:t xml:space="preserve">Увођење испитивања културних потреба и навика становника руралних подручја </w:t>
            </w:r>
          </w:p>
        </w:tc>
        <w:tc>
          <w:tcPr>
            <w:tcW w:w="1301" w:type="dxa"/>
            <w:gridSpan w:val="5"/>
            <w:vAlign w:val="center"/>
          </w:tcPr>
          <w:p w:rsidR="00D2040D" w:rsidRPr="00D03014" w:rsidRDefault="00D2040D" w:rsidP="00D2040D">
            <w:r w:rsidRPr="00D03014">
              <w:t>Културни центар Лаза Костић</w:t>
            </w:r>
          </w:p>
        </w:tc>
        <w:tc>
          <w:tcPr>
            <w:tcW w:w="1487" w:type="dxa"/>
            <w:gridSpan w:val="3"/>
            <w:vAlign w:val="center"/>
          </w:tcPr>
          <w:p w:rsidR="00D2040D" w:rsidRPr="00D03014" w:rsidRDefault="00D2040D" w:rsidP="00D2040D">
            <w:r w:rsidRPr="00D03014">
              <w:t>/</w:t>
            </w:r>
          </w:p>
        </w:tc>
        <w:tc>
          <w:tcPr>
            <w:tcW w:w="1284" w:type="dxa"/>
            <w:gridSpan w:val="3"/>
            <w:vAlign w:val="center"/>
          </w:tcPr>
          <w:p w:rsidR="00D2040D" w:rsidRPr="00D03014" w:rsidRDefault="00D2040D" w:rsidP="00D2040D">
            <w:pPr>
              <w:jc w:val="right"/>
            </w:pPr>
            <w:r>
              <w:t>2023</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270.000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0</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vAlign w:val="center"/>
          </w:tcPr>
          <w:p w:rsidR="00D2040D" w:rsidRPr="00D03014" w:rsidRDefault="00D2040D" w:rsidP="00D2040D">
            <w:r>
              <w:t>4.3.4</w:t>
            </w:r>
            <w:r w:rsidRPr="00D03014">
              <w:t>.</w:t>
            </w:r>
          </w:p>
          <w:p w:rsidR="00D2040D" w:rsidRPr="00D03014" w:rsidRDefault="00D2040D" w:rsidP="00D2040D">
            <w:r w:rsidRPr="00D03014">
              <w:t xml:space="preserve">Покретање програма дечје позоришне сцене у оквиру Културног </w:t>
            </w:r>
            <w:r w:rsidRPr="00D03014">
              <w:lastRenderedPageBreak/>
              <w:t xml:space="preserve">центра </w:t>
            </w:r>
          </w:p>
        </w:tc>
        <w:tc>
          <w:tcPr>
            <w:tcW w:w="1301" w:type="dxa"/>
            <w:gridSpan w:val="5"/>
            <w:vAlign w:val="center"/>
          </w:tcPr>
          <w:p w:rsidR="00D2040D" w:rsidRPr="00D03014" w:rsidRDefault="00D2040D" w:rsidP="00D2040D">
            <w:pPr>
              <w:rPr>
                <w:color w:val="00B050"/>
              </w:rPr>
            </w:pPr>
            <w:r w:rsidRPr="00D03014">
              <w:lastRenderedPageBreak/>
              <w:t>ГУ Сомбор</w:t>
            </w:r>
          </w:p>
        </w:tc>
        <w:tc>
          <w:tcPr>
            <w:tcW w:w="1487" w:type="dxa"/>
            <w:gridSpan w:val="3"/>
            <w:vAlign w:val="center"/>
          </w:tcPr>
          <w:p w:rsidR="00D2040D" w:rsidRPr="00D03014" w:rsidRDefault="00D2040D" w:rsidP="00D2040D">
            <w:r w:rsidRPr="00D03014">
              <w:t>Културни центар „Лаза Костић“</w:t>
            </w:r>
          </w:p>
        </w:tc>
        <w:tc>
          <w:tcPr>
            <w:tcW w:w="1284" w:type="dxa"/>
            <w:gridSpan w:val="3"/>
            <w:vAlign w:val="center"/>
          </w:tcPr>
          <w:p w:rsidR="00D2040D" w:rsidRPr="00D03014" w:rsidRDefault="00D2040D" w:rsidP="00D2040D">
            <w:pPr>
              <w:jc w:val="right"/>
            </w:pPr>
            <w:r>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1.000.000*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500.000*</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D2040D" w:rsidRPr="00D03014" w:rsidRDefault="00D2040D" w:rsidP="00D2040D">
            <w:r>
              <w:lastRenderedPageBreak/>
              <w:t>4.3.5</w:t>
            </w:r>
            <w:r w:rsidRPr="00D03014">
              <w:t>.</w:t>
            </w:r>
          </w:p>
          <w:p w:rsidR="00D2040D" w:rsidRPr="00D03014" w:rsidRDefault="00D2040D" w:rsidP="00D2040D">
            <w:r w:rsidRPr="00D03014">
              <w:t>Креирање програма за маргинализоване групе</w:t>
            </w:r>
          </w:p>
        </w:tc>
        <w:tc>
          <w:tcPr>
            <w:tcW w:w="1301" w:type="dxa"/>
            <w:gridSpan w:val="5"/>
            <w:vAlign w:val="center"/>
          </w:tcPr>
          <w:p w:rsidR="00D2040D" w:rsidRPr="00D03014" w:rsidRDefault="00D2040D" w:rsidP="00D2040D">
            <w:r w:rsidRPr="00D03014">
              <w:t>ГУ Сомбор</w:t>
            </w:r>
          </w:p>
        </w:tc>
        <w:tc>
          <w:tcPr>
            <w:tcW w:w="1487" w:type="dxa"/>
            <w:gridSpan w:val="3"/>
            <w:vAlign w:val="center"/>
          </w:tcPr>
          <w:p w:rsidR="00D2040D" w:rsidRPr="00D03014" w:rsidRDefault="00D2040D" w:rsidP="00D2040D">
            <w:r w:rsidRPr="00D03014">
              <w:t>установе културе, ОЦД</w:t>
            </w:r>
          </w:p>
        </w:tc>
        <w:tc>
          <w:tcPr>
            <w:tcW w:w="1284" w:type="dxa"/>
            <w:gridSpan w:val="3"/>
            <w:vAlign w:val="center"/>
          </w:tcPr>
          <w:p w:rsidR="00D2040D" w:rsidRPr="00776268" w:rsidRDefault="00D2040D" w:rsidP="00D2040D">
            <w:pPr>
              <w:jc w:val="right"/>
              <w:rPr>
                <w:lang/>
              </w:rPr>
            </w:pPr>
            <w:r>
              <w:rPr>
                <w:lang/>
              </w:rPr>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80.000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200.000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200.000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200.000</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D2040D" w:rsidRPr="00D03014" w:rsidRDefault="00D2040D" w:rsidP="00D2040D">
            <w:r>
              <w:t>4.3.6</w:t>
            </w:r>
            <w:r w:rsidRPr="00D03014">
              <w:t>.</w:t>
            </w:r>
          </w:p>
          <w:p w:rsidR="00D2040D" w:rsidRPr="00D03014" w:rsidRDefault="00D2040D" w:rsidP="00D2040D">
            <w:r w:rsidRPr="00D03014">
              <w:t>Организација смотре/такмичења села у области културе</w:t>
            </w:r>
          </w:p>
        </w:tc>
        <w:tc>
          <w:tcPr>
            <w:tcW w:w="1301" w:type="dxa"/>
            <w:gridSpan w:val="5"/>
            <w:vAlign w:val="center"/>
          </w:tcPr>
          <w:p w:rsidR="00D2040D" w:rsidRPr="00D03014" w:rsidRDefault="00D2040D" w:rsidP="00D2040D">
            <w:r w:rsidRPr="00D03014">
              <w:t>ГУ Сомбор</w:t>
            </w:r>
          </w:p>
        </w:tc>
        <w:tc>
          <w:tcPr>
            <w:tcW w:w="1487" w:type="dxa"/>
            <w:gridSpan w:val="3"/>
            <w:vAlign w:val="center"/>
          </w:tcPr>
          <w:p w:rsidR="00D2040D" w:rsidRPr="00D03014" w:rsidRDefault="00D2040D" w:rsidP="00D2040D">
            <w:r w:rsidRPr="00D03014">
              <w:t>КЦ Лаза Костић, ОЦД, Месне заједнице</w:t>
            </w:r>
          </w:p>
        </w:tc>
        <w:tc>
          <w:tcPr>
            <w:tcW w:w="1284" w:type="dxa"/>
            <w:gridSpan w:val="3"/>
            <w:vAlign w:val="center"/>
          </w:tcPr>
          <w:p w:rsidR="00D2040D" w:rsidRPr="00D03014" w:rsidRDefault="00D2040D" w:rsidP="00D2040D">
            <w:pPr>
              <w:jc w:val="right"/>
            </w:pPr>
            <w:r>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400.000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400.000</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D2040D" w:rsidRPr="00D03014" w:rsidRDefault="00D2040D" w:rsidP="00D2040D">
            <w:r>
              <w:t>4.3.7</w:t>
            </w:r>
            <w:r w:rsidRPr="00D03014">
              <w:t>.</w:t>
            </w:r>
          </w:p>
          <w:p w:rsidR="00D2040D" w:rsidRPr="00D03014" w:rsidRDefault="00D2040D" w:rsidP="00D2040D">
            <w:r w:rsidRPr="00D03014">
              <w:t>Разматрање могућности међународне и прекограничне сарадње у пољу културе и културног туризма</w:t>
            </w:r>
          </w:p>
        </w:tc>
        <w:tc>
          <w:tcPr>
            <w:tcW w:w="1301" w:type="dxa"/>
            <w:gridSpan w:val="5"/>
            <w:vAlign w:val="center"/>
          </w:tcPr>
          <w:p w:rsidR="00D2040D" w:rsidRPr="00D03014" w:rsidRDefault="00D2040D" w:rsidP="00D2040D">
            <w:pPr>
              <w:rPr>
                <w:color w:val="00B050"/>
              </w:rPr>
            </w:pPr>
            <w:r w:rsidRPr="00D03014">
              <w:t>ГУ Сомбор</w:t>
            </w:r>
          </w:p>
        </w:tc>
        <w:tc>
          <w:tcPr>
            <w:tcW w:w="1487" w:type="dxa"/>
            <w:gridSpan w:val="3"/>
            <w:vAlign w:val="center"/>
          </w:tcPr>
          <w:p w:rsidR="00D2040D" w:rsidRPr="00D03014" w:rsidRDefault="00D2040D" w:rsidP="00D2040D">
            <w:r w:rsidRPr="00D03014">
              <w:t>установе културе, ОЦД</w:t>
            </w:r>
          </w:p>
        </w:tc>
        <w:tc>
          <w:tcPr>
            <w:tcW w:w="1284" w:type="dxa"/>
            <w:gridSpan w:val="3"/>
            <w:vAlign w:val="center"/>
          </w:tcPr>
          <w:p w:rsidR="00D2040D" w:rsidRPr="00D03014" w:rsidRDefault="00D2040D" w:rsidP="00D2040D">
            <w:pPr>
              <w:jc w:val="right"/>
            </w:pPr>
            <w:r w:rsidRPr="00D03014">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5.000.000*</w:t>
            </w:r>
          </w:p>
        </w:tc>
      </w:tr>
      <w:tr w:rsidR="00D2040D" w:rsidRPr="00D03014" w:rsidTr="001858E0">
        <w:trPr>
          <w:trHeight w:val="386"/>
        </w:trPr>
        <w:tc>
          <w:tcPr>
            <w:tcW w:w="1725" w:type="dxa"/>
            <w:tcBorders>
              <w:top w:val="single" w:sz="4" w:space="0" w:color="auto"/>
              <w:left w:val="double" w:sz="4" w:space="0" w:color="auto"/>
              <w:bottom w:val="single" w:sz="4" w:space="0" w:color="000000"/>
              <w:right w:val="single" w:sz="4" w:space="0" w:color="auto"/>
            </w:tcBorders>
            <w:shd w:val="clear" w:color="000000" w:fill="FFFFFF"/>
            <w:vAlign w:val="center"/>
          </w:tcPr>
          <w:p w:rsidR="00D2040D" w:rsidRPr="00D03014" w:rsidRDefault="00D2040D" w:rsidP="00D2040D">
            <w:r>
              <w:t>4.3.8</w:t>
            </w:r>
            <w:r w:rsidRPr="00D03014">
              <w:t>.</w:t>
            </w:r>
          </w:p>
          <w:p w:rsidR="00D2040D" w:rsidRPr="00D03014" w:rsidRDefault="00D2040D" w:rsidP="00D2040D">
            <w:r w:rsidRPr="00D03014">
              <w:t xml:space="preserve">Профилисање филмског фестивала у јединствени културни програм у свету филма </w:t>
            </w:r>
          </w:p>
        </w:tc>
        <w:tc>
          <w:tcPr>
            <w:tcW w:w="1301" w:type="dxa"/>
            <w:gridSpan w:val="5"/>
            <w:vAlign w:val="center"/>
          </w:tcPr>
          <w:p w:rsidR="00D2040D" w:rsidRPr="00D03014" w:rsidRDefault="00D2040D" w:rsidP="00D2040D">
            <w:r w:rsidRPr="00D03014">
              <w:t>ГУ Сомбор</w:t>
            </w:r>
          </w:p>
        </w:tc>
        <w:tc>
          <w:tcPr>
            <w:tcW w:w="1487" w:type="dxa"/>
            <w:gridSpan w:val="3"/>
            <w:vAlign w:val="center"/>
          </w:tcPr>
          <w:p w:rsidR="00D2040D" w:rsidRPr="00D03014" w:rsidRDefault="00D2040D" w:rsidP="00D2040D">
            <w:r w:rsidRPr="00D03014">
              <w:t>Филмска асоцијација Србије, Филмски центар Србије, МКИ, ОЦД</w:t>
            </w:r>
          </w:p>
        </w:tc>
        <w:tc>
          <w:tcPr>
            <w:tcW w:w="1284" w:type="dxa"/>
            <w:gridSpan w:val="3"/>
            <w:vAlign w:val="center"/>
          </w:tcPr>
          <w:p w:rsidR="00D2040D" w:rsidRPr="00D03014" w:rsidRDefault="00D2040D" w:rsidP="00D2040D">
            <w:pPr>
              <w:jc w:val="right"/>
            </w:pPr>
            <w:r>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1.240.000</w:t>
            </w:r>
          </w:p>
        </w:tc>
      </w:tr>
      <w:tr w:rsidR="00D2040D"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shd w:val="clear" w:color="000000" w:fill="FFFFFF"/>
            <w:vAlign w:val="center"/>
          </w:tcPr>
          <w:p w:rsidR="00D2040D" w:rsidRPr="00D03014" w:rsidRDefault="00D2040D" w:rsidP="00D2040D">
            <w:r>
              <w:t>4.3.9</w:t>
            </w:r>
            <w:r w:rsidRPr="00D03014">
              <w:t>.</w:t>
            </w:r>
          </w:p>
          <w:p w:rsidR="00D2040D" w:rsidRPr="00D03014" w:rsidRDefault="00D2040D" w:rsidP="00D2040D">
            <w:r w:rsidRPr="00D03014">
              <w:t xml:space="preserve">Иницирање нових уписа на листу НКН </w:t>
            </w:r>
          </w:p>
        </w:tc>
        <w:tc>
          <w:tcPr>
            <w:tcW w:w="1301" w:type="dxa"/>
            <w:gridSpan w:val="5"/>
            <w:vAlign w:val="center"/>
          </w:tcPr>
          <w:p w:rsidR="00D2040D" w:rsidRPr="00D03014" w:rsidRDefault="00D2040D" w:rsidP="00D2040D">
            <w:r w:rsidRPr="00D03014">
              <w:t>ГУ Сомбор</w:t>
            </w:r>
          </w:p>
        </w:tc>
        <w:tc>
          <w:tcPr>
            <w:tcW w:w="1487" w:type="dxa"/>
            <w:gridSpan w:val="3"/>
            <w:vAlign w:val="center"/>
          </w:tcPr>
          <w:p w:rsidR="00D2040D" w:rsidRPr="00D03014" w:rsidRDefault="00D2040D" w:rsidP="00D2040D">
            <w:r w:rsidRPr="00D03014">
              <w:t>Градски музеј Сомбор, ОЦД</w:t>
            </w:r>
          </w:p>
        </w:tc>
        <w:tc>
          <w:tcPr>
            <w:tcW w:w="1284" w:type="dxa"/>
            <w:gridSpan w:val="3"/>
            <w:vAlign w:val="center"/>
          </w:tcPr>
          <w:p w:rsidR="00D2040D" w:rsidRPr="00D03014" w:rsidRDefault="00D2040D" w:rsidP="00D2040D">
            <w:pPr>
              <w:jc w:val="right"/>
            </w:pPr>
            <w:r w:rsidRPr="00D03014">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0</w:t>
            </w:r>
          </w:p>
        </w:tc>
      </w:tr>
      <w:tr w:rsidR="00D2040D"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shd w:val="clear" w:color="000000" w:fill="FFFFFF"/>
            <w:vAlign w:val="center"/>
          </w:tcPr>
          <w:p w:rsidR="00D2040D" w:rsidRPr="00D03014" w:rsidRDefault="00D2040D" w:rsidP="00D2040D">
            <w:r>
              <w:t>4.3.10</w:t>
            </w:r>
            <w:r w:rsidRPr="00D03014">
              <w:t>.</w:t>
            </w:r>
          </w:p>
          <w:p w:rsidR="00D2040D" w:rsidRPr="00D03014" w:rsidRDefault="00D2040D" w:rsidP="00D2040D">
            <w:r w:rsidRPr="00D03014">
              <w:t xml:space="preserve">Конзервација и презентација Повеље слободног и </w:t>
            </w:r>
            <w:r w:rsidRPr="00D03014">
              <w:lastRenderedPageBreak/>
              <w:t xml:space="preserve">краљевског града Сомбора </w:t>
            </w:r>
          </w:p>
        </w:tc>
        <w:tc>
          <w:tcPr>
            <w:tcW w:w="1301" w:type="dxa"/>
            <w:gridSpan w:val="5"/>
            <w:vAlign w:val="center"/>
          </w:tcPr>
          <w:p w:rsidR="00D2040D" w:rsidRPr="00D03014" w:rsidRDefault="00D2040D" w:rsidP="00D2040D">
            <w:r w:rsidRPr="00D03014">
              <w:lastRenderedPageBreak/>
              <w:t>ГУ Сомбор</w:t>
            </w:r>
          </w:p>
        </w:tc>
        <w:tc>
          <w:tcPr>
            <w:tcW w:w="1487" w:type="dxa"/>
            <w:gridSpan w:val="3"/>
            <w:vAlign w:val="center"/>
          </w:tcPr>
          <w:p w:rsidR="00D2040D" w:rsidRPr="00D03014" w:rsidRDefault="00D2040D" w:rsidP="00D2040D">
            <w:r w:rsidRPr="00D03014">
              <w:t xml:space="preserve">Историјски архив Сомбор, Градски музеј </w:t>
            </w:r>
            <w:r w:rsidRPr="00D03014">
              <w:lastRenderedPageBreak/>
              <w:t>Сомбор</w:t>
            </w:r>
          </w:p>
        </w:tc>
        <w:tc>
          <w:tcPr>
            <w:tcW w:w="1284" w:type="dxa"/>
            <w:gridSpan w:val="3"/>
            <w:vAlign w:val="center"/>
          </w:tcPr>
          <w:p w:rsidR="00D2040D" w:rsidRPr="00D03014" w:rsidRDefault="00D2040D" w:rsidP="00D2040D">
            <w:pPr>
              <w:jc w:val="right"/>
            </w:pPr>
            <w:r>
              <w:lastRenderedPageBreak/>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1.000.000*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3.000.000*</w:t>
            </w:r>
          </w:p>
        </w:tc>
      </w:tr>
      <w:tr w:rsidR="00D2040D"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shd w:val="clear" w:color="000000" w:fill="FFFFFF"/>
            <w:vAlign w:val="center"/>
          </w:tcPr>
          <w:p w:rsidR="00D2040D" w:rsidRPr="00D03014" w:rsidRDefault="00D2040D" w:rsidP="00D2040D">
            <w:r>
              <w:lastRenderedPageBreak/>
              <w:t>4.3.11</w:t>
            </w:r>
            <w:r w:rsidRPr="00D03014">
              <w:t>.</w:t>
            </w:r>
          </w:p>
          <w:p w:rsidR="00D2040D" w:rsidRPr="00D03014" w:rsidRDefault="00D2040D" w:rsidP="00D2040D">
            <w:r w:rsidRPr="00D03014">
              <w:t>Спровођење систематског  археолошког ископавања на локалитету Магарећи млин на којем је пронађен фрагмент лобање из периода мезолита, јединог локалитета из тог периода на територији АП Војводина</w:t>
            </w:r>
          </w:p>
        </w:tc>
        <w:tc>
          <w:tcPr>
            <w:tcW w:w="1301" w:type="dxa"/>
            <w:gridSpan w:val="5"/>
            <w:vAlign w:val="center"/>
          </w:tcPr>
          <w:p w:rsidR="00D2040D" w:rsidRPr="00D03014" w:rsidRDefault="00D2040D" w:rsidP="00D2040D">
            <w:r w:rsidRPr="00D03014">
              <w:t>Градски музеј Сомбор</w:t>
            </w:r>
          </w:p>
        </w:tc>
        <w:tc>
          <w:tcPr>
            <w:tcW w:w="1487" w:type="dxa"/>
            <w:gridSpan w:val="3"/>
            <w:vAlign w:val="center"/>
          </w:tcPr>
          <w:p w:rsidR="00D2040D" w:rsidRPr="00D03014" w:rsidRDefault="00D2040D" w:rsidP="00D2040D">
            <w:r w:rsidRPr="00D03014">
              <w:t>ГУ Сомбор, МКИ, покрајински секретаријат надлежан за културу</w:t>
            </w:r>
          </w:p>
        </w:tc>
        <w:tc>
          <w:tcPr>
            <w:tcW w:w="1284" w:type="dxa"/>
            <w:gridSpan w:val="3"/>
            <w:vAlign w:val="center"/>
          </w:tcPr>
          <w:p w:rsidR="00D2040D" w:rsidRPr="00D03014" w:rsidRDefault="00D2040D" w:rsidP="00D2040D">
            <w:pPr>
              <w:jc w:val="right"/>
            </w:pPr>
            <w:r>
              <w:t>2022</w:t>
            </w:r>
            <w:r w:rsidRPr="00D03014">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520.000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800.000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800.000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1.150.000</w:t>
            </w:r>
          </w:p>
        </w:tc>
      </w:tr>
      <w:tr w:rsidR="00D2040D"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shd w:val="clear" w:color="000000" w:fill="FFFFFF"/>
            <w:vAlign w:val="center"/>
          </w:tcPr>
          <w:p w:rsidR="00D2040D" w:rsidRPr="00B17A1E" w:rsidRDefault="00D2040D" w:rsidP="00D2040D">
            <w:pPr>
              <w:rPr>
                <w:lang/>
              </w:rPr>
            </w:pPr>
            <w:r>
              <w:rPr>
                <w:lang/>
              </w:rPr>
              <w:t>4.3.12. Обележавање 140 година Градског музеја сомбор реализацијом Годишње Скупштине Српског археолошког друштва у Сомбору</w:t>
            </w:r>
          </w:p>
        </w:tc>
        <w:tc>
          <w:tcPr>
            <w:tcW w:w="1301" w:type="dxa"/>
            <w:gridSpan w:val="5"/>
            <w:vAlign w:val="center"/>
          </w:tcPr>
          <w:p w:rsidR="00D2040D" w:rsidRPr="00B17A1E" w:rsidRDefault="00D2040D" w:rsidP="00D2040D">
            <w:pPr>
              <w:rPr>
                <w:lang/>
              </w:rPr>
            </w:pPr>
            <w:r>
              <w:rPr>
                <w:lang/>
              </w:rPr>
              <w:t>Градски музеј Сомбор</w:t>
            </w:r>
          </w:p>
        </w:tc>
        <w:tc>
          <w:tcPr>
            <w:tcW w:w="1487" w:type="dxa"/>
            <w:gridSpan w:val="3"/>
            <w:vAlign w:val="center"/>
          </w:tcPr>
          <w:p w:rsidR="00D2040D" w:rsidRPr="00B17A1E" w:rsidRDefault="00D2040D" w:rsidP="00D2040D">
            <w:pPr>
              <w:rPr>
                <w:lang/>
              </w:rPr>
            </w:pPr>
            <w:r>
              <w:rPr>
                <w:lang/>
              </w:rPr>
              <w:t>Српско археолошко друштво</w:t>
            </w:r>
          </w:p>
        </w:tc>
        <w:tc>
          <w:tcPr>
            <w:tcW w:w="1284" w:type="dxa"/>
            <w:gridSpan w:val="3"/>
            <w:vAlign w:val="center"/>
          </w:tcPr>
          <w:p w:rsidR="00D2040D" w:rsidRPr="00B17A1E" w:rsidRDefault="00D2040D" w:rsidP="00D2040D">
            <w:pPr>
              <w:jc w:val="right"/>
              <w:rPr>
                <w:lang/>
              </w:rPr>
            </w:pPr>
            <w:r>
              <w:rPr>
                <w:lang/>
              </w:rPr>
              <w:t>2023</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200.000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0</w:t>
            </w:r>
          </w:p>
        </w:tc>
      </w:tr>
      <w:tr w:rsidR="00D2040D" w:rsidRPr="00D03014" w:rsidTr="001858E0">
        <w:trPr>
          <w:trHeight w:val="386"/>
        </w:trPr>
        <w:tc>
          <w:tcPr>
            <w:tcW w:w="1725" w:type="dxa"/>
            <w:tcBorders>
              <w:top w:val="single" w:sz="4" w:space="0" w:color="auto"/>
              <w:left w:val="double" w:sz="4" w:space="0" w:color="auto"/>
              <w:bottom w:val="single" w:sz="4" w:space="0" w:color="auto"/>
              <w:right w:val="single" w:sz="4" w:space="0" w:color="auto"/>
            </w:tcBorders>
            <w:shd w:val="clear" w:color="000000" w:fill="FFFFFF"/>
            <w:vAlign w:val="center"/>
          </w:tcPr>
          <w:p w:rsidR="00D2040D" w:rsidRPr="00D03014" w:rsidRDefault="00D2040D" w:rsidP="00D2040D">
            <w:r>
              <w:t>4.3.13</w:t>
            </w:r>
            <w:r w:rsidRPr="00D03014">
              <w:t>.</w:t>
            </w:r>
          </w:p>
          <w:p w:rsidR="00D2040D" w:rsidRPr="00D03014" w:rsidRDefault="00D2040D" w:rsidP="00D2040D">
            <w:r w:rsidRPr="00D03014">
              <w:t xml:space="preserve">Креирање завичајних збирки насељених места која </w:t>
            </w:r>
            <w:r w:rsidRPr="00D03014">
              <w:lastRenderedPageBreak/>
              <w:t>припадају граду Сомбору</w:t>
            </w:r>
          </w:p>
        </w:tc>
        <w:tc>
          <w:tcPr>
            <w:tcW w:w="1301" w:type="dxa"/>
            <w:gridSpan w:val="5"/>
            <w:vAlign w:val="center"/>
          </w:tcPr>
          <w:p w:rsidR="00D2040D" w:rsidRPr="00D03014" w:rsidRDefault="00D2040D" w:rsidP="00D2040D">
            <w:r w:rsidRPr="00D03014">
              <w:lastRenderedPageBreak/>
              <w:t>ГУ Сомбор</w:t>
            </w:r>
          </w:p>
        </w:tc>
        <w:tc>
          <w:tcPr>
            <w:tcW w:w="1487" w:type="dxa"/>
            <w:gridSpan w:val="3"/>
            <w:vAlign w:val="center"/>
          </w:tcPr>
          <w:p w:rsidR="00D2040D" w:rsidRPr="00D03014" w:rsidRDefault="00D2040D" w:rsidP="00D2040D">
            <w:r w:rsidRPr="00D03014">
              <w:t>установе културе, ОЦД</w:t>
            </w:r>
          </w:p>
        </w:tc>
        <w:tc>
          <w:tcPr>
            <w:tcW w:w="1284" w:type="dxa"/>
            <w:gridSpan w:val="3"/>
            <w:vAlign w:val="center"/>
          </w:tcPr>
          <w:p w:rsidR="00D2040D" w:rsidRPr="00D03014" w:rsidRDefault="00D2040D" w:rsidP="00D2040D">
            <w:pPr>
              <w:jc w:val="right"/>
            </w:pPr>
            <w:r w:rsidRPr="00D03014">
              <w:t>2025</w:t>
            </w:r>
          </w:p>
        </w:tc>
        <w:tc>
          <w:tcPr>
            <w:tcW w:w="1039" w:type="dxa"/>
            <w:gridSpan w:val="4"/>
            <w:vAlign w:val="center"/>
          </w:tcPr>
          <w:p w:rsidR="00D2040D" w:rsidRPr="00D03014" w:rsidRDefault="00D2040D" w:rsidP="00D2040D">
            <w:r>
              <w:rPr>
                <w:lang/>
              </w:rPr>
              <w:t>ГУ Сомбор</w:t>
            </w:r>
          </w:p>
        </w:tc>
        <w:tc>
          <w:tcPr>
            <w:tcW w:w="1269" w:type="dxa"/>
            <w:gridSpan w:val="3"/>
            <w:vAlign w:val="center"/>
          </w:tcPr>
          <w:p w:rsidR="00D2040D" w:rsidRPr="00D03014" w:rsidRDefault="00D2040D" w:rsidP="00D2040D"/>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5" w:type="dxa"/>
            <w:gridSpan w:val="3"/>
            <w:shd w:val="clear" w:color="auto" w:fill="auto"/>
            <w:vAlign w:val="center"/>
          </w:tcPr>
          <w:p w:rsidR="00D2040D" w:rsidRPr="00EF6F4E" w:rsidRDefault="00D2040D" w:rsidP="00D2040D">
            <w:pPr>
              <w:jc w:val="right"/>
              <w:rPr>
                <w:lang/>
              </w:rPr>
            </w:pPr>
            <w:r>
              <w:rPr>
                <w:lang/>
              </w:rPr>
              <w:t>0</w:t>
            </w:r>
          </w:p>
        </w:tc>
        <w:tc>
          <w:tcPr>
            <w:tcW w:w="1146" w:type="dxa"/>
            <w:gridSpan w:val="2"/>
            <w:tcBorders>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right w:val="double" w:sz="4" w:space="0" w:color="auto"/>
            </w:tcBorders>
            <w:shd w:val="clear" w:color="auto" w:fill="auto"/>
            <w:vAlign w:val="center"/>
          </w:tcPr>
          <w:p w:rsidR="00D2040D" w:rsidRPr="00EF6F4E" w:rsidRDefault="00D2040D" w:rsidP="00D2040D">
            <w:pPr>
              <w:jc w:val="right"/>
              <w:rPr>
                <w:lang/>
              </w:rPr>
            </w:pPr>
            <w:r>
              <w:rPr>
                <w:lang/>
              </w:rPr>
              <w:t>0</w:t>
            </w:r>
          </w:p>
        </w:tc>
      </w:tr>
      <w:tr w:rsidR="00D2040D" w:rsidRPr="00D03014" w:rsidTr="00F61C95">
        <w:trPr>
          <w:trHeight w:val="386"/>
        </w:trPr>
        <w:tc>
          <w:tcPr>
            <w:tcW w:w="1725" w:type="dxa"/>
            <w:tcBorders>
              <w:top w:val="single" w:sz="4" w:space="0" w:color="auto"/>
              <w:left w:val="double" w:sz="4" w:space="0" w:color="auto"/>
              <w:bottom w:val="double" w:sz="4" w:space="0" w:color="auto"/>
              <w:right w:val="single" w:sz="4" w:space="0" w:color="auto"/>
            </w:tcBorders>
            <w:shd w:val="clear" w:color="000000" w:fill="FFFFFF"/>
            <w:vAlign w:val="center"/>
          </w:tcPr>
          <w:p w:rsidR="00D2040D" w:rsidRPr="00D03014" w:rsidRDefault="00D2040D" w:rsidP="00D2040D">
            <w:r>
              <w:lastRenderedPageBreak/>
              <w:t>4.3.14</w:t>
            </w:r>
            <w:r w:rsidRPr="00D03014">
              <w:t>.</w:t>
            </w:r>
          </w:p>
          <w:p w:rsidR="00D2040D" w:rsidRPr="00D03014" w:rsidRDefault="00D2040D" w:rsidP="00D2040D">
            <w:r w:rsidRPr="00D03014">
              <w:t>Разматрање могућности учешћа у културним рутама Савета Европе</w:t>
            </w:r>
          </w:p>
        </w:tc>
        <w:tc>
          <w:tcPr>
            <w:tcW w:w="1301" w:type="dxa"/>
            <w:gridSpan w:val="5"/>
            <w:tcBorders>
              <w:bottom w:val="double" w:sz="4" w:space="0" w:color="auto"/>
            </w:tcBorders>
            <w:vAlign w:val="center"/>
          </w:tcPr>
          <w:p w:rsidR="00D2040D" w:rsidRPr="00D03014" w:rsidRDefault="00D2040D" w:rsidP="00D2040D">
            <w:r w:rsidRPr="00D03014">
              <w:t>ГУ Сомбор</w:t>
            </w:r>
          </w:p>
        </w:tc>
        <w:tc>
          <w:tcPr>
            <w:tcW w:w="1487" w:type="dxa"/>
            <w:gridSpan w:val="3"/>
            <w:tcBorders>
              <w:bottom w:val="double" w:sz="4" w:space="0" w:color="auto"/>
            </w:tcBorders>
            <w:vAlign w:val="center"/>
          </w:tcPr>
          <w:p w:rsidR="00D2040D" w:rsidRPr="00D03014" w:rsidRDefault="00D2040D" w:rsidP="00D2040D">
            <w:r w:rsidRPr="00D03014">
              <w:t>установе културе</w:t>
            </w:r>
          </w:p>
        </w:tc>
        <w:tc>
          <w:tcPr>
            <w:tcW w:w="1284" w:type="dxa"/>
            <w:gridSpan w:val="3"/>
            <w:tcBorders>
              <w:bottom w:val="double" w:sz="4" w:space="0" w:color="auto"/>
            </w:tcBorders>
            <w:vAlign w:val="center"/>
          </w:tcPr>
          <w:p w:rsidR="00D2040D" w:rsidRPr="00D03014" w:rsidRDefault="00D2040D" w:rsidP="00D2040D">
            <w:pPr>
              <w:jc w:val="right"/>
            </w:pPr>
            <w:r w:rsidRPr="00D03014">
              <w:t>2025</w:t>
            </w:r>
          </w:p>
        </w:tc>
        <w:tc>
          <w:tcPr>
            <w:tcW w:w="1039" w:type="dxa"/>
            <w:gridSpan w:val="4"/>
            <w:tcBorders>
              <w:bottom w:val="double" w:sz="4" w:space="0" w:color="auto"/>
            </w:tcBorders>
            <w:vAlign w:val="center"/>
          </w:tcPr>
          <w:p w:rsidR="00D2040D" w:rsidRPr="00D03014" w:rsidRDefault="00D2040D" w:rsidP="00D2040D">
            <w:r>
              <w:rPr>
                <w:lang/>
              </w:rPr>
              <w:t>ГУ Сомбор</w:t>
            </w:r>
          </w:p>
        </w:tc>
        <w:tc>
          <w:tcPr>
            <w:tcW w:w="1269" w:type="dxa"/>
            <w:gridSpan w:val="3"/>
            <w:tcBorders>
              <w:bottom w:val="double" w:sz="4" w:space="0" w:color="auto"/>
            </w:tcBorders>
            <w:vAlign w:val="center"/>
          </w:tcPr>
          <w:p w:rsidR="00D2040D" w:rsidRPr="00D03014" w:rsidRDefault="00D2040D" w:rsidP="00D2040D"/>
        </w:tc>
        <w:tc>
          <w:tcPr>
            <w:tcW w:w="1145" w:type="dxa"/>
            <w:gridSpan w:val="3"/>
            <w:tcBorders>
              <w:bottom w:val="doub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3"/>
            <w:tcBorders>
              <w:bottom w:val="double" w:sz="4" w:space="0" w:color="auto"/>
            </w:tcBorders>
            <w:shd w:val="clear" w:color="auto" w:fill="auto"/>
            <w:vAlign w:val="center"/>
          </w:tcPr>
          <w:p w:rsidR="00D2040D" w:rsidRPr="00EF6F4E" w:rsidRDefault="00D2040D" w:rsidP="00D2040D">
            <w:pPr>
              <w:jc w:val="right"/>
              <w:rPr>
                <w:lang/>
              </w:rPr>
            </w:pPr>
            <w:r>
              <w:rPr>
                <w:lang/>
              </w:rPr>
              <w:t>0</w:t>
            </w:r>
          </w:p>
        </w:tc>
        <w:tc>
          <w:tcPr>
            <w:tcW w:w="1146" w:type="dxa"/>
            <w:gridSpan w:val="2"/>
            <w:tcBorders>
              <w:bottom w:val="doub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5" w:type="dxa"/>
            <w:gridSpan w:val="4"/>
            <w:tcBorders>
              <w:left w:val="single" w:sz="4" w:space="0" w:color="auto"/>
              <w:bottom w:val="double" w:sz="4" w:space="0" w:color="auto"/>
              <w:right w:val="single" w:sz="4" w:space="0" w:color="auto"/>
            </w:tcBorders>
            <w:shd w:val="clear" w:color="auto" w:fill="auto"/>
            <w:vAlign w:val="center"/>
          </w:tcPr>
          <w:p w:rsidR="00D2040D" w:rsidRPr="00EF6F4E" w:rsidRDefault="00D2040D" w:rsidP="00D2040D">
            <w:pPr>
              <w:jc w:val="right"/>
              <w:rPr>
                <w:lang/>
              </w:rPr>
            </w:pPr>
            <w:r>
              <w:rPr>
                <w:lang/>
              </w:rPr>
              <w:t>0</w:t>
            </w:r>
          </w:p>
        </w:tc>
        <w:tc>
          <w:tcPr>
            <w:tcW w:w="1146" w:type="dxa"/>
            <w:tcBorders>
              <w:left w:val="single" w:sz="4" w:space="0" w:color="auto"/>
              <w:bottom w:val="double" w:sz="4" w:space="0" w:color="auto"/>
              <w:right w:val="double" w:sz="4" w:space="0" w:color="auto"/>
            </w:tcBorders>
            <w:shd w:val="clear" w:color="auto" w:fill="auto"/>
            <w:vAlign w:val="center"/>
          </w:tcPr>
          <w:p w:rsidR="00D2040D" w:rsidRPr="00EF6F4E" w:rsidRDefault="00D2040D" w:rsidP="00D2040D">
            <w:pPr>
              <w:jc w:val="right"/>
              <w:rPr>
                <w:lang/>
              </w:rPr>
            </w:pPr>
            <w:r>
              <w:rPr>
                <w:lang/>
              </w:rPr>
              <w:t>0</w:t>
            </w:r>
          </w:p>
        </w:tc>
      </w:tr>
    </w:tbl>
    <w:p w:rsidR="0099762F" w:rsidRDefault="0099762F" w:rsidP="00D03014">
      <w:pPr>
        <w:jc w:val="both"/>
        <w:rPr>
          <w:rFonts w:ascii="Times New Roman" w:hAnsi="Times New Roman" w:cs="Times New Roman"/>
          <w:sz w:val="24"/>
          <w:szCs w:val="24"/>
        </w:rPr>
      </w:pPr>
    </w:p>
    <w:sectPr w:rsidR="0099762F" w:rsidSect="00D03014">
      <w:pgSz w:w="15840" w:h="12240" w:orient="landscape"/>
      <w:pgMar w:top="720" w:right="720" w:bottom="720" w:left="720"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DB3" w:rsidRDefault="00DE6DB3" w:rsidP="00DB7B9E">
      <w:pPr>
        <w:spacing w:after="0" w:line="240" w:lineRule="auto"/>
      </w:pPr>
      <w:r>
        <w:separator/>
      </w:r>
    </w:p>
  </w:endnote>
  <w:endnote w:type="continuationSeparator" w:id="0">
    <w:p w:rsidR="00DE6DB3" w:rsidRDefault="00DE6DB3" w:rsidP="00DB7B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4D" w:rsidRDefault="007034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4274390"/>
      <w:docPartObj>
        <w:docPartGallery w:val="Page Numbers (Bottom of Page)"/>
        <w:docPartUnique/>
      </w:docPartObj>
    </w:sdtPr>
    <w:sdtEndPr>
      <w:rPr>
        <w:rFonts w:ascii="Times New Roman" w:hAnsi="Times New Roman" w:cs="Times New Roman"/>
        <w:noProof/>
        <w:sz w:val="24"/>
        <w:szCs w:val="24"/>
      </w:rPr>
    </w:sdtEndPr>
    <w:sdtContent>
      <w:p w:rsidR="007B0EE0" w:rsidRPr="00234574" w:rsidRDefault="001472A9">
        <w:pPr>
          <w:pStyle w:val="Footer"/>
          <w:jc w:val="center"/>
          <w:rPr>
            <w:rFonts w:ascii="Times New Roman" w:hAnsi="Times New Roman" w:cs="Times New Roman"/>
            <w:sz w:val="24"/>
            <w:szCs w:val="24"/>
          </w:rPr>
        </w:pPr>
        <w:r w:rsidRPr="00234574">
          <w:rPr>
            <w:rFonts w:ascii="Times New Roman" w:hAnsi="Times New Roman" w:cs="Times New Roman"/>
            <w:sz w:val="24"/>
            <w:szCs w:val="24"/>
          </w:rPr>
          <w:fldChar w:fldCharType="begin"/>
        </w:r>
        <w:r w:rsidR="007B0EE0" w:rsidRPr="00234574">
          <w:rPr>
            <w:rFonts w:ascii="Times New Roman" w:hAnsi="Times New Roman" w:cs="Times New Roman"/>
            <w:sz w:val="24"/>
            <w:szCs w:val="24"/>
          </w:rPr>
          <w:instrText xml:space="preserve"> PAGE   \* MERGEFORMAT </w:instrText>
        </w:r>
        <w:r w:rsidRPr="00234574">
          <w:rPr>
            <w:rFonts w:ascii="Times New Roman" w:hAnsi="Times New Roman" w:cs="Times New Roman"/>
            <w:sz w:val="24"/>
            <w:szCs w:val="24"/>
          </w:rPr>
          <w:fldChar w:fldCharType="separate"/>
        </w:r>
        <w:r w:rsidR="0070344D">
          <w:rPr>
            <w:rFonts w:ascii="Times New Roman" w:hAnsi="Times New Roman" w:cs="Times New Roman"/>
            <w:noProof/>
            <w:sz w:val="24"/>
            <w:szCs w:val="24"/>
          </w:rPr>
          <w:t>1</w:t>
        </w:r>
        <w:r w:rsidRPr="00234574">
          <w:rPr>
            <w:rFonts w:ascii="Times New Roman" w:hAnsi="Times New Roman" w:cs="Times New Roman"/>
            <w:noProof/>
            <w:sz w:val="24"/>
            <w:szCs w:val="24"/>
          </w:rPr>
          <w:fldChar w:fldCharType="end"/>
        </w:r>
      </w:p>
    </w:sdtContent>
  </w:sdt>
  <w:p w:rsidR="007B0EE0" w:rsidRDefault="007B0E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4D" w:rsidRDefault="00703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DB3" w:rsidRDefault="00DE6DB3" w:rsidP="00DB7B9E">
      <w:pPr>
        <w:spacing w:after="0" w:line="240" w:lineRule="auto"/>
      </w:pPr>
      <w:r>
        <w:separator/>
      </w:r>
    </w:p>
  </w:footnote>
  <w:footnote w:type="continuationSeparator" w:id="0">
    <w:p w:rsidR="00DE6DB3" w:rsidRDefault="00DE6DB3" w:rsidP="00DB7B9E">
      <w:pPr>
        <w:spacing w:after="0" w:line="240" w:lineRule="auto"/>
      </w:pPr>
      <w:r>
        <w:continuationSeparator/>
      </w:r>
    </w:p>
  </w:footnote>
  <w:footnote w:id="1">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Стратегија одрживог развоја града Сомбора 2014 – </w:t>
      </w:r>
      <w:r>
        <w:rPr>
          <w:rFonts w:ascii="Times New Roman" w:hAnsi="Times New Roman" w:cs="Times New Roman"/>
        </w:rPr>
        <w:t>2021</w:t>
      </w:r>
      <w:r w:rsidRPr="00AB63D9">
        <w:rPr>
          <w:rFonts w:ascii="Times New Roman" w:hAnsi="Times New Roman" w:cs="Times New Roman"/>
        </w:rPr>
        <w:t>, стр. 147</w:t>
      </w:r>
    </w:p>
  </w:footnote>
  <w:footnote w:id="2">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Ђукић, В., Драгићевић – Шешић, М., Вукићевић, В., Субашић, Б., Опачић, Б., Ђековић, В., Николић, Т., Стојановић, А. 2018. </w:t>
      </w:r>
      <w:r w:rsidRPr="00AB63D9">
        <w:rPr>
          <w:rFonts w:ascii="Times New Roman" w:hAnsi="Times New Roman" w:cs="Times New Roman"/>
          <w:i/>
        </w:rPr>
        <w:t>Модели локалне културне политике као основа за повећање културне партиципације</w:t>
      </w:r>
      <w:r w:rsidRPr="00AB63D9">
        <w:rPr>
          <w:rFonts w:ascii="Times New Roman" w:hAnsi="Times New Roman" w:cs="Times New Roman"/>
        </w:rPr>
        <w:t>. Београд: Завод за проучавање културног развитка</w:t>
      </w:r>
    </w:p>
  </w:footnote>
  <w:footnote w:id="3">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Уговор о пословној сарадњи између Града Сомбора и Завода за проучавање културног развитка од 28.08.2019. године</w:t>
      </w:r>
    </w:p>
  </w:footnote>
  <w:footnote w:id="4">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Службени лист Града Сомбора бр. 18/19</w:t>
      </w:r>
    </w:p>
  </w:footnote>
  <w:footnote w:id="5">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У складу са чланом 103 Статута града Сомбора („Службени лист града Сомбора“, бр. 2/19) органи Града могу консултовати грађане, путем анкете, о питањима из своје надлежности </w:t>
      </w:r>
    </w:p>
  </w:footnote>
  <w:footnote w:id="6">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hyperlink r:id="rId1" w:history="1">
        <w:r w:rsidRPr="00AB63D9">
          <w:rPr>
            <w:rStyle w:val="Hyperlink"/>
            <w:rFonts w:ascii="Times New Roman" w:hAnsi="Times New Roman" w:cs="Times New Roman"/>
          </w:rPr>
          <w:t>http://popis2011.stat.rs/?page_id=2162</w:t>
        </w:r>
      </w:hyperlink>
      <w:r w:rsidRPr="00AB63D9">
        <w:rPr>
          <w:rFonts w:ascii="Times New Roman" w:hAnsi="Times New Roman" w:cs="Times New Roman"/>
        </w:rPr>
        <w:t xml:space="preserve"> , приступљено 12.12.2019.</w:t>
      </w:r>
    </w:p>
  </w:footnote>
  <w:footnote w:id="7">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noProof/>
        </w:rPr>
        <w:t>Повеља слободног и краљевског града Сомбора (назива се још и Елибертационо писмо или диплома) и чува се у Историјском архиву Сомбор</w:t>
      </w:r>
    </w:p>
  </w:footnote>
  <w:footnote w:id="8">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hyperlink r:id="rId2" w:history="1">
        <w:r w:rsidRPr="00AB63D9">
          <w:rPr>
            <w:rStyle w:val="Hyperlink"/>
            <w:rFonts w:ascii="Times New Roman" w:hAnsi="Times New Roman" w:cs="Times New Roman"/>
          </w:rPr>
          <w:t>http://www.pzzzsk.rs/nepokretna-kulturna-dobra-od-izuzetnog-znacaja-u-vojvodini.html</w:t>
        </w:r>
      </w:hyperlink>
      <w:r w:rsidRPr="00AB63D9">
        <w:rPr>
          <w:rFonts w:ascii="Times New Roman" w:hAnsi="Times New Roman" w:cs="Times New Roman"/>
        </w:rPr>
        <w:t xml:space="preserve">, </w:t>
      </w:r>
      <w:hyperlink r:id="rId3" w:history="1">
        <w:r w:rsidRPr="00AB63D9">
          <w:rPr>
            <w:rStyle w:val="Hyperlink"/>
            <w:rFonts w:ascii="Times New Roman" w:hAnsi="Times New Roman" w:cs="Times New Roman"/>
          </w:rPr>
          <w:t>http://www.pzzzsk.rs/nepokretna-kulturna-dobra-od-velikog-znacaja-u-vojvodini.html</w:t>
        </w:r>
      </w:hyperlink>
      <w:r w:rsidRPr="00AB63D9">
        <w:rPr>
          <w:rFonts w:ascii="Times New Roman" w:hAnsi="Times New Roman" w:cs="Times New Roman"/>
        </w:rPr>
        <w:t xml:space="preserve">, приступљено 12.12.2019. </w:t>
      </w:r>
    </w:p>
  </w:footnote>
  <w:footnote w:id="9">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hyperlink r:id="rId4" w:history="1">
        <w:r w:rsidRPr="00AB63D9">
          <w:rPr>
            <w:rStyle w:val="Hyperlink"/>
            <w:rFonts w:ascii="Times New Roman" w:hAnsi="Times New Roman" w:cs="Times New Roman"/>
          </w:rPr>
          <w:t>https://www.sombor.rs/o-somboru/kultura/</w:t>
        </w:r>
      </w:hyperlink>
      <w:r w:rsidRPr="00AB63D9">
        <w:rPr>
          <w:rFonts w:ascii="Times New Roman" w:hAnsi="Times New Roman" w:cs="Times New Roman"/>
        </w:rPr>
        <w:t xml:space="preserve">, приступљено 12.12.2019. </w:t>
      </w:r>
    </w:p>
  </w:footnote>
  <w:footnote w:id="10">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hyperlink r:id="rId5" w:history="1">
        <w:r w:rsidRPr="00AB63D9">
          <w:rPr>
            <w:rStyle w:val="Hyperlink"/>
            <w:rFonts w:ascii="Times New Roman" w:hAnsi="Times New Roman" w:cs="Times New Roman"/>
          </w:rPr>
          <w:t>http://www.nkns.rs/cyr/elementi-nkns</w:t>
        </w:r>
      </w:hyperlink>
      <w:r w:rsidRPr="00AB63D9">
        <w:rPr>
          <w:rFonts w:ascii="Times New Roman" w:hAnsi="Times New Roman" w:cs="Times New Roman"/>
        </w:rPr>
        <w:t xml:space="preserve">, приступљено 12.12.2019. </w:t>
      </w:r>
    </w:p>
  </w:footnote>
  <w:footnote w:id="11">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Део текста удружења грађана „Стапарска ружа“ из Стапара о стапарском ћилиму</w:t>
      </w:r>
    </w:p>
  </w:footnote>
  <w:footnote w:id="12">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hyperlink r:id="rId6" w:history="1">
        <w:r w:rsidRPr="00AB63D9">
          <w:rPr>
            <w:rStyle w:val="Hyperlink"/>
            <w:rFonts w:ascii="Times New Roman" w:hAnsi="Times New Roman" w:cs="Times New Roman"/>
          </w:rPr>
          <w:t>http://www.nkns.rs/cyr/popis-nkns/bezdanski-damast-umetshe-ruchnog-tkanja-ornamentisanog-svilenog-damasta-zhakar-tehnikom</w:t>
        </w:r>
      </w:hyperlink>
      <w:r w:rsidRPr="00AB63D9">
        <w:rPr>
          <w:rFonts w:ascii="Times New Roman" w:hAnsi="Times New Roman" w:cs="Times New Roman"/>
        </w:rPr>
        <w:t xml:space="preserve">, приступљено 12.12.2019. </w:t>
      </w:r>
    </w:p>
  </w:footnote>
  <w:footnote w:id="13">
    <w:p w:rsidR="007B0EE0" w:rsidRPr="00AB63D9" w:rsidRDefault="007B0EE0" w:rsidP="00594010">
      <w:pPr>
        <w:pStyle w:val="FootnoteText"/>
        <w:jc w:val="both"/>
        <w:rPr>
          <w:rFonts w:ascii="Times New Roman" w:hAnsi="Times New Roman" w:cs="Times New Roman"/>
          <w:noProof/>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У складу са чланом 66 Закона о локалној самоуправи </w:t>
      </w:r>
      <w:r w:rsidRPr="00AB63D9">
        <w:rPr>
          <w:rFonts w:ascii="Times New Roman" w:hAnsi="Times New Roman" w:cs="Times New Roman"/>
          <w:noProof/>
        </w:rPr>
        <w:t>(Службени гласник РС, бр. 129/2007, 83/2014 - др. закон, 101/2016 - др. закон и 47/2018) и са чланом 64 Статута града Сомбора (Службени лист града Сомбора, бр. 2/19)</w:t>
      </w:r>
    </w:p>
  </w:footnote>
  <w:footnote w:id="14">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Резултати датовања представљени су 2018. године на Праисторијској секцији Српског археолошког друштва. Тема рада је била </w:t>
      </w:r>
      <w:r w:rsidRPr="00AB63D9">
        <w:rPr>
          <w:rFonts w:ascii="Times New Roman" w:hAnsi="Times New Roman" w:cs="Times New Roman"/>
          <w:i/>
        </w:rPr>
        <w:t>Да ли има мезолита у Србији ван Ђердапа? Нови радиокарбонски датуми и докази са налазишта Магарећи млин и Грабовац – Ђурића виногради</w:t>
      </w:r>
    </w:p>
  </w:footnote>
  <w:footnote w:id="15">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Службени гласник РС, бр. 68/15, 81/16 - </w:t>
      </w:r>
      <w:r w:rsidRPr="00AB63D9">
        <w:rPr>
          <w:rFonts w:ascii="Times New Roman" w:hAnsi="Times New Roman" w:cs="Times New Roman"/>
          <w:noProof/>
        </w:rPr>
        <w:t>одлука УС</w:t>
      </w:r>
      <w:r w:rsidRPr="00AB63D9">
        <w:rPr>
          <w:rFonts w:ascii="Times New Roman" w:hAnsi="Times New Roman" w:cs="Times New Roman"/>
        </w:rPr>
        <w:t xml:space="preserve"> и 95/18</w:t>
      </w:r>
    </w:p>
  </w:footnote>
  <w:footnote w:id="16">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Службени гласник РС, бр. 61/17, 82/17, 92/17, 111/17, 14/18, 45/18, 78/18, 89/18, 102/18, 30/19, 42/19, 59/19, 79/19, 84/19, 88/19</w:t>
      </w:r>
    </w:p>
  </w:footnote>
  <w:footnote w:id="17">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Видети Анекс 2 Стратегије развоја културе града Сомбора </w:t>
      </w:r>
      <w:r>
        <w:rPr>
          <w:rFonts w:ascii="Times New Roman" w:hAnsi="Times New Roman" w:cs="Times New Roman"/>
        </w:rPr>
        <w:t>2021</w:t>
      </w:r>
      <w:r w:rsidRPr="00AB63D9">
        <w:rPr>
          <w:rFonts w:ascii="Times New Roman" w:hAnsi="Times New Roman" w:cs="Times New Roman"/>
        </w:rPr>
        <w:t xml:space="preserve"> -2025</w:t>
      </w:r>
    </w:p>
  </w:footnote>
  <w:footnote w:id="18">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Субашић, Б. 2018. Град Сомбор. У </w:t>
      </w:r>
      <w:r w:rsidRPr="00AB63D9">
        <w:rPr>
          <w:rFonts w:ascii="Times New Roman" w:hAnsi="Times New Roman" w:cs="Times New Roman"/>
          <w:i/>
        </w:rPr>
        <w:t>Модели локалне културне политике као основа за повећање културне партиципације</w:t>
      </w:r>
      <w:r w:rsidRPr="00AB63D9">
        <w:rPr>
          <w:rFonts w:ascii="Times New Roman" w:hAnsi="Times New Roman" w:cs="Times New Roman"/>
        </w:rPr>
        <w:t>. Београд: Завод за проучавање културног развитка: 204 - 217</w:t>
      </w:r>
    </w:p>
  </w:footnote>
  <w:footnote w:id="19">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Субашић, Б. 2018. Град Сомбор. У </w:t>
      </w:r>
      <w:r w:rsidRPr="00AB63D9">
        <w:rPr>
          <w:rFonts w:ascii="Times New Roman" w:hAnsi="Times New Roman" w:cs="Times New Roman"/>
          <w:i/>
        </w:rPr>
        <w:t>Модели локалне културне политике као основа за повећање културне партиципације</w:t>
      </w:r>
      <w:r w:rsidRPr="00AB63D9">
        <w:rPr>
          <w:rFonts w:ascii="Times New Roman" w:hAnsi="Times New Roman" w:cs="Times New Roman"/>
        </w:rPr>
        <w:t>. Београд: Завод за проучавање културног развитка: 204 - 217</w:t>
      </w:r>
    </w:p>
  </w:footnote>
  <w:footnote w:id="20">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Видети Анекс 2 Стратегије развоја културе града Сомбора </w:t>
      </w:r>
      <w:r>
        <w:rPr>
          <w:rFonts w:ascii="Times New Roman" w:hAnsi="Times New Roman" w:cs="Times New Roman"/>
        </w:rPr>
        <w:t>2021</w:t>
      </w:r>
      <w:r w:rsidRPr="00AB63D9">
        <w:rPr>
          <w:rFonts w:ascii="Times New Roman" w:hAnsi="Times New Roman" w:cs="Times New Roman"/>
        </w:rPr>
        <w:t xml:space="preserve"> -2025</w:t>
      </w:r>
    </w:p>
  </w:footnote>
  <w:footnote w:id="21">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Субашић, Б. 2018. Град Сомбор. У </w:t>
      </w:r>
      <w:r w:rsidRPr="00AB63D9">
        <w:rPr>
          <w:rFonts w:ascii="Times New Roman" w:hAnsi="Times New Roman" w:cs="Times New Roman"/>
          <w:i/>
        </w:rPr>
        <w:t>Модели локалне културне политике као основа за повећање културне партиципације</w:t>
      </w:r>
      <w:r w:rsidRPr="00AB63D9">
        <w:rPr>
          <w:rFonts w:ascii="Times New Roman" w:hAnsi="Times New Roman" w:cs="Times New Roman"/>
        </w:rPr>
        <w:t>. Београд: Завод за проучавање културног развитка: 204 - 217</w:t>
      </w:r>
    </w:p>
  </w:footnote>
  <w:footnote w:id="22">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Субашић, Б. 2018. Град Сомбор. У </w:t>
      </w:r>
      <w:r w:rsidRPr="00AB63D9">
        <w:rPr>
          <w:rFonts w:ascii="Times New Roman" w:hAnsi="Times New Roman" w:cs="Times New Roman"/>
          <w:i/>
        </w:rPr>
        <w:t>Модели локалне културне политике као основа за повећање културне партиципације</w:t>
      </w:r>
      <w:r w:rsidRPr="00AB63D9">
        <w:rPr>
          <w:rFonts w:ascii="Times New Roman" w:hAnsi="Times New Roman" w:cs="Times New Roman"/>
        </w:rPr>
        <w:t>. Београд: Завод за проучавање културног развитка: 204 - 217</w:t>
      </w:r>
    </w:p>
  </w:footnote>
  <w:footnote w:id="23">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Запослени у установама културе су сарадњу са основним школама оценили средњом оценом 3,86; са предшколском установом 3,51,  са средњим школама 3,33 и са Педагошким факултетом у Сомбору 3,16.  Видети Анекс 2 Стратегије развоја културе града Сомбора </w:t>
      </w:r>
      <w:r>
        <w:rPr>
          <w:rFonts w:ascii="Times New Roman" w:hAnsi="Times New Roman" w:cs="Times New Roman"/>
        </w:rPr>
        <w:t>2021</w:t>
      </w:r>
      <w:r w:rsidRPr="00AB63D9">
        <w:rPr>
          <w:rFonts w:ascii="Times New Roman" w:hAnsi="Times New Roman" w:cs="Times New Roman"/>
        </w:rPr>
        <w:t xml:space="preserve"> -2025</w:t>
      </w:r>
    </w:p>
  </w:footnote>
  <w:footnote w:id="24">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више од 90% запослених у установама културе сматра да су квалитет културних догађаја и промоција града као културне дестинације веома важни за развој културног туризма у Сомбору. Видети Анекс 2 Стратегије развоја културе града Сомбора </w:t>
      </w:r>
      <w:r>
        <w:rPr>
          <w:rFonts w:ascii="Times New Roman" w:hAnsi="Times New Roman" w:cs="Times New Roman"/>
        </w:rPr>
        <w:t>2021</w:t>
      </w:r>
      <w:r w:rsidRPr="00AB63D9">
        <w:rPr>
          <w:rFonts w:ascii="Times New Roman" w:hAnsi="Times New Roman" w:cs="Times New Roman"/>
        </w:rPr>
        <w:t xml:space="preserve"> -2025</w:t>
      </w:r>
    </w:p>
  </w:footnote>
  <w:footnote w:id="25">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Видети Анекс 1 Стратегије развоја културе града Сомбора </w:t>
      </w:r>
      <w:r>
        <w:rPr>
          <w:rFonts w:ascii="Times New Roman" w:hAnsi="Times New Roman" w:cs="Times New Roman"/>
        </w:rPr>
        <w:t>2021</w:t>
      </w:r>
      <w:r w:rsidRPr="00AB63D9">
        <w:rPr>
          <w:rFonts w:ascii="Times New Roman" w:hAnsi="Times New Roman" w:cs="Times New Roman"/>
        </w:rPr>
        <w:t xml:space="preserve"> -2025</w:t>
      </w:r>
    </w:p>
  </w:footnote>
  <w:footnote w:id="26">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Субашић, Б. 2018. Град Сомбор. У </w:t>
      </w:r>
      <w:r w:rsidRPr="00AB63D9">
        <w:rPr>
          <w:rFonts w:ascii="Times New Roman" w:hAnsi="Times New Roman" w:cs="Times New Roman"/>
          <w:i/>
        </w:rPr>
        <w:t>Модели локалне културне политике као основа за повећање културне партиципације</w:t>
      </w:r>
      <w:r w:rsidRPr="00AB63D9">
        <w:rPr>
          <w:rFonts w:ascii="Times New Roman" w:hAnsi="Times New Roman" w:cs="Times New Roman"/>
        </w:rPr>
        <w:t>. Београд: Завод за проучавање културног развитка: 204 - 217</w:t>
      </w:r>
    </w:p>
  </w:footnote>
  <w:footnote w:id="27">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Потребу за истраживањем мишљења публике су анкетирани запослени навели међу прва три приоритета  за унапређење програма</w:t>
      </w:r>
    </w:p>
  </w:footnote>
  <w:footnote w:id="28">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b/>
        </w:rPr>
        <w:t>Принудна публика</w:t>
      </w:r>
      <w:r w:rsidRPr="00AB63D9">
        <w:rPr>
          <w:rFonts w:ascii="Times New Roman" w:hAnsi="Times New Roman" w:cs="Times New Roman"/>
        </w:rPr>
        <w:t xml:space="preserve"> - Они који немају склоности ка одређеним типовима културних активности, али су фактички, у посматраном периоду, ипак били посетиоци културних догађаја одређеног типа (пратећи неког, опонашајући неког или једноставно „убијајући време“), видети у Опачић, Б., Субашић, Б. 2016. </w:t>
      </w:r>
      <w:r w:rsidRPr="00AB63D9">
        <w:rPr>
          <w:rFonts w:ascii="Times New Roman" w:hAnsi="Times New Roman" w:cs="Times New Roman"/>
          <w:i/>
        </w:rPr>
        <w:t>Културне потребе и навике грађана Србије</w:t>
      </w:r>
      <w:r w:rsidRPr="00AB63D9">
        <w:rPr>
          <w:rFonts w:ascii="Times New Roman" w:hAnsi="Times New Roman" w:cs="Times New Roman"/>
        </w:rPr>
        <w:t>. Београд: Завод за проучавање културног развитка</w:t>
      </w:r>
    </w:p>
  </w:footnote>
  <w:footnote w:id="29">
    <w:p w:rsidR="007B0EE0" w:rsidRPr="00AB63D9" w:rsidRDefault="007B0EE0" w:rsidP="00594010">
      <w:pPr>
        <w:pStyle w:val="FootnoteText"/>
        <w:jc w:val="both"/>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Видети Анекс 2 Стратегије развоја културе града Сомбора </w:t>
      </w:r>
      <w:r>
        <w:rPr>
          <w:rFonts w:ascii="Times New Roman" w:hAnsi="Times New Roman" w:cs="Times New Roman"/>
        </w:rPr>
        <w:t>2021</w:t>
      </w:r>
      <w:r w:rsidRPr="00AB63D9">
        <w:rPr>
          <w:rFonts w:ascii="Times New Roman" w:hAnsi="Times New Roman" w:cs="Times New Roman"/>
        </w:rPr>
        <w:t xml:space="preserve"> -2025</w:t>
      </w:r>
    </w:p>
  </w:footnote>
  <w:footnote w:id="30">
    <w:p w:rsidR="007B0EE0" w:rsidRPr="00AB63D9" w:rsidRDefault="007B0EE0" w:rsidP="0099762F">
      <w:pPr>
        <w:pStyle w:val="FootnoteText"/>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noProof/>
        </w:rPr>
        <w:t>Меморандум о сарадњи између Града Крагујевца и основних и средњих школа Града Крагујевц</w:t>
      </w:r>
      <w:r w:rsidRPr="00AB63D9">
        <w:rPr>
          <w:rFonts w:ascii="Times New Roman" w:hAnsi="Times New Roman" w:cs="Times New Roman"/>
        </w:rPr>
        <w:t>а (Службени лист Града Крагујевца бр. 11/18)</w:t>
      </w:r>
    </w:p>
  </w:footnote>
  <w:footnote w:id="31">
    <w:p w:rsidR="007B0EE0" w:rsidRPr="00AB63D9" w:rsidRDefault="007B0EE0" w:rsidP="0099762F">
      <w:pPr>
        <w:pStyle w:val="FootnoteText"/>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Ђековић, В., Субашић, Б.2018.Град Крагујевац.у </w:t>
      </w:r>
      <w:r w:rsidRPr="00AB63D9">
        <w:rPr>
          <w:rFonts w:ascii="Times New Roman" w:hAnsi="Times New Roman" w:cs="Times New Roman"/>
          <w:i/>
        </w:rPr>
        <w:t>Модели локалних културних политика као основа за повећање културне партиципације</w:t>
      </w:r>
      <w:r w:rsidRPr="00AB63D9">
        <w:rPr>
          <w:rFonts w:ascii="Times New Roman" w:hAnsi="Times New Roman" w:cs="Times New Roman"/>
        </w:rPr>
        <w:t>.Београд:Завод за проучавање културног развитка:177-190</w:t>
      </w:r>
    </w:p>
  </w:footnote>
  <w:footnote w:id="32">
    <w:p w:rsidR="007B0EE0" w:rsidRPr="00AB63D9" w:rsidRDefault="007B0EE0" w:rsidP="0099762F">
      <w:pPr>
        <w:pStyle w:val="FootnoteText"/>
        <w:rPr>
          <w:rFonts w:ascii="Times New Roman" w:hAnsi="Times New Roman" w:cs="Times New Roman"/>
        </w:rPr>
      </w:pPr>
      <w:r w:rsidRPr="00AB63D9">
        <w:rPr>
          <w:rFonts w:ascii="Times New Roman" w:hAnsi="Times New Roman" w:cs="Times New Roman"/>
          <w:vertAlign w:val="superscript"/>
        </w:rPr>
        <w:footnoteRef/>
      </w:r>
      <w:r w:rsidRPr="00AB63D9">
        <w:rPr>
          <w:rFonts w:ascii="Times New Roman" w:hAnsi="Times New Roman" w:cs="Times New Roman"/>
        </w:rPr>
        <w:t xml:space="preserve"> Службени лист Града Панчева 7/18</w:t>
      </w:r>
    </w:p>
  </w:footnote>
  <w:footnote w:id="33">
    <w:p w:rsidR="007B0EE0" w:rsidRPr="00AB63D9" w:rsidRDefault="007B0EE0" w:rsidP="0099762F">
      <w:pPr>
        <w:pStyle w:val="FootnoteText"/>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Детаљније о кадровима који недостају видети у делу Стратегије </w:t>
      </w:r>
      <w:r w:rsidRPr="00AB63D9">
        <w:rPr>
          <w:rFonts w:ascii="Times New Roman" w:hAnsi="Times New Roman" w:cs="Times New Roman"/>
          <w:i/>
        </w:rPr>
        <w:t>Опис постојећег стања</w:t>
      </w:r>
    </w:p>
  </w:footnote>
  <w:footnote w:id="34">
    <w:p w:rsidR="007B0EE0" w:rsidRPr="00AB63D9" w:rsidRDefault="007B0EE0" w:rsidP="0099762F">
      <w:pPr>
        <w:pStyle w:val="FootnoteText"/>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у складу са чл</w:t>
      </w:r>
      <w:r>
        <w:rPr>
          <w:rFonts w:ascii="Times New Roman" w:hAnsi="Times New Roman" w:cs="Times New Roman"/>
        </w:rPr>
        <w:t>аном 21. Закона о волонтирању (</w:t>
      </w:r>
      <w:r w:rsidRPr="00AB63D9">
        <w:rPr>
          <w:rFonts w:ascii="Times New Roman" w:hAnsi="Times New Roman" w:cs="Times New Roman"/>
        </w:rPr>
        <w:t>Службени гласник РС</w:t>
      </w:r>
      <w:r>
        <w:rPr>
          <w:rFonts w:ascii="Times New Roman" w:hAnsi="Times New Roman" w:cs="Times New Roman"/>
        </w:rPr>
        <w:t>,</w:t>
      </w:r>
      <w:r w:rsidRPr="00AB63D9">
        <w:rPr>
          <w:rFonts w:ascii="Times New Roman" w:hAnsi="Times New Roman" w:cs="Times New Roman"/>
        </w:rPr>
        <w:t xml:space="preserve"> бр.36/10)</w:t>
      </w:r>
    </w:p>
  </w:footnote>
  <w:footnote w:id="35">
    <w:p w:rsidR="007B0EE0" w:rsidRPr="00AB63D9" w:rsidRDefault="007B0EE0" w:rsidP="0099762F">
      <w:pPr>
        <w:pStyle w:val="FootnoteText"/>
        <w:rPr>
          <w:rFonts w:ascii="Times New Roman" w:hAnsi="Times New Roman" w:cs="Times New Roman"/>
        </w:rPr>
      </w:pPr>
      <w:r w:rsidRPr="00AB63D9">
        <w:rPr>
          <w:rStyle w:val="FootnoteReference"/>
          <w:rFonts w:ascii="Times New Roman" w:hAnsi="Times New Roman" w:cs="Times New Roman"/>
        </w:rPr>
        <w:footnoteRef/>
      </w:r>
      <w:r w:rsidRPr="00AB63D9">
        <w:rPr>
          <w:rFonts w:ascii="Times New Roman" w:hAnsi="Times New Roman" w:cs="Times New Roman"/>
        </w:rPr>
        <w:t xml:space="preserve"> Видети анекс 1 Стратегије</w:t>
      </w:r>
    </w:p>
  </w:footnote>
  <w:footnote w:id="36">
    <w:p w:rsidR="007B0EE0" w:rsidRPr="00D377E1" w:rsidRDefault="007B0EE0" w:rsidP="00D33C02">
      <w:pPr>
        <w:pStyle w:val="FootnoteText"/>
        <w:rPr>
          <w:rFonts w:ascii="Times New Roman" w:hAnsi="Times New Roman" w:cs="Times New Roman"/>
          <w:lang/>
        </w:rPr>
      </w:pPr>
      <w:r w:rsidRPr="009679E7">
        <w:rPr>
          <w:rStyle w:val="FootnoteReference"/>
          <w:rFonts w:ascii="Times New Roman" w:hAnsi="Times New Roman" w:cs="Times New Roman"/>
        </w:rPr>
        <w:footnoteRef/>
      </w:r>
      <w:r w:rsidRPr="009679E7">
        <w:rPr>
          <w:rFonts w:ascii="Times New Roman" w:hAnsi="Times New Roman" w:cs="Times New Roman"/>
        </w:rPr>
        <w:t xml:space="preserve"> </w:t>
      </w:r>
      <w:r w:rsidRPr="009679E7">
        <w:rPr>
          <w:rFonts w:ascii="Times New Roman" w:hAnsi="Times New Roman" w:cs="Times New Roman"/>
          <w:lang/>
        </w:rPr>
        <w:t>Необјављени извештај Завода за проучавање културног развитка из 2019. године</w:t>
      </w:r>
      <w:r w:rsidRPr="008939A5">
        <w:rPr>
          <w:rFonts w:ascii="Times New Roman" w:hAnsi="Times New Roman" w:cs="Times New Roman"/>
          <w:lang/>
        </w:rPr>
        <w:t xml:space="preserve"> </w:t>
      </w:r>
      <w:r>
        <w:rPr>
          <w:rFonts w:ascii="Times New Roman" w:hAnsi="Times New Roman" w:cs="Times New Roman"/>
          <w:lang/>
        </w:rPr>
        <w:t>на тему културне партиципације на националном нивоу</w:t>
      </w:r>
      <w:r>
        <w:rPr>
          <w:rFonts w:ascii="Times New Roman" w:hAnsi="Times New Roman" w:cs="Times New Roman"/>
          <w:lang/>
        </w:rPr>
        <w:t xml:space="preserve"> </w:t>
      </w:r>
      <w:r>
        <w:rPr>
          <w:rFonts w:ascii="Times New Roman" w:hAnsi="Times New Roman" w:cs="Times New Roman"/>
          <w:lang/>
        </w:rPr>
        <w:t>и Опачић Б., Субашић Б.</w:t>
      </w:r>
      <w:r w:rsidRPr="00D377E1">
        <w:rPr>
          <w:rFonts w:ascii="Times New Roman" w:hAnsi="Times New Roman" w:cs="Times New Roman"/>
          <w:i/>
          <w:lang/>
        </w:rPr>
        <w:t>Културне потребе и навике грађана Србије</w:t>
      </w:r>
      <w:r>
        <w:rPr>
          <w:rFonts w:ascii="Times New Roman" w:hAnsi="Times New Roman" w:cs="Times New Roman"/>
          <w:lang/>
        </w:rPr>
        <w:t>. Завод за проучавање културног развитка.Београд.2016.</w:t>
      </w:r>
    </w:p>
  </w:footnote>
  <w:footnote w:id="37">
    <w:p w:rsidR="007B0EE0" w:rsidRPr="00AF0C06" w:rsidRDefault="007B0EE0">
      <w:pPr>
        <w:pStyle w:val="FootnoteText"/>
        <w:rPr>
          <w:lang/>
        </w:rPr>
      </w:pPr>
      <w:r>
        <w:rPr>
          <w:rStyle w:val="FootnoteReference"/>
        </w:rPr>
        <w:footnoteRef/>
      </w:r>
      <w:r>
        <w:t xml:space="preserve"> </w:t>
      </w:r>
      <w:r>
        <w:rPr>
          <w:lang/>
        </w:rPr>
        <w:t>И друга истраживања културне партиципације грађана су показала да су историјски архиви најмање посећене јавне установе културе</w:t>
      </w:r>
    </w:p>
  </w:footnote>
  <w:footnote w:id="38">
    <w:p w:rsidR="007B0EE0" w:rsidRPr="009679E7" w:rsidRDefault="007B0EE0" w:rsidP="00D33C02">
      <w:pPr>
        <w:pStyle w:val="FootnoteText"/>
        <w:rPr>
          <w:rFonts w:ascii="Times New Roman" w:hAnsi="Times New Roman" w:cs="Times New Roman"/>
          <w:lang/>
        </w:rPr>
      </w:pPr>
      <w:r w:rsidRPr="009679E7">
        <w:rPr>
          <w:rStyle w:val="FootnoteReference"/>
          <w:rFonts w:ascii="Times New Roman" w:hAnsi="Times New Roman" w:cs="Times New Roman"/>
        </w:rPr>
        <w:footnoteRef/>
      </w:r>
      <w:r w:rsidRPr="009679E7">
        <w:rPr>
          <w:rFonts w:ascii="Times New Roman" w:hAnsi="Times New Roman" w:cs="Times New Roman"/>
        </w:rPr>
        <w:t xml:space="preserve"> </w:t>
      </w:r>
      <w:r w:rsidRPr="009679E7">
        <w:rPr>
          <w:rFonts w:ascii="Times New Roman" w:hAnsi="Times New Roman" w:cs="Times New Roman"/>
          <w:lang/>
        </w:rPr>
        <w:t>цене улазница за Позоришни маратон 2019. године су биле од 2.800 до 7.500 динара</w:t>
      </w:r>
    </w:p>
  </w:footnote>
  <w:footnote w:id="39">
    <w:p w:rsidR="007B0EE0" w:rsidRPr="009679E7" w:rsidRDefault="007B0EE0" w:rsidP="00D33C02">
      <w:pPr>
        <w:pStyle w:val="FootnoteText"/>
        <w:rPr>
          <w:rFonts w:ascii="Times New Roman" w:hAnsi="Times New Roman" w:cs="Times New Roman"/>
          <w:lang/>
        </w:rPr>
      </w:pPr>
      <w:r w:rsidRPr="009679E7">
        <w:rPr>
          <w:rStyle w:val="FootnoteReference"/>
          <w:rFonts w:ascii="Times New Roman" w:hAnsi="Times New Roman" w:cs="Times New Roman"/>
        </w:rPr>
        <w:footnoteRef/>
      </w:r>
      <w:r w:rsidRPr="009679E7">
        <w:rPr>
          <w:rFonts w:ascii="Times New Roman" w:hAnsi="Times New Roman" w:cs="Times New Roman"/>
        </w:rPr>
        <w:t xml:space="preserve"> </w:t>
      </w:r>
      <w:r w:rsidRPr="009679E7">
        <w:rPr>
          <w:rFonts w:ascii="Times New Roman" w:hAnsi="Times New Roman" w:cs="Times New Roman"/>
          <w:lang/>
        </w:rPr>
        <w:t>цене улазница за Терминал фест 2019. године су биле 2.000 динара</w:t>
      </w:r>
    </w:p>
  </w:footnote>
  <w:footnote w:id="40">
    <w:p w:rsidR="007B0EE0" w:rsidRPr="009679E7" w:rsidRDefault="007B0EE0" w:rsidP="00D33C02">
      <w:pPr>
        <w:pStyle w:val="FootnoteText"/>
        <w:rPr>
          <w:rFonts w:ascii="Times New Roman" w:hAnsi="Times New Roman" w:cs="Times New Roman"/>
          <w:lang/>
        </w:rPr>
      </w:pPr>
      <w:r w:rsidRPr="009679E7">
        <w:rPr>
          <w:rStyle w:val="FootnoteReference"/>
          <w:rFonts w:ascii="Times New Roman" w:hAnsi="Times New Roman" w:cs="Times New Roman"/>
        </w:rPr>
        <w:footnoteRef/>
      </w:r>
      <w:r w:rsidRPr="009679E7">
        <w:rPr>
          <w:rFonts w:ascii="Times New Roman" w:hAnsi="Times New Roman" w:cs="Times New Roman"/>
        </w:rPr>
        <w:t xml:space="preserve"> </w:t>
      </w:r>
      <w:r w:rsidRPr="009679E7">
        <w:rPr>
          <w:rFonts w:ascii="Times New Roman" w:hAnsi="Times New Roman" w:cs="Times New Roman"/>
          <w:lang/>
        </w:rPr>
        <w:t xml:space="preserve">2019. године Сомборски филмски фестивал је имао бесплатан улаз, а 2018. године цена је била 150 динара. </w:t>
      </w:r>
    </w:p>
  </w:footnote>
  <w:footnote w:id="41">
    <w:p w:rsidR="007B0EE0" w:rsidRPr="0036385B" w:rsidRDefault="007B0EE0" w:rsidP="00D33C02">
      <w:pPr>
        <w:pStyle w:val="FootnoteText"/>
        <w:rPr>
          <w:rFonts w:ascii="Times New Roman" w:hAnsi="Times New Roman" w:cs="Times New Roman"/>
          <w:lang/>
        </w:rPr>
      </w:pPr>
      <w:r>
        <w:rPr>
          <w:rStyle w:val="FootnoteReference"/>
        </w:rPr>
        <w:footnoteRef/>
      </w:r>
      <w:r>
        <w:t xml:space="preserve"> </w:t>
      </w:r>
      <w:r>
        <w:rPr>
          <w:rFonts w:ascii="Times New Roman" w:hAnsi="Times New Roman" w:cs="Times New Roman"/>
          <w:lang/>
        </w:rPr>
        <w:t xml:space="preserve">Детаљније о класификацији публике према активизму у култури видети у: </w:t>
      </w:r>
      <w:r>
        <w:rPr>
          <w:rFonts w:ascii="Times New Roman" w:hAnsi="Times New Roman" w:cs="Times New Roman"/>
          <w:lang/>
        </w:rPr>
        <w:t>Cvetičanin P., Milankov M.</w:t>
      </w:r>
      <w:r w:rsidRPr="0036385B">
        <w:rPr>
          <w:rFonts w:ascii="Times New Roman" w:hAnsi="Times New Roman" w:cs="Times New Roman"/>
          <w:i/>
          <w:lang/>
        </w:rPr>
        <w:t>Kulturne prakse građana Srbije</w:t>
      </w:r>
      <w:r>
        <w:rPr>
          <w:rFonts w:ascii="Times New Roman" w:hAnsi="Times New Roman" w:cs="Times New Roman"/>
          <w:lang/>
        </w:rPr>
        <w:t>.Zavod za proučavanje kulturnog razvitka.Beograd.2010</w:t>
      </w:r>
      <w:r>
        <w:rPr>
          <w:rFonts w:ascii="Times New Roman" w:hAnsi="Times New Roman" w:cs="Times New Roman"/>
          <w:lang/>
        </w:rPr>
        <w:t xml:space="preserve"> и </w:t>
      </w:r>
      <w:r w:rsidRPr="0036385B">
        <w:rPr>
          <w:rFonts w:ascii="Times New Roman" w:hAnsi="Times New Roman" w:cs="Times New Roman"/>
          <w:lang/>
        </w:rPr>
        <w:t>Опачић Б., Субашић Б.</w:t>
      </w:r>
      <w:r w:rsidRPr="0036385B">
        <w:rPr>
          <w:rFonts w:ascii="Times New Roman" w:hAnsi="Times New Roman" w:cs="Times New Roman"/>
          <w:i/>
          <w:lang/>
        </w:rPr>
        <w:t>Културне потребе и навике грађана Србије</w:t>
      </w:r>
      <w:r w:rsidRPr="0036385B">
        <w:rPr>
          <w:rFonts w:ascii="Times New Roman" w:hAnsi="Times New Roman" w:cs="Times New Roman"/>
          <w:lang/>
        </w:rPr>
        <w:t>. Завод за проучавање културног развитка.Београд.2016.</w:t>
      </w:r>
    </w:p>
  </w:footnote>
  <w:footnote w:id="42">
    <w:p w:rsidR="00F61C95" w:rsidRPr="00F61C95" w:rsidRDefault="00F61C95">
      <w:pPr>
        <w:pStyle w:val="FootnoteText"/>
        <w:rPr>
          <w:lang/>
        </w:rPr>
      </w:pPr>
      <w:r>
        <w:rPr>
          <w:rStyle w:val="FootnoteReference"/>
        </w:rPr>
        <w:footnoteRef/>
      </w:r>
      <w:r>
        <w:t xml:space="preserve"> </w:t>
      </w:r>
      <w:r>
        <w:rPr>
          <w:lang/>
        </w:rPr>
        <w:t>Базна година је за све активности 2019. јер је тада рађена анализа културног система града Сомбора. Такође, 2020. годин</w:t>
      </w:r>
      <w:r w:rsidR="00F07120">
        <w:rPr>
          <w:lang/>
        </w:rPr>
        <w:t>а</w:t>
      </w:r>
      <w:r>
        <w:rPr>
          <w:lang/>
        </w:rPr>
        <w:t xml:space="preserve"> која је оптерећена пандемијским условима не би представљала реалну </w:t>
      </w:r>
      <w:r w:rsidR="00AB3F51">
        <w:rPr>
          <w:lang/>
        </w:rPr>
        <w:t>основу за планирање</w:t>
      </w:r>
      <w:bookmarkStart w:id="79" w:name="_GoBack"/>
      <w:bookmarkEnd w:id="79"/>
      <w:r>
        <w:rPr>
          <w:lang/>
        </w:rPr>
        <w:t xml:space="preserve"> </w:t>
      </w:r>
    </w:p>
  </w:footnote>
  <w:footnote w:id="43">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44">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45">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46">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47">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48">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49">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50">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51">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52">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53">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54">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55">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56">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57">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58">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59">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60">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61">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62">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63">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64">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65">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66">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67">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68">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69">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70">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71">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72">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73">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74">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75">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76">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77">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78">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79">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80">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81">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82">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83">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84">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85">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86">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87">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88">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89">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90">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91">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92">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 w:id="93">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 </w:t>
      </w:r>
    </w:p>
  </w:footnote>
  <w:footnote w:id="94">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95">
    <w:p w:rsidR="007B0EE0" w:rsidRPr="00AB63D9" w:rsidRDefault="007B0EE0" w:rsidP="00C5132C">
      <w:pPr>
        <w:pStyle w:val="FootnoteText"/>
      </w:pPr>
      <w:r w:rsidRPr="00AB63D9">
        <w:rPr>
          <w:rStyle w:val="FootnoteReference"/>
        </w:rPr>
        <w:footnoteRef/>
      </w:r>
      <w:r w:rsidRPr="00AB63D9">
        <w:t xml:space="preserve"> Навести један од извора финансирања : буџетска средства, из кредита, донаторска средства, ИПА, итд. У случају донаторских средстава, обавезно је навођење конкрентног донатора.</w:t>
      </w:r>
    </w:p>
  </w:footnote>
  <w:footnote w:id="96">
    <w:p w:rsidR="007B0EE0" w:rsidRPr="00AB63D9" w:rsidRDefault="007B0EE0" w:rsidP="00C5132C">
      <w:pPr>
        <w:pStyle w:val="FootnoteText"/>
      </w:pPr>
      <w:r w:rsidRPr="00AB63D9">
        <w:rPr>
          <w:rStyle w:val="FootnoteReference"/>
        </w:rPr>
        <w:footnoteRef/>
      </w:r>
      <w:r w:rsidRPr="00AB63D9">
        <w:t xml:space="preserve"> Шифра програма и програмске активности или пројекта у оквиру ког се обезбеђују средства</w:t>
      </w:r>
    </w:p>
  </w:footnote>
  <w:footnote w:id="97">
    <w:p w:rsidR="007B0EE0" w:rsidRPr="00AB63D9" w:rsidRDefault="007B0EE0" w:rsidP="00C5132C">
      <w:pPr>
        <w:pStyle w:val="FootnoteText"/>
      </w:pPr>
      <w:r w:rsidRPr="00AB63D9">
        <w:rPr>
          <w:rStyle w:val="FootnoteReference"/>
        </w:rPr>
        <w:footnoteRef/>
      </w:r>
      <w:r w:rsidRPr="00AB63D9">
        <w:rPr>
          <w:noProof/>
        </w:rPr>
        <w:t>Са звездицом се означавају средства која нису у потпуности обезбеђена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4D" w:rsidRDefault="007034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EE0" w:rsidRPr="00234574" w:rsidRDefault="007B0EE0">
    <w:pPr>
      <w:pStyle w:val="Header"/>
      <w:rPr>
        <w:rFonts w:ascii="Times New Roman" w:hAnsi="Times New Roman" w:cs="Times New Roman"/>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44D" w:rsidRDefault="007034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7630"/>
    <w:multiLevelType w:val="hybridMultilevel"/>
    <w:tmpl w:val="AA0A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76DFF"/>
    <w:multiLevelType w:val="multilevel"/>
    <w:tmpl w:val="5192B9C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9AC3CDF"/>
    <w:multiLevelType w:val="hybridMultilevel"/>
    <w:tmpl w:val="E37C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757BD"/>
    <w:multiLevelType w:val="hybridMultilevel"/>
    <w:tmpl w:val="4EC65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812D98"/>
    <w:multiLevelType w:val="multilevel"/>
    <w:tmpl w:val="C44E805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DF4B86"/>
    <w:multiLevelType w:val="hybridMultilevel"/>
    <w:tmpl w:val="5528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E50CC"/>
    <w:multiLevelType w:val="multilevel"/>
    <w:tmpl w:val="5192B9C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20A238B"/>
    <w:multiLevelType w:val="hybridMultilevel"/>
    <w:tmpl w:val="C9E4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F2CA8"/>
    <w:multiLevelType w:val="hybridMultilevel"/>
    <w:tmpl w:val="DC94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53F85"/>
    <w:multiLevelType w:val="hybridMultilevel"/>
    <w:tmpl w:val="00F874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34140EAD"/>
    <w:multiLevelType w:val="hybridMultilevel"/>
    <w:tmpl w:val="52D87B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4777C7B"/>
    <w:multiLevelType w:val="hybridMultilevel"/>
    <w:tmpl w:val="FE42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5442C8"/>
    <w:multiLevelType w:val="hybridMultilevel"/>
    <w:tmpl w:val="67F4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CD68B6"/>
    <w:multiLevelType w:val="hybridMultilevel"/>
    <w:tmpl w:val="BD2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B6590E"/>
    <w:multiLevelType w:val="hybridMultilevel"/>
    <w:tmpl w:val="3ED26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204E62"/>
    <w:multiLevelType w:val="multilevel"/>
    <w:tmpl w:val="A13884A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9B63B2D"/>
    <w:multiLevelType w:val="hybridMultilevel"/>
    <w:tmpl w:val="DF46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87EA1"/>
    <w:multiLevelType w:val="multilevel"/>
    <w:tmpl w:val="5192B9C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1A7577E"/>
    <w:multiLevelType w:val="hybridMultilevel"/>
    <w:tmpl w:val="6780FD2C"/>
    <w:lvl w:ilvl="0" w:tplc="281A0001">
      <w:start w:val="1"/>
      <w:numFmt w:val="bullet"/>
      <w:lvlText w:val=""/>
      <w:lvlJc w:val="left"/>
      <w:pPr>
        <w:ind w:left="720" w:hanging="360"/>
      </w:pPr>
      <w:rPr>
        <w:rFonts w:ascii="Symbol" w:hAnsi="Symbol"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9">
    <w:nsid w:val="425A4BB2"/>
    <w:multiLevelType w:val="multilevel"/>
    <w:tmpl w:val="13C03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60D25EB"/>
    <w:multiLevelType w:val="multilevel"/>
    <w:tmpl w:val="CF4AFA5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21">
    <w:nsid w:val="4B5A7C31"/>
    <w:multiLevelType w:val="hybridMultilevel"/>
    <w:tmpl w:val="FB7EC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920D23"/>
    <w:multiLevelType w:val="multilevel"/>
    <w:tmpl w:val="13C03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4E2778BB"/>
    <w:multiLevelType w:val="hybridMultilevel"/>
    <w:tmpl w:val="8DDCA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972DA7"/>
    <w:multiLevelType w:val="multilevel"/>
    <w:tmpl w:val="13C034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4F8B568F"/>
    <w:multiLevelType w:val="hybridMultilevel"/>
    <w:tmpl w:val="C654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10203B"/>
    <w:multiLevelType w:val="hybridMultilevel"/>
    <w:tmpl w:val="79540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AD1ADE"/>
    <w:multiLevelType w:val="hybridMultilevel"/>
    <w:tmpl w:val="F1CE2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C05746"/>
    <w:multiLevelType w:val="multilevel"/>
    <w:tmpl w:val="EFDA2E16"/>
    <w:lvl w:ilvl="0">
      <w:start w:val="1"/>
      <w:numFmt w:val="decimal"/>
      <w:lvlText w:val="%1."/>
      <w:lvlJc w:val="left"/>
      <w:pPr>
        <w:ind w:left="540" w:hanging="540"/>
      </w:pPr>
      <w:rPr>
        <w:rFonts w:hint="default"/>
        <w:i/>
        <w:u w:val="single"/>
      </w:rPr>
    </w:lvl>
    <w:lvl w:ilvl="1">
      <w:start w:val="2"/>
      <w:numFmt w:val="decimal"/>
      <w:lvlText w:val="%1.%2."/>
      <w:lvlJc w:val="left"/>
      <w:pPr>
        <w:ind w:left="900" w:hanging="540"/>
      </w:pPr>
      <w:rPr>
        <w:rFonts w:hint="default"/>
        <w:i/>
        <w:u w:val="single"/>
      </w:rPr>
    </w:lvl>
    <w:lvl w:ilvl="2">
      <w:start w:val="1"/>
      <w:numFmt w:val="decimal"/>
      <w:lvlText w:val="%1.%2.%3."/>
      <w:lvlJc w:val="left"/>
      <w:pPr>
        <w:ind w:left="1440" w:hanging="720"/>
      </w:pPr>
      <w:rPr>
        <w:rFonts w:hint="default"/>
        <w:i/>
        <w:u w:val="none"/>
      </w:rPr>
    </w:lvl>
    <w:lvl w:ilvl="3">
      <w:start w:val="1"/>
      <w:numFmt w:val="decimal"/>
      <w:lvlText w:val="%1.%2.%3.%4."/>
      <w:lvlJc w:val="left"/>
      <w:pPr>
        <w:ind w:left="1800" w:hanging="720"/>
      </w:pPr>
      <w:rPr>
        <w:rFonts w:hint="default"/>
        <w:i/>
        <w:u w:val="single"/>
      </w:rPr>
    </w:lvl>
    <w:lvl w:ilvl="4">
      <w:start w:val="1"/>
      <w:numFmt w:val="decimal"/>
      <w:lvlText w:val="%1.%2.%3.%4.%5."/>
      <w:lvlJc w:val="left"/>
      <w:pPr>
        <w:ind w:left="2520" w:hanging="1080"/>
      </w:pPr>
      <w:rPr>
        <w:rFonts w:hint="default"/>
        <w:i/>
        <w:u w:val="single"/>
      </w:rPr>
    </w:lvl>
    <w:lvl w:ilvl="5">
      <w:start w:val="1"/>
      <w:numFmt w:val="decimal"/>
      <w:lvlText w:val="%1.%2.%3.%4.%5.%6."/>
      <w:lvlJc w:val="left"/>
      <w:pPr>
        <w:ind w:left="2880" w:hanging="1080"/>
      </w:pPr>
      <w:rPr>
        <w:rFonts w:hint="default"/>
        <w:i/>
        <w:u w:val="single"/>
      </w:rPr>
    </w:lvl>
    <w:lvl w:ilvl="6">
      <w:start w:val="1"/>
      <w:numFmt w:val="decimal"/>
      <w:lvlText w:val="%1.%2.%3.%4.%5.%6.%7."/>
      <w:lvlJc w:val="left"/>
      <w:pPr>
        <w:ind w:left="3600" w:hanging="1440"/>
      </w:pPr>
      <w:rPr>
        <w:rFonts w:hint="default"/>
        <w:i/>
        <w:u w:val="single"/>
      </w:rPr>
    </w:lvl>
    <w:lvl w:ilvl="7">
      <w:start w:val="1"/>
      <w:numFmt w:val="decimal"/>
      <w:lvlText w:val="%1.%2.%3.%4.%5.%6.%7.%8."/>
      <w:lvlJc w:val="left"/>
      <w:pPr>
        <w:ind w:left="3960" w:hanging="1440"/>
      </w:pPr>
      <w:rPr>
        <w:rFonts w:hint="default"/>
        <w:i/>
        <w:u w:val="single"/>
      </w:rPr>
    </w:lvl>
    <w:lvl w:ilvl="8">
      <w:start w:val="1"/>
      <w:numFmt w:val="decimal"/>
      <w:lvlText w:val="%1.%2.%3.%4.%5.%6.%7.%8.%9."/>
      <w:lvlJc w:val="left"/>
      <w:pPr>
        <w:ind w:left="4680" w:hanging="1800"/>
      </w:pPr>
      <w:rPr>
        <w:rFonts w:hint="default"/>
        <w:i/>
        <w:u w:val="single"/>
      </w:rPr>
    </w:lvl>
  </w:abstractNum>
  <w:abstractNum w:abstractNumId="29">
    <w:nsid w:val="5C723942"/>
    <w:multiLevelType w:val="multilevel"/>
    <w:tmpl w:val="9A2893E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A25F32"/>
    <w:multiLevelType w:val="hybridMultilevel"/>
    <w:tmpl w:val="B2D8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BD213F"/>
    <w:multiLevelType w:val="hybridMultilevel"/>
    <w:tmpl w:val="6AD28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E76224"/>
    <w:multiLevelType w:val="hybridMultilevel"/>
    <w:tmpl w:val="ADA05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F40511"/>
    <w:multiLevelType w:val="hybridMultilevel"/>
    <w:tmpl w:val="3A068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93AA0"/>
    <w:multiLevelType w:val="multilevel"/>
    <w:tmpl w:val="7FE02B04"/>
    <w:lvl w:ilvl="0">
      <w:start w:val="1"/>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8C47F6B"/>
    <w:multiLevelType w:val="hybridMultilevel"/>
    <w:tmpl w:val="DBFE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83402E"/>
    <w:multiLevelType w:val="multilevel"/>
    <w:tmpl w:val="A66E754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EBD053F"/>
    <w:multiLevelType w:val="multilevel"/>
    <w:tmpl w:val="AAE48288"/>
    <w:lvl w:ilvl="0">
      <w:start w:val="1"/>
      <w:numFmt w:val="decimal"/>
      <w:lvlText w:val="%1."/>
      <w:lvlJc w:val="left"/>
      <w:pPr>
        <w:ind w:left="720" w:hanging="360"/>
      </w:pPr>
      <w:rPr>
        <w:rFonts w:asciiTheme="majorHAnsi" w:hAnsiTheme="majorHAnsi" w:cstheme="majorHAnsi" w:hint="default"/>
        <w:sz w:val="32"/>
        <w:szCs w:val="3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FE45AA1"/>
    <w:multiLevelType w:val="hybridMultilevel"/>
    <w:tmpl w:val="5094CB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0F53346"/>
    <w:multiLevelType w:val="multilevel"/>
    <w:tmpl w:val="A4F6E31E"/>
    <w:lvl w:ilvl="0">
      <w:start w:val="1"/>
      <w:numFmt w:val="decimal"/>
      <w:lvlText w:val="%1."/>
      <w:lvlJc w:val="left"/>
      <w:pPr>
        <w:ind w:left="540" w:hanging="540"/>
      </w:pPr>
      <w:rPr>
        <w:rFonts w:hint="default"/>
        <w:i/>
        <w:u w:val="single"/>
      </w:rPr>
    </w:lvl>
    <w:lvl w:ilvl="1">
      <w:start w:val="2"/>
      <w:numFmt w:val="decimal"/>
      <w:lvlText w:val="%1.%2."/>
      <w:lvlJc w:val="left"/>
      <w:pPr>
        <w:ind w:left="540" w:hanging="540"/>
      </w:pPr>
      <w:rPr>
        <w:rFonts w:hint="default"/>
        <w:i/>
        <w:u w:val="single"/>
      </w:rPr>
    </w:lvl>
    <w:lvl w:ilvl="2">
      <w:start w:val="1"/>
      <w:numFmt w:val="decimal"/>
      <w:lvlText w:val="%1.%2.%3."/>
      <w:lvlJc w:val="left"/>
      <w:pPr>
        <w:ind w:left="720" w:hanging="720"/>
      </w:pPr>
      <w:rPr>
        <w:rFonts w:hint="default"/>
        <w:i/>
        <w:u w:val="single"/>
      </w:rPr>
    </w:lvl>
    <w:lvl w:ilvl="3">
      <w:start w:val="1"/>
      <w:numFmt w:val="decimal"/>
      <w:lvlText w:val="%1.%2.%3.%4."/>
      <w:lvlJc w:val="left"/>
      <w:pPr>
        <w:ind w:left="720" w:hanging="720"/>
      </w:pPr>
      <w:rPr>
        <w:rFonts w:hint="default"/>
        <w:i/>
        <w:u w:val="single"/>
      </w:rPr>
    </w:lvl>
    <w:lvl w:ilvl="4">
      <w:start w:val="1"/>
      <w:numFmt w:val="decimal"/>
      <w:lvlText w:val="%1.%2.%3.%4.%5."/>
      <w:lvlJc w:val="left"/>
      <w:pPr>
        <w:ind w:left="1080" w:hanging="1080"/>
      </w:pPr>
      <w:rPr>
        <w:rFonts w:hint="default"/>
        <w:i/>
        <w:u w:val="single"/>
      </w:rPr>
    </w:lvl>
    <w:lvl w:ilvl="5">
      <w:start w:val="1"/>
      <w:numFmt w:val="decimal"/>
      <w:lvlText w:val="%1.%2.%3.%4.%5.%6."/>
      <w:lvlJc w:val="left"/>
      <w:pPr>
        <w:ind w:left="1080" w:hanging="1080"/>
      </w:pPr>
      <w:rPr>
        <w:rFonts w:hint="default"/>
        <w:i/>
        <w:u w:val="single"/>
      </w:rPr>
    </w:lvl>
    <w:lvl w:ilvl="6">
      <w:start w:val="1"/>
      <w:numFmt w:val="decimal"/>
      <w:lvlText w:val="%1.%2.%3.%4.%5.%6.%7."/>
      <w:lvlJc w:val="left"/>
      <w:pPr>
        <w:ind w:left="1440" w:hanging="1440"/>
      </w:pPr>
      <w:rPr>
        <w:rFonts w:hint="default"/>
        <w:i/>
        <w:u w:val="single"/>
      </w:rPr>
    </w:lvl>
    <w:lvl w:ilvl="7">
      <w:start w:val="1"/>
      <w:numFmt w:val="decimal"/>
      <w:lvlText w:val="%1.%2.%3.%4.%5.%6.%7.%8."/>
      <w:lvlJc w:val="left"/>
      <w:pPr>
        <w:ind w:left="1440" w:hanging="1440"/>
      </w:pPr>
      <w:rPr>
        <w:rFonts w:hint="default"/>
        <w:i/>
        <w:u w:val="single"/>
      </w:rPr>
    </w:lvl>
    <w:lvl w:ilvl="8">
      <w:start w:val="1"/>
      <w:numFmt w:val="decimal"/>
      <w:lvlText w:val="%1.%2.%3.%4.%5.%6.%7.%8.%9."/>
      <w:lvlJc w:val="left"/>
      <w:pPr>
        <w:ind w:left="1800" w:hanging="1800"/>
      </w:pPr>
      <w:rPr>
        <w:rFonts w:hint="default"/>
        <w:i/>
        <w:u w:val="single"/>
      </w:rPr>
    </w:lvl>
  </w:abstractNum>
  <w:abstractNum w:abstractNumId="40">
    <w:nsid w:val="7B1B1AA5"/>
    <w:multiLevelType w:val="hybridMultilevel"/>
    <w:tmpl w:val="D296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5103DF"/>
    <w:multiLevelType w:val="hybridMultilevel"/>
    <w:tmpl w:val="E13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32"/>
  </w:num>
  <w:num w:numId="4">
    <w:abstractNumId w:val="33"/>
  </w:num>
  <w:num w:numId="5">
    <w:abstractNumId w:val="5"/>
  </w:num>
  <w:num w:numId="6">
    <w:abstractNumId w:val="38"/>
  </w:num>
  <w:num w:numId="7">
    <w:abstractNumId w:val="26"/>
  </w:num>
  <w:num w:numId="8">
    <w:abstractNumId w:val="16"/>
  </w:num>
  <w:num w:numId="9">
    <w:abstractNumId w:val="12"/>
  </w:num>
  <w:num w:numId="10">
    <w:abstractNumId w:val="2"/>
  </w:num>
  <w:num w:numId="11">
    <w:abstractNumId w:val="0"/>
  </w:num>
  <w:num w:numId="12">
    <w:abstractNumId w:val="3"/>
  </w:num>
  <w:num w:numId="13">
    <w:abstractNumId w:val="37"/>
  </w:num>
  <w:num w:numId="14">
    <w:abstractNumId w:val="9"/>
  </w:num>
  <w:num w:numId="15">
    <w:abstractNumId w:val="10"/>
  </w:num>
  <w:num w:numId="16">
    <w:abstractNumId w:val="27"/>
  </w:num>
  <w:num w:numId="17">
    <w:abstractNumId w:val="34"/>
  </w:num>
  <w:num w:numId="18">
    <w:abstractNumId w:val="39"/>
  </w:num>
  <w:num w:numId="19">
    <w:abstractNumId w:val="28"/>
  </w:num>
  <w:num w:numId="20">
    <w:abstractNumId w:val="29"/>
  </w:num>
  <w:num w:numId="21">
    <w:abstractNumId w:val="17"/>
  </w:num>
  <w:num w:numId="22">
    <w:abstractNumId w:val="36"/>
  </w:num>
  <w:num w:numId="23">
    <w:abstractNumId w:val="1"/>
  </w:num>
  <w:num w:numId="24">
    <w:abstractNumId w:val="6"/>
  </w:num>
  <w:num w:numId="25">
    <w:abstractNumId w:val="4"/>
  </w:num>
  <w:num w:numId="26">
    <w:abstractNumId w:val="18"/>
  </w:num>
  <w:num w:numId="27">
    <w:abstractNumId w:val="20"/>
  </w:num>
  <w:num w:numId="28">
    <w:abstractNumId w:val="31"/>
  </w:num>
  <w:num w:numId="29">
    <w:abstractNumId w:val="35"/>
  </w:num>
  <w:num w:numId="30">
    <w:abstractNumId w:val="23"/>
  </w:num>
  <w:num w:numId="31">
    <w:abstractNumId w:val="30"/>
  </w:num>
  <w:num w:numId="32">
    <w:abstractNumId w:val="7"/>
  </w:num>
  <w:num w:numId="33">
    <w:abstractNumId w:val="41"/>
  </w:num>
  <w:num w:numId="34">
    <w:abstractNumId w:val="14"/>
  </w:num>
  <w:num w:numId="35">
    <w:abstractNumId w:val="11"/>
  </w:num>
  <w:num w:numId="36">
    <w:abstractNumId w:val="40"/>
  </w:num>
  <w:num w:numId="37">
    <w:abstractNumId w:val="8"/>
  </w:num>
  <w:num w:numId="38">
    <w:abstractNumId w:val="15"/>
  </w:num>
  <w:num w:numId="39">
    <w:abstractNumId w:val="22"/>
  </w:num>
  <w:num w:numId="40">
    <w:abstractNumId w:val="25"/>
  </w:num>
  <w:num w:numId="41">
    <w:abstractNumId w:val="19"/>
  </w:num>
  <w:num w:numId="42">
    <w:abstractNumId w:val="2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EC5E7E"/>
    <w:rsid w:val="000029A6"/>
    <w:rsid w:val="0000570D"/>
    <w:rsid w:val="00007409"/>
    <w:rsid w:val="00007813"/>
    <w:rsid w:val="000215C9"/>
    <w:rsid w:val="000216B8"/>
    <w:rsid w:val="00027105"/>
    <w:rsid w:val="00037062"/>
    <w:rsid w:val="000402DE"/>
    <w:rsid w:val="00040615"/>
    <w:rsid w:val="00046A3D"/>
    <w:rsid w:val="00053AC7"/>
    <w:rsid w:val="00055539"/>
    <w:rsid w:val="00057A20"/>
    <w:rsid w:val="000606DF"/>
    <w:rsid w:val="00074DE7"/>
    <w:rsid w:val="000764E2"/>
    <w:rsid w:val="000833BD"/>
    <w:rsid w:val="00092974"/>
    <w:rsid w:val="00096500"/>
    <w:rsid w:val="000B3582"/>
    <w:rsid w:val="000B47E7"/>
    <w:rsid w:val="000B77C0"/>
    <w:rsid w:val="000C0CB2"/>
    <w:rsid w:val="000C786D"/>
    <w:rsid w:val="000D0B33"/>
    <w:rsid w:val="000D2612"/>
    <w:rsid w:val="000D2D41"/>
    <w:rsid w:val="000D6BC5"/>
    <w:rsid w:val="000E6F2B"/>
    <w:rsid w:val="00103BA9"/>
    <w:rsid w:val="00107C47"/>
    <w:rsid w:val="001229D3"/>
    <w:rsid w:val="00126825"/>
    <w:rsid w:val="001272AE"/>
    <w:rsid w:val="00131F6C"/>
    <w:rsid w:val="001333E9"/>
    <w:rsid w:val="001358D6"/>
    <w:rsid w:val="001363F9"/>
    <w:rsid w:val="001472A9"/>
    <w:rsid w:val="0015465A"/>
    <w:rsid w:val="00166685"/>
    <w:rsid w:val="00175B4C"/>
    <w:rsid w:val="00175E1F"/>
    <w:rsid w:val="00181447"/>
    <w:rsid w:val="0018557E"/>
    <w:rsid w:val="001858E0"/>
    <w:rsid w:val="001861AF"/>
    <w:rsid w:val="001942F3"/>
    <w:rsid w:val="00196BBF"/>
    <w:rsid w:val="001A3A41"/>
    <w:rsid w:val="001A6501"/>
    <w:rsid w:val="001B08C0"/>
    <w:rsid w:val="001B6598"/>
    <w:rsid w:val="001D2CAA"/>
    <w:rsid w:val="001D7CA5"/>
    <w:rsid w:val="001E3A1C"/>
    <w:rsid w:val="001E6F75"/>
    <w:rsid w:val="002102A2"/>
    <w:rsid w:val="002223D2"/>
    <w:rsid w:val="00224CE2"/>
    <w:rsid w:val="00234574"/>
    <w:rsid w:val="00234F90"/>
    <w:rsid w:val="002375D2"/>
    <w:rsid w:val="00267019"/>
    <w:rsid w:val="00281911"/>
    <w:rsid w:val="00295D7B"/>
    <w:rsid w:val="00296F54"/>
    <w:rsid w:val="002A4DFE"/>
    <w:rsid w:val="002A6DBC"/>
    <w:rsid w:val="002B257D"/>
    <w:rsid w:val="002B3AB5"/>
    <w:rsid w:val="002B4132"/>
    <w:rsid w:val="002D5781"/>
    <w:rsid w:val="002E2090"/>
    <w:rsid w:val="002E3782"/>
    <w:rsid w:val="002E7B6E"/>
    <w:rsid w:val="002F0A9B"/>
    <w:rsid w:val="002F0E33"/>
    <w:rsid w:val="002F4C5D"/>
    <w:rsid w:val="002F5232"/>
    <w:rsid w:val="00300263"/>
    <w:rsid w:val="0030027F"/>
    <w:rsid w:val="0030114C"/>
    <w:rsid w:val="00302CEC"/>
    <w:rsid w:val="00310B70"/>
    <w:rsid w:val="00311D26"/>
    <w:rsid w:val="00311EE0"/>
    <w:rsid w:val="0031282B"/>
    <w:rsid w:val="003160EB"/>
    <w:rsid w:val="00324A77"/>
    <w:rsid w:val="00330A5B"/>
    <w:rsid w:val="00334460"/>
    <w:rsid w:val="00335B82"/>
    <w:rsid w:val="0034647F"/>
    <w:rsid w:val="00366716"/>
    <w:rsid w:val="00367057"/>
    <w:rsid w:val="00370BA4"/>
    <w:rsid w:val="0037202B"/>
    <w:rsid w:val="00374CF2"/>
    <w:rsid w:val="00376606"/>
    <w:rsid w:val="00376E16"/>
    <w:rsid w:val="00384725"/>
    <w:rsid w:val="003A0430"/>
    <w:rsid w:val="003A0CEF"/>
    <w:rsid w:val="003B5C99"/>
    <w:rsid w:val="003B6EBA"/>
    <w:rsid w:val="003C1019"/>
    <w:rsid w:val="003E0DDF"/>
    <w:rsid w:val="003E1F72"/>
    <w:rsid w:val="003F36F3"/>
    <w:rsid w:val="003F61C9"/>
    <w:rsid w:val="003F6EBA"/>
    <w:rsid w:val="00402C60"/>
    <w:rsid w:val="00404084"/>
    <w:rsid w:val="00415D57"/>
    <w:rsid w:val="004243B6"/>
    <w:rsid w:val="00427E29"/>
    <w:rsid w:val="0043111E"/>
    <w:rsid w:val="004506DC"/>
    <w:rsid w:val="00464CC0"/>
    <w:rsid w:val="00467279"/>
    <w:rsid w:val="00473772"/>
    <w:rsid w:val="00474628"/>
    <w:rsid w:val="004762DB"/>
    <w:rsid w:val="004A5346"/>
    <w:rsid w:val="004C541F"/>
    <w:rsid w:val="004E0B70"/>
    <w:rsid w:val="004E0EF2"/>
    <w:rsid w:val="004E14CA"/>
    <w:rsid w:val="004F08BA"/>
    <w:rsid w:val="00500B84"/>
    <w:rsid w:val="00504212"/>
    <w:rsid w:val="00506B52"/>
    <w:rsid w:val="00511594"/>
    <w:rsid w:val="00516AEB"/>
    <w:rsid w:val="005202A9"/>
    <w:rsid w:val="00525157"/>
    <w:rsid w:val="00526753"/>
    <w:rsid w:val="00527F39"/>
    <w:rsid w:val="00532EAD"/>
    <w:rsid w:val="00533D29"/>
    <w:rsid w:val="0057644C"/>
    <w:rsid w:val="0058007F"/>
    <w:rsid w:val="00592889"/>
    <w:rsid w:val="00594010"/>
    <w:rsid w:val="005970EE"/>
    <w:rsid w:val="005A2F49"/>
    <w:rsid w:val="005A567F"/>
    <w:rsid w:val="005A6543"/>
    <w:rsid w:val="005B3422"/>
    <w:rsid w:val="005C33DF"/>
    <w:rsid w:val="005D3D06"/>
    <w:rsid w:val="005D5610"/>
    <w:rsid w:val="005D6713"/>
    <w:rsid w:val="005E6DD6"/>
    <w:rsid w:val="00601C77"/>
    <w:rsid w:val="00603F1E"/>
    <w:rsid w:val="006168C3"/>
    <w:rsid w:val="006237BB"/>
    <w:rsid w:val="0062614A"/>
    <w:rsid w:val="0062777C"/>
    <w:rsid w:val="006372AD"/>
    <w:rsid w:val="00653DDE"/>
    <w:rsid w:val="00657C07"/>
    <w:rsid w:val="00666189"/>
    <w:rsid w:val="00673F87"/>
    <w:rsid w:val="006772F2"/>
    <w:rsid w:val="006825C9"/>
    <w:rsid w:val="006846FA"/>
    <w:rsid w:val="00685AFC"/>
    <w:rsid w:val="006879D6"/>
    <w:rsid w:val="00690C8F"/>
    <w:rsid w:val="006978FC"/>
    <w:rsid w:val="006A2B60"/>
    <w:rsid w:val="006A2C9A"/>
    <w:rsid w:val="006A327C"/>
    <w:rsid w:val="006A3DBA"/>
    <w:rsid w:val="006A692B"/>
    <w:rsid w:val="006B082B"/>
    <w:rsid w:val="006B69E7"/>
    <w:rsid w:val="006C3567"/>
    <w:rsid w:val="006C6FB5"/>
    <w:rsid w:val="006D5F82"/>
    <w:rsid w:val="006F33F9"/>
    <w:rsid w:val="006F5DC0"/>
    <w:rsid w:val="00701D6E"/>
    <w:rsid w:val="0070344D"/>
    <w:rsid w:val="007065E6"/>
    <w:rsid w:val="00711A66"/>
    <w:rsid w:val="007151D8"/>
    <w:rsid w:val="00717490"/>
    <w:rsid w:val="00717DB9"/>
    <w:rsid w:val="00723A50"/>
    <w:rsid w:val="00730A6C"/>
    <w:rsid w:val="00734AEC"/>
    <w:rsid w:val="00735A65"/>
    <w:rsid w:val="007418FB"/>
    <w:rsid w:val="00745FAF"/>
    <w:rsid w:val="007461BE"/>
    <w:rsid w:val="00747C5A"/>
    <w:rsid w:val="007502C9"/>
    <w:rsid w:val="007517FD"/>
    <w:rsid w:val="007567AD"/>
    <w:rsid w:val="00776268"/>
    <w:rsid w:val="00781FE1"/>
    <w:rsid w:val="0078431C"/>
    <w:rsid w:val="00784879"/>
    <w:rsid w:val="00784F1B"/>
    <w:rsid w:val="007951CB"/>
    <w:rsid w:val="00796442"/>
    <w:rsid w:val="007A71B7"/>
    <w:rsid w:val="007B0EE0"/>
    <w:rsid w:val="007B1A7E"/>
    <w:rsid w:val="007C48D2"/>
    <w:rsid w:val="007C6F3E"/>
    <w:rsid w:val="007D0A4B"/>
    <w:rsid w:val="007D1D41"/>
    <w:rsid w:val="007D22C9"/>
    <w:rsid w:val="007D28F7"/>
    <w:rsid w:val="007E041B"/>
    <w:rsid w:val="007E123F"/>
    <w:rsid w:val="007E3D01"/>
    <w:rsid w:val="007F31A5"/>
    <w:rsid w:val="007F7511"/>
    <w:rsid w:val="007F75C7"/>
    <w:rsid w:val="0080046F"/>
    <w:rsid w:val="00811C5F"/>
    <w:rsid w:val="00820877"/>
    <w:rsid w:val="00822554"/>
    <w:rsid w:val="00830F42"/>
    <w:rsid w:val="00836A08"/>
    <w:rsid w:val="008419CC"/>
    <w:rsid w:val="008435CA"/>
    <w:rsid w:val="00851E3C"/>
    <w:rsid w:val="0085297A"/>
    <w:rsid w:val="00866170"/>
    <w:rsid w:val="00866C12"/>
    <w:rsid w:val="00870809"/>
    <w:rsid w:val="00873BB4"/>
    <w:rsid w:val="008744EB"/>
    <w:rsid w:val="00875850"/>
    <w:rsid w:val="00883C6D"/>
    <w:rsid w:val="0088481A"/>
    <w:rsid w:val="008854B0"/>
    <w:rsid w:val="00887223"/>
    <w:rsid w:val="00890E31"/>
    <w:rsid w:val="008927BD"/>
    <w:rsid w:val="00894DCB"/>
    <w:rsid w:val="008A4117"/>
    <w:rsid w:val="008A5CAE"/>
    <w:rsid w:val="008B0A92"/>
    <w:rsid w:val="008C1B92"/>
    <w:rsid w:val="008E0341"/>
    <w:rsid w:val="008F31DC"/>
    <w:rsid w:val="008F5516"/>
    <w:rsid w:val="008F6A37"/>
    <w:rsid w:val="00911B9B"/>
    <w:rsid w:val="009134CD"/>
    <w:rsid w:val="00916674"/>
    <w:rsid w:val="0092275B"/>
    <w:rsid w:val="00935E93"/>
    <w:rsid w:val="009413BB"/>
    <w:rsid w:val="009615FA"/>
    <w:rsid w:val="009754D3"/>
    <w:rsid w:val="009877E4"/>
    <w:rsid w:val="0099251E"/>
    <w:rsid w:val="0099762F"/>
    <w:rsid w:val="009B25B7"/>
    <w:rsid w:val="009B3984"/>
    <w:rsid w:val="009B5332"/>
    <w:rsid w:val="009C2982"/>
    <w:rsid w:val="009D33E0"/>
    <w:rsid w:val="009D5EF9"/>
    <w:rsid w:val="009E0CC6"/>
    <w:rsid w:val="009E643F"/>
    <w:rsid w:val="00A00EB6"/>
    <w:rsid w:val="00A133ED"/>
    <w:rsid w:val="00A14E3D"/>
    <w:rsid w:val="00A17F6E"/>
    <w:rsid w:val="00A3195E"/>
    <w:rsid w:val="00A32239"/>
    <w:rsid w:val="00A33C9B"/>
    <w:rsid w:val="00A404A6"/>
    <w:rsid w:val="00A4088C"/>
    <w:rsid w:val="00A41CB5"/>
    <w:rsid w:val="00A44878"/>
    <w:rsid w:val="00A4564F"/>
    <w:rsid w:val="00A45D57"/>
    <w:rsid w:val="00A46DD1"/>
    <w:rsid w:val="00A471BE"/>
    <w:rsid w:val="00A54AB3"/>
    <w:rsid w:val="00A5661A"/>
    <w:rsid w:val="00A60D04"/>
    <w:rsid w:val="00A63507"/>
    <w:rsid w:val="00A71FFA"/>
    <w:rsid w:val="00A810DB"/>
    <w:rsid w:val="00AA00DC"/>
    <w:rsid w:val="00AA0EFA"/>
    <w:rsid w:val="00AA2F04"/>
    <w:rsid w:val="00AB3F51"/>
    <w:rsid w:val="00AB4B00"/>
    <w:rsid w:val="00AB63D9"/>
    <w:rsid w:val="00AC387F"/>
    <w:rsid w:val="00AC4EF8"/>
    <w:rsid w:val="00AC7DF6"/>
    <w:rsid w:val="00AE7D02"/>
    <w:rsid w:val="00AF0C06"/>
    <w:rsid w:val="00AF303D"/>
    <w:rsid w:val="00AF3268"/>
    <w:rsid w:val="00AF4D84"/>
    <w:rsid w:val="00B03CD2"/>
    <w:rsid w:val="00B057C5"/>
    <w:rsid w:val="00B12343"/>
    <w:rsid w:val="00B17A1E"/>
    <w:rsid w:val="00B2025F"/>
    <w:rsid w:val="00B24F64"/>
    <w:rsid w:val="00B25D2C"/>
    <w:rsid w:val="00B327C6"/>
    <w:rsid w:val="00B3508A"/>
    <w:rsid w:val="00B42610"/>
    <w:rsid w:val="00B435E6"/>
    <w:rsid w:val="00B4616D"/>
    <w:rsid w:val="00B6147F"/>
    <w:rsid w:val="00B63247"/>
    <w:rsid w:val="00B6429E"/>
    <w:rsid w:val="00B77CE2"/>
    <w:rsid w:val="00B82B9C"/>
    <w:rsid w:val="00B847BF"/>
    <w:rsid w:val="00B84AD3"/>
    <w:rsid w:val="00B87742"/>
    <w:rsid w:val="00B90CEE"/>
    <w:rsid w:val="00B945FA"/>
    <w:rsid w:val="00BA2198"/>
    <w:rsid w:val="00BA753A"/>
    <w:rsid w:val="00BB1151"/>
    <w:rsid w:val="00BB4353"/>
    <w:rsid w:val="00BB4860"/>
    <w:rsid w:val="00BB6F32"/>
    <w:rsid w:val="00BC2DF4"/>
    <w:rsid w:val="00BD10E4"/>
    <w:rsid w:val="00BD37F9"/>
    <w:rsid w:val="00BD4AB2"/>
    <w:rsid w:val="00BE6EAE"/>
    <w:rsid w:val="00BF06C4"/>
    <w:rsid w:val="00BF0A4F"/>
    <w:rsid w:val="00BF1177"/>
    <w:rsid w:val="00BF4463"/>
    <w:rsid w:val="00BF5D8C"/>
    <w:rsid w:val="00C15B0A"/>
    <w:rsid w:val="00C20895"/>
    <w:rsid w:val="00C20B0D"/>
    <w:rsid w:val="00C22AC1"/>
    <w:rsid w:val="00C23A57"/>
    <w:rsid w:val="00C31239"/>
    <w:rsid w:val="00C40C04"/>
    <w:rsid w:val="00C40E91"/>
    <w:rsid w:val="00C415D1"/>
    <w:rsid w:val="00C4390F"/>
    <w:rsid w:val="00C47F03"/>
    <w:rsid w:val="00C5132C"/>
    <w:rsid w:val="00C54955"/>
    <w:rsid w:val="00C57D4C"/>
    <w:rsid w:val="00C62307"/>
    <w:rsid w:val="00C63232"/>
    <w:rsid w:val="00C6610A"/>
    <w:rsid w:val="00C66488"/>
    <w:rsid w:val="00C72FD0"/>
    <w:rsid w:val="00C74A84"/>
    <w:rsid w:val="00C92D87"/>
    <w:rsid w:val="00C931CA"/>
    <w:rsid w:val="00C96CB3"/>
    <w:rsid w:val="00CA0C9A"/>
    <w:rsid w:val="00CA2A92"/>
    <w:rsid w:val="00CA6983"/>
    <w:rsid w:val="00CB5E59"/>
    <w:rsid w:val="00CB7814"/>
    <w:rsid w:val="00CD0144"/>
    <w:rsid w:val="00CD52A3"/>
    <w:rsid w:val="00CE12A8"/>
    <w:rsid w:val="00CE39C6"/>
    <w:rsid w:val="00CE5951"/>
    <w:rsid w:val="00CF02EF"/>
    <w:rsid w:val="00CF5856"/>
    <w:rsid w:val="00D02CE5"/>
    <w:rsid w:val="00D03014"/>
    <w:rsid w:val="00D05A42"/>
    <w:rsid w:val="00D10794"/>
    <w:rsid w:val="00D12B0A"/>
    <w:rsid w:val="00D13C95"/>
    <w:rsid w:val="00D17EFD"/>
    <w:rsid w:val="00D2040D"/>
    <w:rsid w:val="00D20B5B"/>
    <w:rsid w:val="00D20B83"/>
    <w:rsid w:val="00D21141"/>
    <w:rsid w:val="00D217B3"/>
    <w:rsid w:val="00D23327"/>
    <w:rsid w:val="00D2368C"/>
    <w:rsid w:val="00D3232C"/>
    <w:rsid w:val="00D33C02"/>
    <w:rsid w:val="00D40437"/>
    <w:rsid w:val="00D41B7B"/>
    <w:rsid w:val="00D42995"/>
    <w:rsid w:val="00D452DC"/>
    <w:rsid w:val="00D53745"/>
    <w:rsid w:val="00D53B1A"/>
    <w:rsid w:val="00D5638E"/>
    <w:rsid w:val="00D5725B"/>
    <w:rsid w:val="00D60732"/>
    <w:rsid w:val="00D60D4F"/>
    <w:rsid w:val="00D63026"/>
    <w:rsid w:val="00D6669F"/>
    <w:rsid w:val="00D90795"/>
    <w:rsid w:val="00D9117E"/>
    <w:rsid w:val="00D920A9"/>
    <w:rsid w:val="00D96E0B"/>
    <w:rsid w:val="00DA1D4F"/>
    <w:rsid w:val="00DA23DE"/>
    <w:rsid w:val="00DB2B02"/>
    <w:rsid w:val="00DB5A37"/>
    <w:rsid w:val="00DB5C7D"/>
    <w:rsid w:val="00DB7B9E"/>
    <w:rsid w:val="00DD39D7"/>
    <w:rsid w:val="00DD4E6B"/>
    <w:rsid w:val="00DD78E5"/>
    <w:rsid w:val="00DE1EBD"/>
    <w:rsid w:val="00DE6DB3"/>
    <w:rsid w:val="00DE7094"/>
    <w:rsid w:val="00DF3571"/>
    <w:rsid w:val="00DF360D"/>
    <w:rsid w:val="00E01D06"/>
    <w:rsid w:val="00E03E46"/>
    <w:rsid w:val="00E06728"/>
    <w:rsid w:val="00E11651"/>
    <w:rsid w:val="00E13726"/>
    <w:rsid w:val="00E21054"/>
    <w:rsid w:val="00E22DAD"/>
    <w:rsid w:val="00E26ED4"/>
    <w:rsid w:val="00E27C16"/>
    <w:rsid w:val="00E311D7"/>
    <w:rsid w:val="00E329E3"/>
    <w:rsid w:val="00E33FCC"/>
    <w:rsid w:val="00E440CD"/>
    <w:rsid w:val="00E466C0"/>
    <w:rsid w:val="00E46BFF"/>
    <w:rsid w:val="00E5074E"/>
    <w:rsid w:val="00E538B8"/>
    <w:rsid w:val="00E56A48"/>
    <w:rsid w:val="00E65E49"/>
    <w:rsid w:val="00E66D43"/>
    <w:rsid w:val="00E7239F"/>
    <w:rsid w:val="00E75DE5"/>
    <w:rsid w:val="00E839FC"/>
    <w:rsid w:val="00E84935"/>
    <w:rsid w:val="00E92E17"/>
    <w:rsid w:val="00E92EDF"/>
    <w:rsid w:val="00EA0DE5"/>
    <w:rsid w:val="00EA2809"/>
    <w:rsid w:val="00EA629F"/>
    <w:rsid w:val="00EB7C6B"/>
    <w:rsid w:val="00EC19FE"/>
    <w:rsid w:val="00EC5514"/>
    <w:rsid w:val="00EC5E7E"/>
    <w:rsid w:val="00EC719F"/>
    <w:rsid w:val="00ED29FD"/>
    <w:rsid w:val="00ED59C9"/>
    <w:rsid w:val="00EE3A50"/>
    <w:rsid w:val="00EE471A"/>
    <w:rsid w:val="00EE720B"/>
    <w:rsid w:val="00EF057A"/>
    <w:rsid w:val="00EF1BF9"/>
    <w:rsid w:val="00EF6F4E"/>
    <w:rsid w:val="00F06C7D"/>
    <w:rsid w:val="00F07120"/>
    <w:rsid w:val="00F07936"/>
    <w:rsid w:val="00F12BBE"/>
    <w:rsid w:val="00F12C91"/>
    <w:rsid w:val="00F15823"/>
    <w:rsid w:val="00F15FD0"/>
    <w:rsid w:val="00F17A24"/>
    <w:rsid w:val="00F2537D"/>
    <w:rsid w:val="00F2732A"/>
    <w:rsid w:val="00F3753D"/>
    <w:rsid w:val="00F45C23"/>
    <w:rsid w:val="00F50687"/>
    <w:rsid w:val="00F61C95"/>
    <w:rsid w:val="00F6475D"/>
    <w:rsid w:val="00F6633B"/>
    <w:rsid w:val="00F70477"/>
    <w:rsid w:val="00F7366E"/>
    <w:rsid w:val="00F76502"/>
    <w:rsid w:val="00F81B0D"/>
    <w:rsid w:val="00F85DF5"/>
    <w:rsid w:val="00F86C2A"/>
    <w:rsid w:val="00F92024"/>
    <w:rsid w:val="00F97F75"/>
    <w:rsid w:val="00FA0C93"/>
    <w:rsid w:val="00FA30B1"/>
    <w:rsid w:val="00FA5633"/>
    <w:rsid w:val="00FA60A2"/>
    <w:rsid w:val="00FA6EDB"/>
    <w:rsid w:val="00FB5296"/>
    <w:rsid w:val="00FB63D3"/>
    <w:rsid w:val="00FC047B"/>
    <w:rsid w:val="00FC2B21"/>
    <w:rsid w:val="00FC5AA4"/>
    <w:rsid w:val="00FD33F4"/>
    <w:rsid w:val="00FD3434"/>
    <w:rsid w:val="00FE3CF3"/>
    <w:rsid w:val="00FE77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57"/>
  </w:style>
  <w:style w:type="paragraph" w:styleId="Heading1">
    <w:name w:val="heading 1"/>
    <w:basedOn w:val="Normal"/>
    <w:next w:val="Normal"/>
    <w:link w:val="Heading1Char"/>
    <w:uiPriority w:val="9"/>
    <w:qFormat/>
    <w:rsid w:val="005940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940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40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067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644C"/>
    <w:pPr>
      <w:keepNext/>
      <w:keepLines/>
      <w:spacing w:before="200" w:after="0" w:line="276" w:lineRule="auto"/>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57644C"/>
    <w:pPr>
      <w:keepNext/>
      <w:keepLines/>
      <w:spacing w:before="200" w:after="0" w:line="276" w:lineRule="auto"/>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644C"/>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644C"/>
    <w:pPr>
      <w:keepNext/>
      <w:keepLines/>
      <w:spacing w:before="200" w:after="0" w:line="276" w:lineRule="auto"/>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644C"/>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B7B9E"/>
    <w:pPr>
      <w:spacing w:after="0" w:line="240" w:lineRule="auto"/>
    </w:pPr>
    <w:rPr>
      <w:sz w:val="20"/>
      <w:szCs w:val="20"/>
    </w:rPr>
  </w:style>
  <w:style w:type="character" w:customStyle="1" w:styleId="FootnoteTextChar">
    <w:name w:val="Footnote Text Char"/>
    <w:basedOn w:val="DefaultParagraphFont"/>
    <w:link w:val="FootnoteText"/>
    <w:uiPriority w:val="99"/>
    <w:rsid w:val="00DB7B9E"/>
    <w:rPr>
      <w:sz w:val="20"/>
      <w:szCs w:val="20"/>
    </w:rPr>
  </w:style>
  <w:style w:type="character" w:styleId="FootnoteReference">
    <w:name w:val="footnote reference"/>
    <w:basedOn w:val="DefaultParagraphFont"/>
    <w:uiPriority w:val="99"/>
    <w:semiHidden/>
    <w:unhideWhenUsed/>
    <w:rsid w:val="00DB7B9E"/>
    <w:rPr>
      <w:vertAlign w:val="superscript"/>
    </w:rPr>
  </w:style>
  <w:style w:type="paragraph" w:styleId="ListParagraph">
    <w:name w:val="List Paragraph"/>
    <w:basedOn w:val="Normal"/>
    <w:uiPriority w:val="34"/>
    <w:qFormat/>
    <w:rsid w:val="005A2F49"/>
    <w:pPr>
      <w:ind w:left="720"/>
      <w:contextualSpacing/>
    </w:pPr>
  </w:style>
  <w:style w:type="table" w:customStyle="1" w:styleId="GridTable4-Accent11">
    <w:name w:val="Grid Table 4 - Accent 11"/>
    <w:basedOn w:val="TableNormal"/>
    <w:uiPriority w:val="49"/>
    <w:rsid w:val="00E75DE5"/>
    <w:pPr>
      <w:spacing w:after="0" w:line="240" w:lineRule="auto"/>
    </w:pPr>
    <w:rPr>
      <w:rFonts w:ascii="Times New Roman" w:eastAsia="Calibri" w:hAnsi="Times New Roman" w:cs="Times New Roman"/>
      <w:sz w:val="20"/>
      <w:szCs w:val="20"/>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yperlink">
    <w:name w:val="Hyperlink"/>
    <w:basedOn w:val="DefaultParagraphFont"/>
    <w:uiPriority w:val="99"/>
    <w:unhideWhenUsed/>
    <w:rsid w:val="00BB4860"/>
    <w:rPr>
      <w:color w:val="0563C1" w:themeColor="hyperlink"/>
      <w:u w:val="single"/>
    </w:rPr>
  </w:style>
  <w:style w:type="table" w:customStyle="1" w:styleId="TableGrid1">
    <w:name w:val="Table Grid1"/>
    <w:basedOn w:val="TableNormal"/>
    <w:next w:val="TableGrid"/>
    <w:uiPriority w:val="39"/>
    <w:rsid w:val="00133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1333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401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940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9401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0672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234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574"/>
  </w:style>
  <w:style w:type="paragraph" w:styleId="Footer">
    <w:name w:val="footer"/>
    <w:basedOn w:val="Normal"/>
    <w:link w:val="FooterChar"/>
    <w:uiPriority w:val="99"/>
    <w:unhideWhenUsed/>
    <w:rsid w:val="00234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574"/>
  </w:style>
  <w:style w:type="numbering" w:customStyle="1" w:styleId="NoList1">
    <w:name w:val="No List1"/>
    <w:next w:val="NoList"/>
    <w:uiPriority w:val="99"/>
    <w:semiHidden/>
    <w:unhideWhenUsed/>
    <w:rsid w:val="00D03014"/>
  </w:style>
  <w:style w:type="table" w:customStyle="1" w:styleId="TableGrid2">
    <w:name w:val="Table Grid2"/>
    <w:basedOn w:val="TableNormal"/>
    <w:next w:val="TableGrid"/>
    <w:uiPriority w:val="39"/>
    <w:rsid w:val="00D030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03014"/>
    <w:rPr>
      <w:sz w:val="16"/>
      <w:szCs w:val="16"/>
    </w:rPr>
  </w:style>
  <w:style w:type="paragraph" w:styleId="CommentText">
    <w:name w:val="annotation text"/>
    <w:basedOn w:val="Normal"/>
    <w:link w:val="CommentTextChar"/>
    <w:uiPriority w:val="99"/>
    <w:unhideWhenUsed/>
    <w:rsid w:val="00D03014"/>
    <w:pPr>
      <w:spacing w:line="240" w:lineRule="auto"/>
    </w:pPr>
    <w:rPr>
      <w:sz w:val="20"/>
      <w:szCs w:val="20"/>
    </w:rPr>
  </w:style>
  <w:style w:type="character" w:customStyle="1" w:styleId="CommentTextChar">
    <w:name w:val="Comment Text Char"/>
    <w:basedOn w:val="DefaultParagraphFont"/>
    <w:link w:val="CommentText"/>
    <w:uiPriority w:val="99"/>
    <w:rsid w:val="00D03014"/>
    <w:rPr>
      <w:sz w:val="20"/>
      <w:szCs w:val="20"/>
    </w:rPr>
  </w:style>
  <w:style w:type="paragraph" w:styleId="CommentSubject">
    <w:name w:val="annotation subject"/>
    <w:basedOn w:val="CommentText"/>
    <w:next w:val="CommentText"/>
    <w:link w:val="CommentSubjectChar"/>
    <w:uiPriority w:val="99"/>
    <w:semiHidden/>
    <w:unhideWhenUsed/>
    <w:rsid w:val="00D03014"/>
    <w:rPr>
      <w:b/>
      <w:bCs/>
    </w:rPr>
  </w:style>
  <w:style w:type="character" w:customStyle="1" w:styleId="CommentSubjectChar">
    <w:name w:val="Comment Subject Char"/>
    <w:basedOn w:val="CommentTextChar"/>
    <w:link w:val="CommentSubject"/>
    <w:uiPriority w:val="99"/>
    <w:semiHidden/>
    <w:rsid w:val="00D03014"/>
    <w:rPr>
      <w:b/>
      <w:bCs/>
      <w:sz w:val="20"/>
      <w:szCs w:val="20"/>
    </w:rPr>
  </w:style>
  <w:style w:type="paragraph" w:styleId="BalloonText">
    <w:name w:val="Balloon Text"/>
    <w:basedOn w:val="Normal"/>
    <w:link w:val="BalloonTextChar"/>
    <w:uiPriority w:val="99"/>
    <w:semiHidden/>
    <w:unhideWhenUsed/>
    <w:rsid w:val="00D03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014"/>
    <w:rPr>
      <w:rFonts w:ascii="Segoe UI" w:hAnsi="Segoe UI" w:cs="Segoe UI"/>
      <w:sz w:val="18"/>
      <w:szCs w:val="18"/>
    </w:rPr>
  </w:style>
  <w:style w:type="paragraph" w:styleId="Revision">
    <w:name w:val="Revision"/>
    <w:hidden/>
    <w:uiPriority w:val="99"/>
    <w:semiHidden/>
    <w:rsid w:val="00D03014"/>
    <w:pPr>
      <w:spacing w:after="0" w:line="240" w:lineRule="auto"/>
    </w:pPr>
  </w:style>
  <w:style w:type="character" w:styleId="PageNumber">
    <w:name w:val="page number"/>
    <w:basedOn w:val="DefaultParagraphFont"/>
    <w:uiPriority w:val="99"/>
    <w:semiHidden/>
    <w:unhideWhenUsed/>
    <w:rsid w:val="00D03014"/>
  </w:style>
  <w:style w:type="character" w:styleId="FollowedHyperlink">
    <w:name w:val="FollowedHyperlink"/>
    <w:basedOn w:val="DefaultParagraphFont"/>
    <w:uiPriority w:val="99"/>
    <w:semiHidden/>
    <w:unhideWhenUsed/>
    <w:rsid w:val="0080046F"/>
    <w:rPr>
      <w:color w:val="954F72" w:themeColor="followedHyperlink"/>
      <w:u w:val="single"/>
    </w:rPr>
  </w:style>
  <w:style w:type="character" w:customStyle="1" w:styleId="Heading5Char">
    <w:name w:val="Heading 5 Char"/>
    <w:basedOn w:val="DefaultParagraphFont"/>
    <w:link w:val="Heading5"/>
    <w:uiPriority w:val="9"/>
    <w:semiHidden/>
    <w:rsid w:val="0057644C"/>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57644C"/>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5764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644C"/>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644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644C"/>
    <w:pPr>
      <w:spacing w:after="200" w:line="240" w:lineRule="auto"/>
    </w:pPr>
    <w:rPr>
      <w:rFonts w:eastAsiaTheme="minorEastAsia"/>
      <w:b/>
      <w:bCs/>
      <w:color w:val="5B9BD5" w:themeColor="accent1"/>
      <w:sz w:val="18"/>
      <w:szCs w:val="18"/>
    </w:rPr>
  </w:style>
  <w:style w:type="paragraph" w:styleId="Title">
    <w:name w:val="Title"/>
    <w:basedOn w:val="Normal"/>
    <w:next w:val="Normal"/>
    <w:link w:val="TitleChar"/>
    <w:uiPriority w:val="10"/>
    <w:qFormat/>
    <w:rsid w:val="0057644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644C"/>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644C"/>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644C"/>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644C"/>
    <w:rPr>
      <w:b/>
      <w:bCs/>
    </w:rPr>
  </w:style>
  <w:style w:type="character" w:styleId="Emphasis">
    <w:name w:val="Emphasis"/>
    <w:basedOn w:val="DefaultParagraphFont"/>
    <w:uiPriority w:val="20"/>
    <w:qFormat/>
    <w:rsid w:val="0057644C"/>
    <w:rPr>
      <w:i/>
      <w:iCs/>
    </w:rPr>
  </w:style>
  <w:style w:type="paragraph" w:styleId="NoSpacing">
    <w:name w:val="No Spacing"/>
    <w:uiPriority w:val="1"/>
    <w:qFormat/>
    <w:rsid w:val="0057644C"/>
    <w:pPr>
      <w:spacing w:after="0" w:line="240" w:lineRule="auto"/>
    </w:pPr>
    <w:rPr>
      <w:rFonts w:eastAsiaTheme="minorEastAsia"/>
    </w:rPr>
  </w:style>
  <w:style w:type="paragraph" w:styleId="Quote">
    <w:name w:val="Quote"/>
    <w:basedOn w:val="Normal"/>
    <w:next w:val="Normal"/>
    <w:link w:val="QuoteChar"/>
    <w:uiPriority w:val="29"/>
    <w:qFormat/>
    <w:rsid w:val="0057644C"/>
    <w:pPr>
      <w:spacing w:after="200" w:line="276" w:lineRule="auto"/>
    </w:pPr>
    <w:rPr>
      <w:rFonts w:eastAsiaTheme="minorEastAsia"/>
      <w:i/>
      <w:iCs/>
      <w:color w:val="000000" w:themeColor="text1"/>
    </w:rPr>
  </w:style>
  <w:style w:type="character" w:customStyle="1" w:styleId="QuoteChar">
    <w:name w:val="Quote Char"/>
    <w:basedOn w:val="DefaultParagraphFont"/>
    <w:link w:val="Quote"/>
    <w:uiPriority w:val="29"/>
    <w:rsid w:val="0057644C"/>
    <w:rPr>
      <w:rFonts w:eastAsiaTheme="minorEastAsia"/>
      <w:i/>
      <w:iCs/>
      <w:color w:val="000000" w:themeColor="text1"/>
    </w:rPr>
  </w:style>
  <w:style w:type="paragraph" w:styleId="IntenseQuote">
    <w:name w:val="Intense Quote"/>
    <w:basedOn w:val="Normal"/>
    <w:next w:val="Normal"/>
    <w:link w:val="IntenseQuoteChar"/>
    <w:uiPriority w:val="30"/>
    <w:qFormat/>
    <w:rsid w:val="0057644C"/>
    <w:pPr>
      <w:pBdr>
        <w:bottom w:val="single" w:sz="4" w:space="4" w:color="5B9BD5" w:themeColor="accent1"/>
      </w:pBdr>
      <w:spacing w:before="200" w:after="280" w:line="276" w:lineRule="auto"/>
      <w:ind w:left="936" w:right="936"/>
    </w:pPr>
    <w:rPr>
      <w:rFonts w:eastAsiaTheme="minorEastAsia"/>
      <w:b/>
      <w:bCs/>
      <w:i/>
      <w:iCs/>
      <w:color w:val="5B9BD5" w:themeColor="accent1"/>
    </w:rPr>
  </w:style>
  <w:style w:type="character" w:customStyle="1" w:styleId="IntenseQuoteChar">
    <w:name w:val="Intense Quote Char"/>
    <w:basedOn w:val="DefaultParagraphFont"/>
    <w:link w:val="IntenseQuote"/>
    <w:uiPriority w:val="30"/>
    <w:rsid w:val="0057644C"/>
    <w:rPr>
      <w:rFonts w:eastAsiaTheme="minorEastAsia"/>
      <w:b/>
      <w:bCs/>
      <w:i/>
      <w:iCs/>
      <w:color w:val="5B9BD5" w:themeColor="accent1"/>
    </w:rPr>
  </w:style>
  <w:style w:type="character" w:styleId="SubtleEmphasis">
    <w:name w:val="Subtle Emphasis"/>
    <w:basedOn w:val="DefaultParagraphFont"/>
    <w:uiPriority w:val="19"/>
    <w:qFormat/>
    <w:rsid w:val="0057644C"/>
    <w:rPr>
      <w:i/>
      <w:iCs/>
      <w:color w:val="808080" w:themeColor="text1" w:themeTint="7F"/>
    </w:rPr>
  </w:style>
  <w:style w:type="character" w:styleId="IntenseEmphasis">
    <w:name w:val="Intense Emphasis"/>
    <w:basedOn w:val="DefaultParagraphFont"/>
    <w:uiPriority w:val="21"/>
    <w:qFormat/>
    <w:rsid w:val="0057644C"/>
    <w:rPr>
      <w:b/>
      <w:bCs/>
      <w:i/>
      <w:iCs/>
      <w:color w:val="5B9BD5" w:themeColor="accent1"/>
    </w:rPr>
  </w:style>
  <w:style w:type="character" w:styleId="SubtleReference">
    <w:name w:val="Subtle Reference"/>
    <w:basedOn w:val="DefaultParagraphFont"/>
    <w:uiPriority w:val="31"/>
    <w:qFormat/>
    <w:rsid w:val="0057644C"/>
    <w:rPr>
      <w:smallCaps/>
      <w:color w:val="ED7D31" w:themeColor="accent2"/>
      <w:u w:val="single"/>
    </w:rPr>
  </w:style>
  <w:style w:type="character" w:styleId="IntenseReference">
    <w:name w:val="Intense Reference"/>
    <w:basedOn w:val="DefaultParagraphFont"/>
    <w:uiPriority w:val="32"/>
    <w:qFormat/>
    <w:rsid w:val="0057644C"/>
    <w:rPr>
      <w:b/>
      <w:bCs/>
      <w:smallCaps/>
      <w:color w:val="ED7D31" w:themeColor="accent2"/>
      <w:spacing w:val="5"/>
      <w:u w:val="single"/>
    </w:rPr>
  </w:style>
  <w:style w:type="character" w:styleId="BookTitle">
    <w:name w:val="Book Title"/>
    <w:basedOn w:val="DefaultParagraphFont"/>
    <w:uiPriority w:val="33"/>
    <w:qFormat/>
    <w:rsid w:val="0057644C"/>
    <w:rPr>
      <w:b/>
      <w:bCs/>
      <w:smallCaps/>
      <w:spacing w:val="5"/>
    </w:rPr>
  </w:style>
  <w:style w:type="paragraph" w:styleId="TOCHeading">
    <w:name w:val="TOC Heading"/>
    <w:basedOn w:val="Heading1"/>
    <w:next w:val="Normal"/>
    <w:uiPriority w:val="39"/>
    <w:unhideWhenUsed/>
    <w:qFormat/>
    <w:rsid w:val="0057644C"/>
    <w:pPr>
      <w:spacing w:before="480" w:line="276" w:lineRule="auto"/>
      <w:outlineLvl w:val="9"/>
    </w:pPr>
    <w:rPr>
      <w:b/>
      <w:bCs/>
      <w:sz w:val="28"/>
      <w:szCs w:val="28"/>
    </w:rPr>
  </w:style>
  <w:style w:type="paragraph" w:styleId="TOC1">
    <w:name w:val="toc 1"/>
    <w:basedOn w:val="Normal"/>
    <w:next w:val="Normal"/>
    <w:autoRedefine/>
    <w:uiPriority w:val="39"/>
    <w:unhideWhenUsed/>
    <w:rsid w:val="0057644C"/>
    <w:pPr>
      <w:spacing w:after="100" w:line="276" w:lineRule="auto"/>
    </w:pPr>
    <w:rPr>
      <w:rFonts w:eastAsiaTheme="minorEastAsia"/>
    </w:rPr>
  </w:style>
  <w:style w:type="paragraph" w:styleId="TOC2">
    <w:name w:val="toc 2"/>
    <w:basedOn w:val="Normal"/>
    <w:next w:val="Normal"/>
    <w:autoRedefine/>
    <w:uiPriority w:val="39"/>
    <w:unhideWhenUsed/>
    <w:rsid w:val="0057644C"/>
    <w:pPr>
      <w:spacing w:after="100" w:line="276" w:lineRule="auto"/>
      <w:ind w:left="220"/>
    </w:pPr>
    <w:rPr>
      <w:rFonts w:eastAsiaTheme="minorEastAsia"/>
    </w:rPr>
  </w:style>
  <w:style w:type="paragraph" w:styleId="TOC3">
    <w:name w:val="toc 3"/>
    <w:basedOn w:val="Normal"/>
    <w:next w:val="Normal"/>
    <w:autoRedefine/>
    <w:uiPriority w:val="39"/>
    <w:unhideWhenUsed/>
    <w:rsid w:val="0057644C"/>
    <w:pPr>
      <w:shd w:val="clear" w:color="auto" w:fill="FFFFFF" w:themeFill="background1"/>
      <w:tabs>
        <w:tab w:val="right" w:leader="dot" w:pos="9323"/>
      </w:tabs>
      <w:spacing w:after="100" w:line="276" w:lineRule="auto"/>
      <w:ind w:left="440"/>
    </w:pPr>
    <w:rPr>
      <w:rFonts w:eastAsiaTheme="minorEastAsia"/>
    </w:rPr>
  </w:style>
  <w:style w:type="table" w:customStyle="1" w:styleId="GridTable4Accent1">
    <w:name w:val="Grid Table 4 Accent 1"/>
    <w:basedOn w:val="TableNormal"/>
    <w:uiPriority w:val="49"/>
    <w:rsid w:val="0057644C"/>
    <w:pPr>
      <w:spacing w:after="0" w:line="240" w:lineRule="auto"/>
    </w:pPr>
    <w:rPr>
      <w:rFonts w:eastAsiaTheme="minorEastAsi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Grid-Accent12">
    <w:name w:val="Light Grid - Accent 12"/>
    <w:basedOn w:val="TableNormal"/>
    <w:uiPriority w:val="62"/>
    <w:rsid w:val="00D33C02"/>
    <w:pPr>
      <w:spacing w:after="0" w:line="240" w:lineRule="auto"/>
    </w:pPr>
    <w:rPr>
      <w:rFonts w:ascii="Times New Roman" w:hAnsi="Times New Roman"/>
      <w:sz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uiPriority w:val="62"/>
    <w:rsid w:val="00D33C02"/>
    <w:pPr>
      <w:spacing w:after="0" w:line="240" w:lineRule="auto"/>
    </w:pPr>
    <w:rPr>
      <w:rFonts w:ascii="Times New Roman" w:hAnsi="Times New Roman"/>
      <w:sz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chart" Target="charts/chart32.xml"/><Relationship Id="rId21" Type="http://schemas.openxmlformats.org/officeDocument/2006/relationships/chart" Target="charts/chart14.xml"/><Relationship Id="rId34" Type="http://schemas.openxmlformats.org/officeDocument/2006/relationships/chart" Target="charts/chart27.xml"/><Relationship Id="rId42" Type="http://schemas.openxmlformats.org/officeDocument/2006/relationships/chart" Target="charts/chart35.xml"/><Relationship Id="rId47" Type="http://schemas.openxmlformats.org/officeDocument/2006/relationships/chart" Target="charts/chart40.xml"/><Relationship Id="rId50" Type="http://schemas.openxmlformats.org/officeDocument/2006/relationships/chart" Target="charts/chart43.xml"/><Relationship Id="rId55" Type="http://schemas.openxmlformats.org/officeDocument/2006/relationships/chart" Target="charts/chart48.xm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chart" Target="charts/chart30.xml"/><Relationship Id="rId40" Type="http://schemas.openxmlformats.org/officeDocument/2006/relationships/chart" Target="charts/chart33.xml"/><Relationship Id="rId45" Type="http://schemas.openxmlformats.org/officeDocument/2006/relationships/chart" Target="charts/chart38.xml"/><Relationship Id="rId53" Type="http://schemas.openxmlformats.org/officeDocument/2006/relationships/chart" Target="charts/chart46.xml"/><Relationship Id="rId58" Type="http://schemas.openxmlformats.org/officeDocument/2006/relationships/chart" Target="charts/chart51.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61"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header" Target="header3.xml"/><Relationship Id="rId8" Type="http://schemas.openxmlformats.org/officeDocument/2006/relationships/chart" Target="charts/chart1.xml"/><Relationship Id="rId51" Type="http://schemas.openxmlformats.org/officeDocument/2006/relationships/chart" Target="charts/chart4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theme" Target="theme/theme1.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zzzsk.rs/nepokretna-kulturna-dobra-od-velikog-znacaja-u-vojvodini.html" TargetMode="External"/><Relationship Id="rId2" Type="http://schemas.openxmlformats.org/officeDocument/2006/relationships/hyperlink" Target="http://www.pzzzsk.rs/nepokretna-kulturna-dobra-od-izuzetnog-znacaja-u-vojvodini.html" TargetMode="External"/><Relationship Id="rId1" Type="http://schemas.openxmlformats.org/officeDocument/2006/relationships/hyperlink" Target="http://popis2011.stat.rs/?page_id=2162" TargetMode="External"/><Relationship Id="rId6" Type="http://schemas.openxmlformats.org/officeDocument/2006/relationships/hyperlink" Target="http://www.nkns.rs/cyr/popis-nkns/bezdanski-damast-umetshe-ruchnog-tkanja-ornamentisanog-svilenog-damasta-zhakar-tehnikom" TargetMode="External"/><Relationship Id="rId5" Type="http://schemas.openxmlformats.org/officeDocument/2006/relationships/hyperlink" Target="http://www.nkns.rs/cyr/elementi-nkns" TargetMode="External"/><Relationship Id="rId4" Type="http://schemas.openxmlformats.org/officeDocument/2006/relationships/hyperlink" Target="https://www.sombor.rs/o-somboru/kultura/"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11.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Worksheet13.xlsx"/><Relationship Id="rId1" Type="http://schemas.openxmlformats.org/officeDocument/2006/relationships/themeOverride" Target="../theme/themeOverride12.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Worksheet14.xlsx"/><Relationship Id="rId1" Type="http://schemas.openxmlformats.org/officeDocument/2006/relationships/themeOverride" Target="../theme/themeOverride13.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Worksheet15.xlsx"/><Relationship Id="rId1" Type="http://schemas.openxmlformats.org/officeDocument/2006/relationships/themeOverride" Target="../theme/themeOverride14.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Worksheet16.xlsx"/><Relationship Id="rId1" Type="http://schemas.openxmlformats.org/officeDocument/2006/relationships/themeOverride" Target="../theme/themeOverride15.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Office_Excel_Worksheet17.xlsx"/><Relationship Id="rId1" Type="http://schemas.openxmlformats.org/officeDocument/2006/relationships/themeOverride" Target="../theme/themeOverride16.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Office_Excel_Worksheet18.xlsx"/><Relationship Id="rId1" Type="http://schemas.openxmlformats.org/officeDocument/2006/relationships/themeOverride" Target="../theme/themeOverride17.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Office_Excel_Worksheet19.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Office_Excel_Worksheet20.xlsx"/><Relationship Id="rId1" Type="http://schemas.openxmlformats.org/officeDocument/2006/relationships/themeOverride" Target="../theme/themeOverride19.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Office_Excel_Worksheet21.xlsx"/><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Office_Excel_Worksheet22.xlsx"/><Relationship Id="rId1" Type="http://schemas.openxmlformats.org/officeDocument/2006/relationships/themeOverride" Target="../theme/themeOverride21.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Office_Excel_Worksheet23.xlsx"/><Relationship Id="rId1" Type="http://schemas.openxmlformats.org/officeDocument/2006/relationships/themeOverride" Target="../theme/themeOverride22.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Office_Excel_Worksheet24.xlsx"/><Relationship Id="rId1" Type="http://schemas.openxmlformats.org/officeDocument/2006/relationships/themeOverride" Target="../theme/themeOverride23.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Office_Excel_Worksheet25.xlsx"/><Relationship Id="rId1" Type="http://schemas.openxmlformats.org/officeDocument/2006/relationships/themeOverride" Target="../theme/themeOverride24.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Office_Excel_Worksheet26.xlsx"/><Relationship Id="rId1" Type="http://schemas.openxmlformats.org/officeDocument/2006/relationships/themeOverride" Target="../theme/themeOverride25.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Office_Excel_Worksheet27.xlsx"/><Relationship Id="rId1" Type="http://schemas.openxmlformats.org/officeDocument/2006/relationships/themeOverride" Target="../theme/themeOverride26.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Office_Excel_Worksheet28.xlsx"/><Relationship Id="rId1" Type="http://schemas.openxmlformats.org/officeDocument/2006/relationships/themeOverride" Target="../theme/themeOverride27.xml"/></Relationships>
</file>

<file path=word/charts/_rels/chart29.xml.rels><?xml version="1.0" encoding="UTF-8" standalone="yes"?>
<Relationships xmlns="http://schemas.openxmlformats.org/package/2006/relationships"><Relationship Id="rId2" Type="http://schemas.openxmlformats.org/officeDocument/2006/relationships/package" Target="../embeddings/Microsoft_Office_Excel_Worksheet29.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package" Target="../embeddings/Microsoft_Office_Excel_Worksheet30.xlsx"/><Relationship Id="rId1" Type="http://schemas.openxmlformats.org/officeDocument/2006/relationships/themeOverride" Target="../theme/themeOverride29.xml"/></Relationships>
</file>

<file path=word/charts/_rels/chart31.xml.rels><?xml version="1.0" encoding="UTF-8" standalone="yes"?>
<Relationships xmlns="http://schemas.openxmlformats.org/package/2006/relationships"><Relationship Id="rId2" Type="http://schemas.openxmlformats.org/officeDocument/2006/relationships/package" Target="../embeddings/Microsoft_Office_Excel_Worksheet31.xlsx"/><Relationship Id="rId1" Type="http://schemas.openxmlformats.org/officeDocument/2006/relationships/themeOverride" Target="../theme/themeOverride30.xml"/></Relationships>
</file>

<file path=word/charts/_rels/chart32.xml.rels><?xml version="1.0" encoding="UTF-8" standalone="yes"?>
<Relationships xmlns="http://schemas.openxmlformats.org/package/2006/relationships"><Relationship Id="rId2" Type="http://schemas.openxmlformats.org/officeDocument/2006/relationships/package" Target="../embeddings/Microsoft_Office_Excel_Worksheet32.xlsx"/><Relationship Id="rId1" Type="http://schemas.openxmlformats.org/officeDocument/2006/relationships/themeOverride" Target="../theme/themeOverride31.xml"/></Relationships>
</file>

<file path=word/charts/_rels/chart33.xml.rels><?xml version="1.0" encoding="UTF-8" standalone="yes"?>
<Relationships xmlns="http://schemas.openxmlformats.org/package/2006/relationships"><Relationship Id="rId2" Type="http://schemas.openxmlformats.org/officeDocument/2006/relationships/package" Target="../embeddings/Microsoft_Office_Excel_Worksheet33.xlsx"/><Relationship Id="rId1" Type="http://schemas.openxmlformats.org/officeDocument/2006/relationships/themeOverride" Target="../theme/themeOverride32.xml"/></Relationships>
</file>

<file path=word/charts/_rels/chart34.xml.rels><?xml version="1.0" encoding="UTF-8" standalone="yes"?>
<Relationships xmlns="http://schemas.openxmlformats.org/package/2006/relationships"><Relationship Id="rId2" Type="http://schemas.openxmlformats.org/officeDocument/2006/relationships/package" Target="../embeddings/Microsoft_Office_Excel_Worksheet34.xlsx"/><Relationship Id="rId1" Type="http://schemas.openxmlformats.org/officeDocument/2006/relationships/themeOverride" Target="../theme/themeOverride33.xml"/></Relationships>
</file>

<file path=word/charts/_rels/chart35.xml.rels><?xml version="1.0" encoding="UTF-8" standalone="yes"?>
<Relationships xmlns="http://schemas.openxmlformats.org/package/2006/relationships"><Relationship Id="rId2" Type="http://schemas.openxmlformats.org/officeDocument/2006/relationships/package" Target="../embeddings/Microsoft_Office_Excel_Worksheet35.xlsx"/><Relationship Id="rId1" Type="http://schemas.openxmlformats.org/officeDocument/2006/relationships/themeOverride" Target="../theme/themeOverride34.xml"/></Relationships>
</file>

<file path=word/charts/_rels/chart36.xml.rels><?xml version="1.0" encoding="UTF-8" standalone="yes"?>
<Relationships xmlns="http://schemas.openxmlformats.org/package/2006/relationships"><Relationship Id="rId2" Type="http://schemas.openxmlformats.org/officeDocument/2006/relationships/package" Target="../embeddings/Microsoft_Office_Excel_Worksheet36.xlsx"/><Relationship Id="rId1" Type="http://schemas.openxmlformats.org/officeDocument/2006/relationships/themeOverride" Target="../theme/themeOverride35.xml"/></Relationships>
</file>

<file path=word/charts/_rels/chart37.xml.rels><?xml version="1.0" encoding="UTF-8" standalone="yes"?>
<Relationships xmlns="http://schemas.openxmlformats.org/package/2006/relationships"><Relationship Id="rId2" Type="http://schemas.openxmlformats.org/officeDocument/2006/relationships/package" Target="../embeddings/Microsoft_Office_Excel_Worksheet37.xlsx"/><Relationship Id="rId1" Type="http://schemas.openxmlformats.org/officeDocument/2006/relationships/themeOverride" Target="../theme/themeOverride36.xml"/></Relationships>
</file>

<file path=word/charts/_rels/chart38.xml.rels><?xml version="1.0" encoding="UTF-8" standalone="yes"?>
<Relationships xmlns="http://schemas.openxmlformats.org/package/2006/relationships"><Relationship Id="rId2" Type="http://schemas.openxmlformats.org/officeDocument/2006/relationships/package" Target="../embeddings/Microsoft_Office_Excel_Worksheet38.xlsx"/><Relationship Id="rId1" Type="http://schemas.openxmlformats.org/officeDocument/2006/relationships/themeOverride" Target="../theme/themeOverride37.xml"/></Relationships>
</file>

<file path=word/charts/_rels/chart39.xml.rels><?xml version="1.0" encoding="UTF-8" standalone="yes"?>
<Relationships xmlns="http://schemas.openxmlformats.org/package/2006/relationships"><Relationship Id="rId2" Type="http://schemas.openxmlformats.org/officeDocument/2006/relationships/package" Target="../embeddings/Microsoft_Office_Excel_Worksheet39.xlsx"/><Relationship Id="rId1" Type="http://schemas.openxmlformats.org/officeDocument/2006/relationships/themeOverride" Target="../theme/themeOverride38.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package" Target="../embeddings/Microsoft_Office_Excel_Worksheet40.xlsx"/><Relationship Id="rId1" Type="http://schemas.openxmlformats.org/officeDocument/2006/relationships/themeOverride" Target="../theme/themeOverride39.xml"/></Relationships>
</file>

<file path=word/charts/_rels/chart41.xml.rels><?xml version="1.0" encoding="UTF-8" standalone="yes"?>
<Relationships xmlns="http://schemas.openxmlformats.org/package/2006/relationships"><Relationship Id="rId2" Type="http://schemas.openxmlformats.org/officeDocument/2006/relationships/package" Target="../embeddings/Microsoft_Office_Excel_Worksheet41.xlsx"/><Relationship Id="rId1" Type="http://schemas.openxmlformats.org/officeDocument/2006/relationships/themeOverride" Target="../theme/themeOverride40.xml"/></Relationships>
</file>

<file path=word/charts/_rels/chart42.xml.rels><?xml version="1.0" encoding="UTF-8" standalone="yes"?>
<Relationships xmlns="http://schemas.openxmlformats.org/package/2006/relationships"><Relationship Id="rId2" Type="http://schemas.openxmlformats.org/officeDocument/2006/relationships/package" Target="../embeddings/Microsoft_Office_Excel_Worksheet42.xlsx"/><Relationship Id="rId1" Type="http://schemas.openxmlformats.org/officeDocument/2006/relationships/themeOverride" Target="../theme/themeOverride41.xml"/></Relationships>
</file>

<file path=word/charts/_rels/chart43.xml.rels><?xml version="1.0" encoding="UTF-8" standalone="yes"?>
<Relationships xmlns="http://schemas.openxmlformats.org/package/2006/relationships"><Relationship Id="rId1" Type="http://schemas.openxmlformats.org/officeDocument/2006/relationships/package" Target="../embeddings/Microsoft_Office_Excel_Worksheet43.xlsx"/></Relationships>
</file>

<file path=word/charts/_rels/chart44.xml.rels><?xml version="1.0" encoding="UTF-8" standalone="yes"?>
<Relationships xmlns="http://schemas.openxmlformats.org/package/2006/relationships"><Relationship Id="rId1" Type="http://schemas.openxmlformats.org/officeDocument/2006/relationships/package" Target="../embeddings/Microsoft_Office_Excel_Worksheet44.xlsx"/></Relationships>
</file>

<file path=word/charts/_rels/chart45.xml.rels><?xml version="1.0" encoding="UTF-8" standalone="yes"?>
<Relationships xmlns="http://schemas.openxmlformats.org/package/2006/relationships"><Relationship Id="rId1" Type="http://schemas.openxmlformats.org/officeDocument/2006/relationships/package" Target="../embeddings/Microsoft_Office_Excel_Worksheet45.xlsx"/></Relationships>
</file>

<file path=word/charts/_rels/chart46.xml.rels><?xml version="1.0" encoding="UTF-8" standalone="yes"?>
<Relationships xmlns="http://schemas.openxmlformats.org/package/2006/relationships"><Relationship Id="rId1" Type="http://schemas.openxmlformats.org/officeDocument/2006/relationships/package" Target="../embeddings/Microsoft_Office_Excel_Worksheet46.xlsx"/></Relationships>
</file>

<file path=word/charts/_rels/chart47.xml.rels><?xml version="1.0" encoding="UTF-8" standalone="yes"?>
<Relationships xmlns="http://schemas.openxmlformats.org/package/2006/relationships"><Relationship Id="rId1" Type="http://schemas.openxmlformats.org/officeDocument/2006/relationships/package" Target="../embeddings/Microsoft_Office_Excel_Worksheet47.xlsx"/></Relationships>
</file>

<file path=word/charts/_rels/chart48.xml.rels><?xml version="1.0" encoding="UTF-8" standalone="yes"?>
<Relationships xmlns="http://schemas.openxmlformats.org/package/2006/relationships"><Relationship Id="rId1" Type="http://schemas.openxmlformats.org/officeDocument/2006/relationships/package" Target="../embeddings/Microsoft_Office_Excel_Worksheet48.xlsx"/></Relationships>
</file>

<file path=word/charts/_rels/chart49.xml.rels><?xml version="1.0" encoding="UTF-8" standalone="yes"?>
<Relationships xmlns="http://schemas.openxmlformats.org/package/2006/relationships"><Relationship Id="rId1" Type="http://schemas.openxmlformats.org/officeDocument/2006/relationships/package" Target="../embeddings/Microsoft_Office_Excel_Worksheet49.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50.xml.rels><?xml version="1.0" encoding="UTF-8" standalone="yes"?>
<Relationships xmlns="http://schemas.openxmlformats.org/package/2006/relationships"><Relationship Id="rId1" Type="http://schemas.openxmlformats.org/officeDocument/2006/relationships/package" Target="../embeddings/Microsoft_Office_Excel_Worksheet50.xlsx"/></Relationships>
</file>

<file path=word/charts/_rels/chart51.xml.rels><?xml version="1.0" encoding="UTF-8" standalone="yes"?>
<Relationships xmlns="http://schemas.openxmlformats.org/package/2006/relationships"><Relationship Id="rId1" Type="http://schemas.openxmlformats.org/officeDocument/2006/relationships/package" Target="../embeddings/Microsoft_Office_Excel_Worksheet51.xlsx"/></Relationships>
</file>

<file path=word/charts/_rels/chart52.xml.rels><?xml version="1.0" encoding="UTF-8" standalone="yes"?>
<Relationships xmlns="http://schemas.openxmlformats.org/package/2006/relationships"><Relationship Id="rId1" Type="http://schemas.openxmlformats.org/officeDocument/2006/relationships/package" Target="../embeddings/Microsoft_Office_Excel_Worksheet5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Worksheet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10225284339537"/>
          <c:y val="3.4722222222222245E-2"/>
          <c:w val="0.79443478419364022"/>
          <c:h val="0.93200094779819265"/>
        </c:manualLayout>
      </c:layout>
      <c:barChart>
        <c:barDir val="bar"/>
        <c:grouping val="percentStacked"/>
        <c:ser>
          <c:idx val="0"/>
          <c:order val="0"/>
          <c:tx>
            <c:strRef>
              <c:f>Sheet1!$B$1</c:f>
              <c:strCache>
                <c:ptCount val="1"/>
                <c:pt idx="0">
                  <c:v>до 15</c:v>
                </c:pt>
              </c:strCache>
            </c:strRef>
          </c:tx>
          <c:spPr>
            <a:solidFill>
              <a:schemeClr val="accent1"/>
            </a:solidFill>
            <a:ln>
              <a:noFill/>
            </a:ln>
            <a:effectLst/>
          </c:spPr>
          <c:dLbls>
            <c:spPr>
              <a:noFill/>
              <a:ln>
                <a:noFill/>
              </a:ln>
              <a:effectLst/>
            </c:spPr>
            <c:txPr>
              <a:bodyPr rot="0" vert="horz"/>
              <a:lstStyle/>
              <a:p>
                <a:pPr>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Старосна структура</c:v>
                </c:pt>
              </c:strCache>
            </c:strRef>
          </c:cat>
          <c:val>
            <c:numRef>
              <c:f>Sheet1!$B$2</c:f>
              <c:numCache>
                <c:formatCode>0.0%</c:formatCode>
                <c:ptCount val="1"/>
                <c:pt idx="0">
                  <c:v>0.129</c:v>
                </c:pt>
              </c:numCache>
            </c:numRef>
          </c:val>
          <c:extLst xmlns:c16r2="http://schemas.microsoft.com/office/drawing/2015/06/chart">
            <c:ext xmlns:c16="http://schemas.microsoft.com/office/drawing/2014/chart" uri="{C3380CC4-5D6E-409C-BE32-E72D297353CC}">
              <c16:uniqueId val="{00000000-F51D-44F9-9FD0-8E5924280105}"/>
            </c:ext>
          </c:extLst>
        </c:ser>
        <c:ser>
          <c:idx val="1"/>
          <c:order val="1"/>
          <c:tx>
            <c:strRef>
              <c:f>Sheet1!$C$1</c:f>
              <c:strCache>
                <c:ptCount val="1"/>
                <c:pt idx="0">
                  <c:v>15-29</c:v>
                </c:pt>
              </c:strCache>
            </c:strRef>
          </c:tx>
          <c:spPr>
            <a:solidFill>
              <a:schemeClr val="accent2"/>
            </a:solidFill>
            <a:ln>
              <a:noFill/>
            </a:ln>
            <a:effectLst/>
          </c:spPr>
          <c:dLbls>
            <c:spPr>
              <a:noFill/>
              <a:ln>
                <a:noFill/>
              </a:ln>
              <a:effectLst/>
            </c:spPr>
            <c:txPr>
              <a:bodyPr rot="0" vert="horz"/>
              <a:lstStyle/>
              <a:p>
                <a:pPr>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Старосна структура</c:v>
                </c:pt>
              </c:strCache>
            </c:strRef>
          </c:cat>
          <c:val>
            <c:numRef>
              <c:f>Sheet1!$C$2</c:f>
              <c:numCache>
                <c:formatCode>0.0%</c:formatCode>
                <c:ptCount val="1"/>
                <c:pt idx="0">
                  <c:v>0.17500000000000004</c:v>
                </c:pt>
              </c:numCache>
            </c:numRef>
          </c:val>
          <c:extLst xmlns:c16r2="http://schemas.microsoft.com/office/drawing/2015/06/chart">
            <c:ext xmlns:c16="http://schemas.microsoft.com/office/drawing/2014/chart" uri="{C3380CC4-5D6E-409C-BE32-E72D297353CC}">
              <c16:uniqueId val="{00000001-F51D-44F9-9FD0-8E5924280105}"/>
            </c:ext>
          </c:extLst>
        </c:ser>
        <c:ser>
          <c:idx val="2"/>
          <c:order val="2"/>
          <c:tx>
            <c:strRef>
              <c:f>Sheet1!$D$1</c:f>
              <c:strCache>
                <c:ptCount val="1"/>
                <c:pt idx="0">
                  <c:v>30-49</c:v>
                </c:pt>
              </c:strCache>
            </c:strRef>
          </c:tx>
          <c:spPr>
            <a:solidFill>
              <a:schemeClr val="accent3"/>
            </a:solidFill>
            <a:ln>
              <a:noFill/>
            </a:ln>
            <a:effectLst/>
          </c:spPr>
          <c:dLbls>
            <c:spPr>
              <a:noFill/>
              <a:ln>
                <a:noFill/>
              </a:ln>
              <a:effectLst/>
            </c:spPr>
            <c:txPr>
              <a:bodyPr rot="0" vert="horz"/>
              <a:lstStyle/>
              <a:p>
                <a:pPr>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Старосна структура</c:v>
                </c:pt>
              </c:strCache>
            </c:strRef>
          </c:cat>
          <c:val>
            <c:numRef>
              <c:f>Sheet1!$D$2</c:f>
              <c:numCache>
                <c:formatCode>0.0%</c:formatCode>
                <c:ptCount val="1"/>
                <c:pt idx="0">
                  <c:v>0.27200000000000002</c:v>
                </c:pt>
              </c:numCache>
            </c:numRef>
          </c:val>
          <c:extLst xmlns:c16r2="http://schemas.microsoft.com/office/drawing/2015/06/chart">
            <c:ext xmlns:c16="http://schemas.microsoft.com/office/drawing/2014/chart" uri="{C3380CC4-5D6E-409C-BE32-E72D297353CC}">
              <c16:uniqueId val="{00000002-F51D-44F9-9FD0-8E5924280105}"/>
            </c:ext>
          </c:extLst>
        </c:ser>
        <c:ser>
          <c:idx val="3"/>
          <c:order val="3"/>
          <c:tx>
            <c:strRef>
              <c:f>Sheet1!$E$1</c:f>
              <c:strCache>
                <c:ptCount val="1"/>
                <c:pt idx="0">
                  <c:v>50-64</c:v>
                </c:pt>
              </c:strCache>
            </c:strRef>
          </c:tx>
          <c:spPr>
            <a:solidFill>
              <a:schemeClr val="accent4"/>
            </a:solidFill>
            <a:ln>
              <a:noFill/>
            </a:ln>
            <a:effectLst/>
          </c:spPr>
          <c:dLbls>
            <c:spPr>
              <a:noFill/>
              <a:ln>
                <a:noFill/>
              </a:ln>
              <a:effectLst/>
            </c:spPr>
            <c:txPr>
              <a:bodyPr rot="0" vert="horz"/>
              <a:lstStyle/>
              <a:p>
                <a:pPr>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Старосна структура</c:v>
                </c:pt>
              </c:strCache>
            </c:strRef>
          </c:cat>
          <c:val>
            <c:numRef>
              <c:f>Sheet1!$E$2</c:f>
              <c:numCache>
                <c:formatCode>0.0%</c:formatCode>
                <c:ptCount val="1"/>
                <c:pt idx="0">
                  <c:v>0.23800000000000004</c:v>
                </c:pt>
              </c:numCache>
            </c:numRef>
          </c:val>
          <c:extLst xmlns:c16r2="http://schemas.microsoft.com/office/drawing/2015/06/chart">
            <c:ext xmlns:c16="http://schemas.microsoft.com/office/drawing/2014/chart" uri="{C3380CC4-5D6E-409C-BE32-E72D297353CC}">
              <c16:uniqueId val="{00000003-F51D-44F9-9FD0-8E5924280105}"/>
            </c:ext>
          </c:extLst>
        </c:ser>
        <c:ser>
          <c:idx val="4"/>
          <c:order val="4"/>
          <c:tx>
            <c:strRef>
              <c:f>Sheet1!$F$1</c:f>
              <c:strCache>
                <c:ptCount val="1"/>
                <c:pt idx="0">
                  <c:v>65+</c:v>
                </c:pt>
              </c:strCache>
            </c:strRef>
          </c:tx>
          <c:spPr>
            <a:solidFill>
              <a:schemeClr val="accent5"/>
            </a:solidFill>
            <a:ln>
              <a:noFill/>
            </a:ln>
            <a:effectLst/>
          </c:spPr>
          <c:dLbls>
            <c:spPr>
              <a:noFill/>
              <a:ln>
                <a:noFill/>
              </a:ln>
              <a:effectLst/>
            </c:spPr>
            <c:txPr>
              <a:bodyPr rot="0" vert="horz"/>
              <a:lstStyle/>
              <a:p>
                <a:pPr>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Старосна структура</c:v>
                </c:pt>
              </c:strCache>
            </c:strRef>
          </c:cat>
          <c:val>
            <c:numRef>
              <c:f>Sheet1!$F$2</c:f>
              <c:numCache>
                <c:formatCode>0.0%</c:formatCode>
                <c:ptCount val="1"/>
                <c:pt idx="0">
                  <c:v>0.18600000000000044</c:v>
                </c:pt>
              </c:numCache>
            </c:numRef>
          </c:val>
          <c:extLst xmlns:c16r2="http://schemas.microsoft.com/office/drawing/2015/06/chart">
            <c:ext xmlns:c16="http://schemas.microsoft.com/office/drawing/2014/chart" uri="{C3380CC4-5D6E-409C-BE32-E72D297353CC}">
              <c16:uniqueId val="{00000004-F51D-44F9-9FD0-8E5924280105}"/>
            </c:ext>
          </c:extLst>
        </c:ser>
        <c:gapWidth val="182"/>
        <c:overlap val="100"/>
        <c:axId val="112498944"/>
        <c:axId val="112553984"/>
      </c:barChart>
      <c:catAx>
        <c:axId val="11249894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2553984"/>
        <c:crosses val="autoZero"/>
        <c:auto val="1"/>
        <c:lblAlgn val="ctr"/>
        <c:lblOffset val="100"/>
      </c:catAx>
      <c:valAx>
        <c:axId val="112553984"/>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one"/>
        <c:crossAx val="112498944"/>
        <c:crosses val="autoZero"/>
        <c:crossBetween val="between"/>
      </c:valAx>
      <c:spPr>
        <a:noFill/>
        <a:ln>
          <a:noFill/>
        </a:ln>
        <a:effectLst/>
      </c:spPr>
    </c:plotArea>
    <c:legend>
      <c:legendPos val="b"/>
      <c:layout>
        <c:manualLayout>
          <c:xMode val="edge"/>
          <c:yMode val="edge"/>
          <c:x val="0.21246099445902694"/>
          <c:y val="0.78071911365061664"/>
          <c:w val="0.65146689997083651"/>
          <c:h val="0.20453162381251019"/>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spPr>
            <a:solidFill>
              <a:schemeClr val="accent1"/>
            </a:solidFill>
            <a:ln>
              <a:noFill/>
            </a:ln>
            <a:effectLst>
              <a:outerShdw blurRad="57150" dist="19050" dir="5400000" algn="ctr" rotWithShape="0">
                <a:srgbClr val="000000">
                  <a:alpha val="63000"/>
                </a:srgbClr>
              </a:outerShdw>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Градски музеј </c:v>
                </c:pt>
                <c:pt idx="1">
                  <c:v>Галерија</c:v>
                </c:pt>
                <c:pt idx="2">
                  <c:v>Културни центар</c:v>
                </c:pt>
                <c:pt idx="3">
                  <c:v>Архив</c:v>
                </c:pt>
                <c:pt idx="4">
                  <c:v>Позориште</c:v>
                </c:pt>
                <c:pt idx="5">
                  <c:v>Библиотека</c:v>
                </c:pt>
              </c:strCache>
            </c:strRef>
          </c:cat>
          <c:val>
            <c:numRef>
              <c:f>Sheet1!$B$2:$B$7</c:f>
              <c:numCache>
                <c:formatCode>0.0%</c:formatCode>
                <c:ptCount val="6"/>
                <c:pt idx="0">
                  <c:v>0.51200000000000001</c:v>
                </c:pt>
                <c:pt idx="1">
                  <c:v>0.55800000000000005</c:v>
                </c:pt>
                <c:pt idx="2">
                  <c:v>0.48100000000000009</c:v>
                </c:pt>
                <c:pt idx="3">
                  <c:v>0.82900000000000018</c:v>
                </c:pt>
                <c:pt idx="4">
                  <c:v>0.14700000000000005</c:v>
                </c:pt>
                <c:pt idx="5">
                  <c:v>0.48100000000000009</c:v>
                </c:pt>
              </c:numCache>
            </c:numRef>
          </c:val>
          <c:extLst xmlns:c16r2="http://schemas.microsoft.com/office/drawing/2015/06/chart">
            <c:ext xmlns:c16="http://schemas.microsoft.com/office/drawing/2014/chart" uri="{C3380CC4-5D6E-409C-BE32-E72D297353CC}">
              <c16:uniqueId val="{00000000-5D6E-45C4-8FE2-7548E02B835B}"/>
            </c:ext>
          </c:extLst>
        </c:ser>
        <c:dLbls>
          <c:showVal val="1"/>
        </c:dLbls>
        <c:gapWidth val="100"/>
        <c:overlap val="-24"/>
        <c:axId val="113631616"/>
        <c:axId val="113633152"/>
      </c:barChart>
      <c:catAx>
        <c:axId val="113631616"/>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633152"/>
        <c:crosses val="autoZero"/>
        <c:auto val="1"/>
        <c:lblAlgn val="ctr"/>
        <c:lblOffset val="100"/>
      </c:catAx>
      <c:valAx>
        <c:axId val="113633152"/>
        <c:scaling>
          <c:orientation val="minMax"/>
        </c:scaling>
        <c:delete val="1"/>
        <c:axPos val="l"/>
        <c:numFmt formatCode="0.0%" sourceLinked="1"/>
        <c:majorTickMark val="none"/>
        <c:tickLblPos val="none"/>
        <c:crossAx val="1136316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0974053364102433"/>
          <c:y val="6.0606060606060623E-3"/>
          <c:w val="0.66664164563970607"/>
          <c:h val="0.9939393939393939"/>
        </c:manualLayout>
      </c:layout>
      <c:barChart>
        <c:barDir val="bar"/>
        <c:grouping val="clustered"/>
        <c:ser>
          <c:idx val="0"/>
          <c:order val="0"/>
          <c:tx>
            <c:strRef>
              <c:f>Sheet1!$B$1</c:f>
              <c:strCache>
                <c:ptCount val="1"/>
                <c:pt idx="0">
                  <c:v>Лична месечна нето примања</c:v>
                </c:pt>
              </c:strCache>
            </c:strRef>
          </c:tx>
          <c:spPr>
            <a:pattFill prst="pct75">
              <a:fgClr>
                <a:schemeClr val="accent1"/>
              </a:fgClr>
              <a:bgClr>
                <a:schemeClr val="bg1"/>
              </a:bgClr>
            </a:pattFill>
            <a:ln>
              <a:noFill/>
            </a:ln>
            <a:effectLst/>
          </c:spPr>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до 25.000 РСД</c:v>
                </c:pt>
                <c:pt idx="1">
                  <c:v>од 25.001 до 50.000 РСД</c:v>
                </c:pt>
                <c:pt idx="2">
                  <c:v>од 50.001 до 80.000 РСД</c:v>
                </c:pt>
                <c:pt idx="3">
                  <c:v>од 80.001 до 100.000 РСД</c:v>
                </c:pt>
                <c:pt idx="4">
                  <c:v>од 100.001 до 150.000 РСД </c:v>
                </c:pt>
                <c:pt idx="5">
                  <c:v>150.001 РСД и више</c:v>
                </c:pt>
                <c:pt idx="6">
                  <c:v>не жели да одговори</c:v>
                </c:pt>
              </c:strCache>
            </c:strRef>
          </c:cat>
          <c:val>
            <c:numRef>
              <c:f>Sheet1!$B$2:$B$8</c:f>
              <c:numCache>
                <c:formatCode>0.0%</c:formatCode>
                <c:ptCount val="7"/>
                <c:pt idx="0">
                  <c:v>0.125</c:v>
                </c:pt>
                <c:pt idx="1">
                  <c:v>0.39100000000000013</c:v>
                </c:pt>
                <c:pt idx="2">
                  <c:v>0.17300000000000001</c:v>
                </c:pt>
                <c:pt idx="3">
                  <c:v>2.700000000000001E-2</c:v>
                </c:pt>
                <c:pt idx="4">
                  <c:v>8.0000000000000054E-3</c:v>
                </c:pt>
                <c:pt idx="5">
                  <c:v>3.0000000000000009E-3</c:v>
                </c:pt>
                <c:pt idx="6">
                  <c:v>0.27300000000000002</c:v>
                </c:pt>
              </c:numCache>
            </c:numRef>
          </c:val>
          <c:extLst xmlns:c16r2="http://schemas.microsoft.com/office/drawing/2015/06/chart">
            <c:ext xmlns:c16="http://schemas.microsoft.com/office/drawing/2014/chart" uri="{C3380CC4-5D6E-409C-BE32-E72D297353CC}">
              <c16:uniqueId val="{00000000-FADA-482E-A924-91E63C004ABA}"/>
            </c:ext>
          </c:extLst>
        </c:ser>
        <c:gapWidth val="90"/>
        <c:overlap val="44"/>
        <c:axId val="113214976"/>
        <c:axId val="113216512"/>
      </c:barChart>
      <c:catAx>
        <c:axId val="1132149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216512"/>
        <c:crosses val="autoZero"/>
        <c:auto val="1"/>
        <c:lblAlgn val="ctr"/>
        <c:lblOffset val="100"/>
      </c:catAx>
      <c:valAx>
        <c:axId val="113216512"/>
        <c:scaling>
          <c:orientation val="minMax"/>
        </c:scaling>
        <c:delete val="1"/>
        <c:axPos val="b"/>
        <c:numFmt formatCode="0.0%" sourceLinked="1"/>
        <c:majorTickMark val="none"/>
        <c:tickLblPos val="none"/>
        <c:crossAx val="1132149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53379317923431"/>
          <c:y val="0"/>
          <c:w val="0.71184838610149603"/>
          <c:h val="1"/>
        </c:manualLayout>
      </c:layout>
      <c:barChart>
        <c:barDir val="bar"/>
        <c:grouping val="clustered"/>
        <c:ser>
          <c:idx val="0"/>
          <c:order val="0"/>
          <c:tx>
            <c:strRef>
              <c:f>Sheet1!$B$1</c:f>
              <c:strCache>
                <c:ptCount val="1"/>
                <c:pt idx="0">
                  <c:v>Лична "културна потрошња" на месечном нивоу</c:v>
                </c:pt>
              </c:strCache>
            </c:strRef>
          </c:tx>
          <c:spPr>
            <a:pattFill prst="pct75">
              <a:fgClr>
                <a:schemeClr val="accent6">
                  <a:lumMod val="60000"/>
                  <a:lumOff val="40000"/>
                </a:schemeClr>
              </a:fgClr>
              <a:bgClr>
                <a:schemeClr val="bg1"/>
              </a:bgClr>
            </a:pattFill>
            <a:ln>
              <a:solidFill>
                <a:schemeClr val="bg1"/>
              </a:solidFill>
            </a:ln>
            <a:effectLst/>
          </c:spPr>
          <c:dLbls>
            <c:spPr>
              <a:noFill/>
              <a:ln>
                <a:noFill/>
              </a:ln>
              <a:effectLst/>
            </c:spPr>
            <c:txPr>
              <a:bodyPr rot="0" spcFirstLastPara="1" vertOverflow="ellipsis" vert="horz" wrap="square" anchor="ctr" anchorCtr="1"/>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не издаваја за културу </c:v>
                </c:pt>
                <c:pt idx="1">
                  <c:v>до 499 РСД</c:v>
                </c:pt>
                <c:pt idx="2">
                  <c:v>од 500 до 999 РСД</c:v>
                </c:pt>
                <c:pt idx="3">
                  <c:v>од 1.000 до 1.999 РСД</c:v>
                </c:pt>
                <c:pt idx="4">
                  <c:v>од 2.000 до 2.999</c:v>
                </c:pt>
                <c:pt idx="5">
                  <c:v>од 3.000 до 3.999</c:v>
                </c:pt>
                <c:pt idx="6">
                  <c:v>од 4.000 до 4.999</c:v>
                </c:pt>
                <c:pt idx="7">
                  <c:v>5.000 РСД и више</c:v>
                </c:pt>
                <c:pt idx="8">
                  <c:v>без одговора </c:v>
                </c:pt>
              </c:strCache>
            </c:strRef>
          </c:cat>
          <c:val>
            <c:numRef>
              <c:f>Sheet1!$B$2:$B$10</c:f>
              <c:numCache>
                <c:formatCode>0.0%</c:formatCode>
                <c:ptCount val="9"/>
                <c:pt idx="0">
                  <c:v>7.6999999999999999E-2</c:v>
                </c:pt>
                <c:pt idx="1">
                  <c:v>2.1000000000000008E-2</c:v>
                </c:pt>
                <c:pt idx="2">
                  <c:v>7.6999999999999999E-2</c:v>
                </c:pt>
                <c:pt idx="3">
                  <c:v>0.26400000000000001</c:v>
                </c:pt>
                <c:pt idx="4">
                  <c:v>0.20400000000000001</c:v>
                </c:pt>
                <c:pt idx="5">
                  <c:v>9.9000000000000046E-2</c:v>
                </c:pt>
                <c:pt idx="6">
                  <c:v>4.2000000000000016E-2</c:v>
                </c:pt>
                <c:pt idx="7">
                  <c:v>9.9000000000000046E-2</c:v>
                </c:pt>
                <c:pt idx="8">
                  <c:v>0.11700000000000002</c:v>
                </c:pt>
              </c:numCache>
            </c:numRef>
          </c:val>
          <c:extLst xmlns:c16r2="http://schemas.microsoft.com/office/drawing/2015/06/chart">
            <c:ext xmlns:c16="http://schemas.microsoft.com/office/drawing/2014/chart" uri="{C3380CC4-5D6E-409C-BE32-E72D297353CC}">
              <c16:uniqueId val="{00000000-608C-4D9C-B130-7240D2EA9F34}"/>
            </c:ext>
          </c:extLst>
        </c:ser>
        <c:gapWidth val="49"/>
        <c:overlap val="44"/>
        <c:axId val="113592960"/>
        <c:axId val="113824128"/>
      </c:barChart>
      <c:catAx>
        <c:axId val="1135929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824128"/>
        <c:crosses val="autoZero"/>
        <c:auto val="1"/>
        <c:lblAlgn val="ctr"/>
        <c:lblOffset val="100"/>
      </c:catAx>
      <c:valAx>
        <c:axId val="113824128"/>
        <c:scaling>
          <c:orientation val="minMax"/>
        </c:scaling>
        <c:delete val="1"/>
        <c:axPos val="b"/>
        <c:numFmt formatCode="0.0%" sourceLinked="1"/>
        <c:majorTickMark val="none"/>
        <c:tickLblPos val="none"/>
        <c:crossAx val="1135929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7304780445598123E-2"/>
          <c:y val="4.7763786365610329E-2"/>
          <c:w val="0.96539043910880773"/>
          <c:h val="0.68396976019023259"/>
        </c:manualLayout>
      </c:layout>
      <c:barChart>
        <c:barDir val="col"/>
        <c:grouping val="clustered"/>
        <c:ser>
          <c:idx val="0"/>
          <c:order val="0"/>
          <c:tx>
            <c:strRef>
              <c:f>Sheet1!$B$1</c:f>
              <c:strCache>
                <c:ptCount val="1"/>
                <c:pt idx="0">
                  <c:v>Column1</c:v>
                </c:pt>
              </c:strCache>
            </c:strRef>
          </c:tx>
          <c:spPr>
            <a:solidFill>
              <a:schemeClr val="accent2"/>
            </a:solidFill>
            <a:ln>
              <a:noFill/>
            </a:ln>
            <a:effectLst/>
          </c:spPr>
          <c:dLbls>
            <c:dLbl>
              <c:idx val="0"/>
              <c:layout>
                <c:manualLayout>
                  <c:x val="0"/>
                  <c:y val="1.946472019464721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429-4639-B91C-26FB86EE074E}"/>
                </c:ext>
              </c:extLst>
            </c:dLbl>
            <c:dLbl>
              <c:idx val="1"/>
              <c:layout>
                <c:manualLayout>
                  <c:x val="0"/>
                  <c:y val="0.17518248175182494"/>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429-4639-B91C-26FB86EE074E}"/>
                </c:ext>
              </c:extLst>
            </c:dLbl>
            <c:dLbl>
              <c:idx val="2"/>
              <c:layout>
                <c:manualLayout>
                  <c:x val="0"/>
                  <c:y val="0.15571776155717776"/>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429-4639-B91C-26FB86EE074E}"/>
                </c:ext>
              </c:extLst>
            </c:dLbl>
            <c:dLbl>
              <c:idx val="3"/>
              <c:layout>
                <c:manualLayout>
                  <c:x val="0"/>
                  <c:y val="0.18491484184914847"/>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429-4639-B91C-26FB86EE074E}"/>
                </c:ext>
              </c:extLst>
            </c:dLbl>
            <c:dLbl>
              <c:idx val="4"/>
              <c:layout>
                <c:manualLayout>
                  <c:x val="-1.5669334656024633E-16"/>
                  <c:y val="0.18491484184914847"/>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429-4639-B91C-26FB86EE074E}"/>
                </c:ext>
              </c:extLst>
            </c:dLbl>
            <c:dLbl>
              <c:idx val="5"/>
              <c:layout>
                <c:manualLayout>
                  <c:x val="0"/>
                  <c:y val="0.17518248175182494"/>
                </c:manualLayout>
              </c:layout>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429-4639-B91C-26FB86EE074E}"/>
                </c:ext>
              </c:extLst>
            </c:dLbl>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Sheet1!$A$2:$A$7</c:f>
              <c:strCache>
                <c:ptCount val="6"/>
                <c:pt idx="0">
                  <c:v>веома скупе</c:v>
                </c:pt>
                <c:pt idx="1">
                  <c:v>скупе</c:v>
                </c:pt>
                <c:pt idx="2">
                  <c:v>осредње</c:v>
                </c:pt>
                <c:pt idx="3">
                  <c:v>јефтине</c:v>
                </c:pt>
                <c:pt idx="4">
                  <c:v>не наплаћују се</c:v>
                </c:pt>
                <c:pt idx="5">
                  <c:v>без одговора</c:v>
                </c:pt>
              </c:strCache>
            </c:strRef>
          </c:cat>
          <c:val>
            <c:numRef>
              <c:f>Sheet1!$B$2:$B$7</c:f>
              <c:numCache>
                <c:formatCode>0.0%</c:formatCode>
                <c:ptCount val="6"/>
                <c:pt idx="0">
                  <c:v>2.3E-2</c:v>
                </c:pt>
                <c:pt idx="1">
                  <c:v>0.11799999999999998</c:v>
                </c:pt>
                <c:pt idx="2">
                  <c:v>0.34700000000000009</c:v>
                </c:pt>
                <c:pt idx="3">
                  <c:v>0.15600000000000006</c:v>
                </c:pt>
                <c:pt idx="4">
                  <c:v>0.12000000000000002</c:v>
                </c:pt>
                <c:pt idx="5">
                  <c:v>0.23600000000000004</c:v>
                </c:pt>
              </c:numCache>
            </c:numRef>
          </c:val>
          <c:extLst xmlns:c16r2="http://schemas.microsoft.com/office/drawing/2015/06/chart">
            <c:ext xmlns:c16="http://schemas.microsoft.com/office/drawing/2014/chart" uri="{C3380CC4-5D6E-409C-BE32-E72D297353CC}">
              <c16:uniqueId val="{00000006-3429-4639-B91C-26FB86EE074E}"/>
            </c:ext>
          </c:extLst>
        </c:ser>
        <c:dLbls>
          <c:showVal val="1"/>
        </c:dLbls>
        <c:gapWidth val="111"/>
        <c:overlap val="-27"/>
        <c:axId val="113942912"/>
        <c:axId val="113944448"/>
      </c:barChart>
      <c:catAx>
        <c:axId val="11394291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944448"/>
        <c:crosses val="autoZero"/>
        <c:auto val="1"/>
        <c:lblAlgn val="ctr"/>
        <c:lblOffset val="100"/>
      </c:catAx>
      <c:valAx>
        <c:axId val="113944448"/>
        <c:scaling>
          <c:orientation val="minMax"/>
        </c:scaling>
        <c:axPos val="l"/>
        <c:majorGridlines>
          <c:spPr>
            <a:ln w="9525" cap="flat" cmpd="sng" algn="ctr">
              <a:solidFill>
                <a:schemeClr val="tx1">
                  <a:lumMod val="15000"/>
                  <a:lumOff val="85000"/>
                </a:schemeClr>
              </a:solidFill>
              <a:round/>
            </a:ln>
            <a:effectLst/>
          </c:spPr>
        </c:majorGridlines>
        <c:numFmt formatCode="0.0%" sourceLinked="1"/>
        <c:maj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9429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194844546870684E-2"/>
          <c:y val="6.569988354104743E-2"/>
          <c:w val="0.95071760212098533"/>
          <c:h val="0.5221056473901029"/>
        </c:manualLayout>
      </c:layout>
      <c:barChart>
        <c:barDir val="col"/>
        <c:grouping val="clustered"/>
        <c:ser>
          <c:idx val="0"/>
          <c:order val="0"/>
          <c:tx>
            <c:strRef>
              <c:f>Sheet1!$B$1</c:f>
              <c:strCache>
                <c:ptCount val="1"/>
                <c:pt idx="0">
                  <c:v>(веома)скупе</c:v>
                </c:pt>
              </c:strCache>
            </c:strRef>
          </c:tx>
          <c:spPr>
            <a:solidFill>
              <a:schemeClr val="accent1"/>
            </a:solidFill>
            <a:ln>
              <a:noFill/>
            </a:ln>
            <a:effectLst/>
          </c:spPr>
          <c:dLbls>
            <c:spPr>
              <a:noFill/>
              <a:ln>
                <a:noFill/>
              </a:ln>
              <a:effectLst/>
            </c:spPr>
            <c:txPr>
              <a:bodyPr rot="-5400000" spcFirstLastPara="1" vertOverflow="ellipsis"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Културни центар</c:v>
                </c:pt>
                <c:pt idx="1">
                  <c:v>наступи КУД-ова</c:v>
                </c:pt>
                <c:pt idx="2">
                  <c:v>изложбе</c:v>
                </c:pt>
                <c:pt idx="3">
                  <c:v>музеј</c:v>
                </c:pt>
                <c:pt idx="4">
                  <c:v>чланарине библиотеке</c:v>
                </c:pt>
                <c:pt idx="5">
                  <c:v>манифестације</c:v>
                </c:pt>
                <c:pt idx="6">
                  <c:v>концерти</c:v>
                </c:pt>
                <c:pt idx="7">
                  <c:v>позориште за децу</c:v>
                </c:pt>
                <c:pt idx="8">
                  <c:v>биоскоп</c:v>
                </c:pt>
                <c:pt idx="9">
                  <c:v>позориште</c:v>
                </c:pt>
              </c:strCache>
            </c:strRef>
          </c:cat>
          <c:val>
            <c:numRef>
              <c:f>Sheet1!$B$2:$B$11</c:f>
              <c:numCache>
                <c:formatCode>0.0%</c:formatCode>
                <c:ptCount val="10"/>
                <c:pt idx="0">
                  <c:v>3.2000000000000015E-2</c:v>
                </c:pt>
                <c:pt idx="1">
                  <c:v>4.3000000000000003E-2</c:v>
                </c:pt>
                <c:pt idx="2">
                  <c:v>5.3000000000000012E-2</c:v>
                </c:pt>
                <c:pt idx="3">
                  <c:v>6.6000000000000003E-2</c:v>
                </c:pt>
                <c:pt idx="4">
                  <c:v>8.8000000000000037E-2</c:v>
                </c:pt>
                <c:pt idx="5" formatCode="0%">
                  <c:v>0.11</c:v>
                </c:pt>
                <c:pt idx="6">
                  <c:v>0.19500000000000001</c:v>
                </c:pt>
                <c:pt idx="7">
                  <c:v>0.20500000000000004</c:v>
                </c:pt>
                <c:pt idx="8">
                  <c:v>0.26600000000000001</c:v>
                </c:pt>
                <c:pt idx="9">
                  <c:v>0.35900000000000015</c:v>
                </c:pt>
              </c:numCache>
            </c:numRef>
          </c:val>
          <c:extLst xmlns:c16r2="http://schemas.microsoft.com/office/drawing/2015/06/chart">
            <c:ext xmlns:c16="http://schemas.microsoft.com/office/drawing/2014/chart" uri="{C3380CC4-5D6E-409C-BE32-E72D297353CC}">
              <c16:uniqueId val="{00000000-C83C-4EFE-953E-58F36304A56F}"/>
            </c:ext>
          </c:extLst>
        </c:ser>
        <c:ser>
          <c:idx val="1"/>
          <c:order val="1"/>
          <c:tx>
            <c:strRef>
              <c:f>Sheet1!$C$1</c:f>
              <c:strCache>
                <c:ptCount val="1"/>
                <c:pt idx="0">
                  <c:v>јефтине</c:v>
                </c:pt>
              </c:strCache>
            </c:strRef>
          </c:tx>
          <c:spPr>
            <a:solidFill>
              <a:schemeClr val="accent2"/>
            </a:solidFill>
            <a:ln>
              <a:noFill/>
            </a:ln>
            <a:effectLst/>
          </c:spPr>
          <c:dLbls>
            <c:dLbl>
              <c:idx val="4"/>
              <c:layout>
                <c:manualLayout>
                  <c:x val="2.4730447854780005E-3"/>
                  <c:y val="1.9823232953892721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83C-4EFE-953E-58F36304A56F}"/>
                </c:ext>
              </c:extLst>
            </c:dLbl>
            <c:dLbl>
              <c:idx val="5"/>
              <c:layout>
                <c:manualLayout>
                  <c:x val="5.301239784051389E-3"/>
                  <c:y val="2.00672634551859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83C-4EFE-953E-58F36304A56F}"/>
                </c:ext>
              </c:extLst>
            </c:dLbl>
            <c:spPr>
              <a:noFill/>
              <a:ln>
                <a:noFill/>
              </a:ln>
              <a:effectLst/>
            </c:spPr>
            <c:txPr>
              <a:bodyPr rot="-5400000" spcFirstLastPara="1" vertOverflow="ellipsis"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0"/>
              </c:ext>
            </c:extLst>
          </c:dLbls>
          <c:cat>
            <c:strRef>
              <c:f>Sheet1!$A$2:$A$11</c:f>
              <c:strCache>
                <c:ptCount val="10"/>
                <c:pt idx="0">
                  <c:v>Културни центар</c:v>
                </c:pt>
                <c:pt idx="1">
                  <c:v>наступи КУД-ова</c:v>
                </c:pt>
                <c:pt idx="2">
                  <c:v>изложбе</c:v>
                </c:pt>
                <c:pt idx="3">
                  <c:v>музеј</c:v>
                </c:pt>
                <c:pt idx="4">
                  <c:v>чланарине библиотеке</c:v>
                </c:pt>
                <c:pt idx="5">
                  <c:v>манифестације</c:v>
                </c:pt>
                <c:pt idx="6">
                  <c:v>концерти</c:v>
                </c:pt>
                <c:pt idx="7">
                  <c:v>позориште за децу</c:v>
                </c:pt>
                <c:pt idx="8">
                  <c:v>биоскоп</c:v>
                </c:pt>
                <c:pt idx="9">
                  <c:v>позориште</c:v>
                </c:pt>
              </c:strCache>
            </c:strRef>
          </c:cat>
          <c:val>
            <c:numRef>
              <c:f>Sheet1!$C$2:$C$11</c:f>
              <c:numCache>
                <c:formatCode>0.0%</c:formatCode>
                <c:ptCount val="10"/>
                <c:pt idx="0">
                  <c:v>0.114</c:v>
                </c:pt>
                <c:pt idx="1">
                  <c:v>0.16500000000000001</c:v>
                </c:pt>
                <c:pt idx="2">
                  <c:v>0.13600000000000001</c:v>
                </c:pt>
                <c:pt idx="3">
                  <c:v>0.27800000000000002</c:v>
                </c:pt>
                <c:pt idx="4">
                  <c:v>0.38200000000000012</c:v>
                </c:pt>
                <c:pt idx="5">
                  <c:v>9.1000000000000025E-2</c:v>
                </c:pt>
                <c:pt idx="6">
                  <c:v>8.1000000000000003E-2</c:v>
                </c:pt>
                <c:pt idx="7">
                  <c:v>0.112</c:v>
                </c:pt>
                <c:pt idx="8">
                  <c:v>6.7000000000000004E-2</c:v>
                </c:pt>
                <c:pt idx="9">
                  <c:v>7.6999999999999999E-2</c:v>
                </c:pt>
              </c:numCache>
            </c:numRef>
          </c:val>
          <c:extLst xmlns:c16r2="http://schemas.microsoft.com/office/drawing/2015/06/chart">
            <c:ext xmlns:c16="http://schemas.microsoft.com/office/drawing/2014/chart" uri="{C3380CC4-5D6E-409C-BE32-E72D297353CC}">
              <c16:uniqueId val="{00000003-C83C-4EFE-953E-58F36304A56F}"/>
            </c:ext>
          </c:extLst>
        </c:ser>
        <c:ser>
          <c:idx val="2"/>
          <c:order val="2"/>
          <c:tx>
            <c:strRef>
              <c:f>Sheet1!$D$1</c:f>
              <c:strCache>
                <c:ptCount val="1"/>
                <c:pt idx="0">
                  <c:v>не наплаћују се</c:v>
                </c:pt>
              </c:strCache>
            </c:strRef>
          </c:tx>
          <c:spPr>
            <a:solidFill>
              <a:schemeClr val="accent3"/>
            </a:solidFill>
            <a:ln>
              <a:noFill/>
            </a:ln>
            <a:effectLst/>
          </c:spPr>
          <c:dLbls>
            <c:spPr>
              <a:noFill/>
              <a:ln>
                <a:noFill/>
              </a:ln>
              <a:effectLst/>
            </c:spPr>
            <c:txPr>
              <a:bodyPr rot="-5400000" spcFirstLastPara="1" vertOverflow="ellipsis"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Културни центар</c:v>
                </c:pt>
                <c:pt idx="1">
                  <c:v>наступи КУД-ова</c:v>
                </c:pt>
                <c:pt idx="2">
                  <c:v>изложбе</c:v>
                </c:pt>
                <c:pt idx="3">
                  <c:v>музеј</c:v>
                </c:pt>
                <c:pt idx="4">
                  <c:v>чланарине библиотеке</c:v>
                </c:pt>
                <c:pt idx="5">
                  <c:v>манифестације</c:v>
                </c:pt>
                <c:pt idx="6">
                  <c:v>концерти</c:v>
                </c:pt>
                <c:pt idx="7">
                  <c:v>позориште за децу</c:v>
                </c:pt>
                <c:pt idx="8">
                  <c:v>биоскоп</c:v>
                </c:pt>
                <c:pt idx="9">
                  <c:v>позориште</c:v>
                </c:pt>
              </c:strCache>
            </c:strRef>
          </c:cat>
          <c:val>
            <c:numRef>
              <c:f>Sheet1!$D$2:$D$11</c:f>
              <c:numCache>
                <c:formatCode>0.0%</c:formatCode>
                <c:ptCount val="10"/>
                <c:pt idx="0">
                  <c:v>0.31300000000000011</c:v>
                </c:pt>
                <c:pt idx="1">
                  <c:v>0.31300000000000011</c:v>
                </c:pt>
                <c:pt idx="2">
                  <c:v>0.24800000000000005</c:v>
                </c:pt>
                <c:pt idx="3">
                  <c:v>2.9000000000000001E-2</c:v>
                </c:pt>
                <c:pt idx="4">
                  <c:v>5.0000000000000018E-3</c:v>
                </c:pt>
                <c:pt idx="5">
                  <c:v>0.10700000000000003</c:v>
                </c:pt>
                <c:pt idx="6">
                  <c:v>0.11700000000000002</c:v>
                </c:pt>
                <c:pt idx="7">
                  <c:v>3.0000000000000002E-2</c:v>
                </c:pt>
                <c:pt idx="8">
                  <c:v>2.0000000000000009E-3</c:v>
                </c:pt>
              </c:numCache>
            </c:numRef>
          </c:val>
          <c:extLst xmlns:c16r2="http://schemas.microsoft.com/office/drawing/2015/06/chart">
            <c:ext xmlns:c16="http://schemas.microsoft.com/office/drawing/2014/chart" uri="{C3380CC4-5D6E-409C-BE32-E72D297353CC}">
              <c16:uniqueId val="{00000004-C83C-4EFE-953E-58F36304A56F}"/>
            </c:ext>
          </c:extLst>
        </c:ser>
        <c:dLbls>
          <c:showVal val="1"/>
        </c:dLbls>
        <c:gapWidth val="96"/>
        <c:overlap val="-27"/>
        <c:axId val="114038272"/>
        <c:axId val="114039808"/>
      </c:barChart>
      <c:catAx>
        <c:axId val="114038272"/>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039808"/>
        <c:crosses val="autoZero"/>
        <c:auto val="1"/>
        <c:lblAlgn val="ctr"/>
        <c:lblOffset val="100"/>
      </c:catAx>
      <c:valAx>
        <c:axId val="114039808"/>
        <c:scaling>
          <c:orientation val="minMax"/>
        </c:scaling>
        <c:axPos val="l"/>
        <c:numFmt formatCode="0.0%" sourceLinked="1"/>
        <c:majorTickMark val="none"/>
        <c:tickLblPos val="none"/>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038272"/>
        <c:crosses val="autoZero"/>
        <c:crossBetween val="between"/>
      </c:valAx>
      <c:spPr>
        <a:noFill/>
        <a:ln>
          <a:noFill/>
        </a:ln>
        <a:effectLst/>
      </c:spPr>
    </c:plotArea>
    <c:legend>
      <c:legendPos val="b"/>
      <c:layout>
        <c:manualLayout>
          <c:xMode val="edge"/>
          <c:yMode val="edge"/>
          <c:x val="0.51542018223331842"/>
          <c:y val="0.91491312635350264"/>
          <c:w val="0.48081275206452861"/>
          <c:h val="7.4897012045679751E-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1306629413258841"/>
          <c:y val="1.8873210155661235E-2"/>
          <c:w val="0.6568261789856914"/>
          <c:h val="0.96225357968867764"/>
        </c:manualLayout>
      </c:layout>
      <c:barChart>
        <c:barDir val="bar"/>
        <c:grouping val="clustered"/>
        <c:ser>
          <c:idx val="0"/>
          <c:order val="0"/>
          <c:tx>
            <c:strRef>
              <c:f>Sheet1!$B$1</c:f>
              <c:strCache>
                <c:ptCount val="1"/>
                <c:pt idx="0">
                  <c:v>Series 1</c:v>
                </c:pt>
              </c:strCache>
            </c:strRef>
          </c:tx>
          <c:spPr>
            <a:pattFill prst="pct70">
              <a:fgClr>
                <a:schemeClr val="accent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Sheet1!$A$2:$A$29</c:f>
              <c:strCache>
                <c:ptCount val="28"/>
                <c:pt idx="0">
                  <c:v>Вељкови дани</c:v>
                </c:pt>
                <c:pt idx="1">
                  <c:v>Музеји за 10</c:v>
                </c:pt>
                <c:pt idx="2">
                  <c:v>Сомборски књижевни фестивал</c:v>
                </c:pt>
                <c:pt idx="3">
                  <c:v>Ткачка колонија у Стапару</c:v>
                </c:pt>
                <c:pt idx="4">
                  <c:v>Еко мјузик фест</c:v>
                </c:pt>
                <c:pt idx="5">
                  <c:v>Фестивал стрипа</c:v>
                </c:pt>
                <c:pt idx="6">
                  <c:v>Великогоспојинске вечери</c:v>
                </c:pt>
                <c:pt idx="7">
                  <c:v>Обележавање Батинске битке</c:v>
                </c:pt>
                <c:pt idx="8">
                  <c:v>Тројни сусрети</c:v>
                </c:pt>
                <c:pt idx="9">
                  <c:v>Шарени свет</c:v>
                </c:pt>
                <c:pt idx="10">
                  <c:v>Светођурђевдански дани</c:v>
                </c:pt>
                <c:pt idx="11">
                  <c:v>Дужионица</c:v>
                </c:pt>
                <c:pt idx="12">
                  <c:v>Ликовна јесен</c:v>
                </c:pt>
                <c:pt idx="13">
                  <c:v>Дани Лазе Костића</c:v>
                </c:pt>
                <c:pt idx="14">
                  <c:v>Музика на точковима </c:v>
                </c:pt>
                <c:pt idx="15">
                  <c:v>Арт окупација</c:v>
                </c:pt>
                <c:pt idx="16">
                  <c:v>Ђурђевдански фестивал фолклора</c:v>
                </c:pt>
                <c:pt idx="17">
                  <c:v>Терминал мјузик фест</c:v>
                </c:pt>
                <c:pt idx="18">
                  <c:v>Green Town Jazz Fest</c:v>
                </c:pt>
                <c:pt idx="19">
                  <c:v>Шарени вокали</c:v>
                </c:pt>
                <c:pt idx="20">
                  <c:v>Филмски фестивал</c:v>
                </c:pt>
                <c:pt idx="21">
                  <c:v>СОМУС</c:v>
                </c:pt>
                <c:pt idx="22">
                  <c:v>Валценград</c:v>
                </c:pt>
                <c:pt idx="23">
                  <c:v>Фестивал мултикултуралности</c:v>
                </c:pt>
                <c:pt idx="24">
                  <c:v>Бодрог фест</c:v>
                </c:pt>
                <c:pt idx="25">
                  <c:v>Дан Града Сомбора</c:v>
                </c:pt>
                <c:pt idx="26">
                  <c:v>Ноћ музеја</c:v>
                </c:pt>
                <c:pt idx="27">
                  <c:v>Позоришни маратон</c:v>
                </c:pt>
              </c:strCache>
            </c:strRef>
          </c:cat>
          <c:val>
            <c:numRef>
              <c:f>Sheet1!$B$2:$B$29</c:f>
              <c:numCache>
                <c:formatCode>0.0%</c:formatCode>
                <c:ptCount val="28"/>
                <c:pt idx="0">
                  <c:v>2.0000000000000009E-3</c:v>
                </c:pt>
                <c:pt idx="1">
                  <c:v>4.0000000000000018E-3</c:v>
                </c:pt>
                <c:pt idx="2">
                  <c:v>6.0000000000000019E-3</c:v>
                </c:pt>
                <c:pt idx="3">
                  <c:v>6.0000000000000019E-3</c:v>
                </c:pt>
                <c:pt idx="4">
                  <c:v>6.0000000000000019E-3</c:v>
                </c:pt>
                <c:pt idx="5">
                  <c:v>7.0000000000000019E-3</c:v>
                </c:pt>
                <c:pt idx="6">
                  <c:v>8.0000000000000054E-3</c:v>
                </c:pt>
                <c:pt idx="7">
                  <c:v>8.0000000000000054E-3</c:v>
                </c:pt>
                <c:pt idx="8">
                  <c:v>1.4999999999999998E-2</c:v>
                </c:pt>
                <c:pt idx="9">
                  <c:v>1.4999999999999998E-2</c:v>
                </c:pt>
                <c:pt idx="10">
                  <c:v>1.7000000000000001E-2</c:v>
                </c:pt>
                <c:pt idx="11">
                  <c:v>1.7000000000000001E-2</c:v>
                </c:pt>
                <c:pt idx="12">
                  <c:v>2.0000000000000007E-2</c:v>
                </c:pt>
                <c:pt idx="13">
                  <c:v>2.3E-2</c:v>
                </c:pt>
                <c:pt idx="14">
                  <c:v>2.3E-2</c:v>
                </c:pt>
                <c:pt idx="15">
                  <c:v>2.4E-2</c:v>
                </c:pt>
                <c:pt idx="16" formatCode="0%">
                  <c:v>2.5000000000000001E-2</c:v>
                </c:pt>
                <c:pt idx="17">
                  <c:v>2.700000000000001E-2</c:v>
                </c:pt>
                <c:pt idx="18" formatCode="0%">
                  <c:v>2.9000000000000001E-2</c:v>
                </c:pt>
                <c:pt idx="19">
                  <c:v>4.2000000000000016E-2</c:v>
                </c:pt>
                <c:pt idx="20">
                  <c:v>5.3000000000000012E-2</c:v>
                </c:pt>
                <c:pt idx="21">
                  <c:v>5.9000000000000011E-2</c:v>
                </c:pt>
                <c:pt idx="22">
                  <c:v>6.4000000000000029E-2</c:v>
                </c:pt>
                <c:pt idx="23">
                  <c:v>6.8000000000000019E-2</c:v>
                </c:pt>
                <c:pt idx="24">
                  <c:v>7.1999999999999995E-2</c:v>
                </c:pt>
                <c:pt idx="25">
                  <c:v>7.9000000000000029E-2</c:v>
                </c:pt>
                <c:pt idx="26">
                  <c:v>8.7000000000000022E-2</c:v>
                </c:pt>
                <c:pt idx="27">
                  <c:v>0.19</c:v>
                </c:pt>
              </c:numCache>
            </c:numRef>
          </c:val>
          <c:extLst xmlns:c16r2="http://schemas.microsoft.com/office/drawing/2015/06/chart">
            <c:ext xmlns:c16="http://schemas.microsoft.com/office/drawing/2014/chart" uri="{C3380CC4-5D6E-409C-BE32-E72D297353CC}">
              <c16:uniqueId val="{00000000-8BD3-467D-A6A8-C157B7A72D75}"/>
            </c:ext>
          </c:extLst>
        </c:ser>
        <c:gapWidth val="52"/>
        <c:axId val="113802624"/>
        <c:axId val="113992832"/>
      </c:barChart>
      <c:catAx>
        <c:axId val="11380262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992832"/>
        <c:crosses val="autoZero"/>
        <c:auto val="1"/>
        <c:lblAlgn val="ctr"/>
        <c:lblOffset val="100"/>
      </c:catAx>
      <c:valAx>
        <c:axId val="11399283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tickLblPos val="none"/>
        <c:crossAx val="1138026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6549813909917235"/>
          <c:y val="7.6604359237703978E-2"/>
          <c:w val="0.52926691455234731"/>
          <c:h val="0.90731471066116731"/>
        </c:manualLayout>
      </c:layout>
      <c:pieChart>
        <c:varyColors val="1"/>
        <c:ser>
          <c:idx val="0"/>
          <c:order val="0"/>
          <c:tx>
            <c:strRef>
              <c:f>Sheet1!$B$1</c:f>
              <c:strCache>
                <c:ptCount val="1"/>
                <c:pt idx="0">
                  <c:v>Sales</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83C-4540-AFCC-920350D2F7EB}"/>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83C-4540-AFCC-920350D2F7EB}"/>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83C-4540-AFCC-920350D2F7EB}"/>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83C-4540-AFCC-920350D2F7EB}"/>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Увек доступне</c:v>
                </c:pt>
                <c:pt idx="1">
                  <c:v>Углавном доступне</c:v>
                </c:pt>
                <c:pt idx="2">
                  <c:v>Недовољно доступне</c:v>
                </c:pt>
                <c:pt idx="3">
                  <c:v>Нисам заинтересован/а за дешавања у култури </c:v>
                </c:pt>
              </c:strCache>
            </c:strRef>
          </c:cat>
          <c:val>
            <c:numRef>
              <c:f>Sheet1!$B$2:$B$5</c:f>
              <c:numCache>
                <c:formatCode>0.0%</c:formatCode>
                <c:ptCount val="4"/>
                <c:pt idx="0">
                  <c:v>0.24100000000000005</c:v>
                </c:pt>
                <c:pt idx="1">
                  <c:v>0.54800000000000004</c:v>
                </c:pt>
                <c:pt idx="2">
                  <c:v>0.14700000000000005</c:v>
                </c:pt>
                <c:pt idx="3">
                  <c:v>6.4000000000000029E-2</c:v>
                </c:pt>
              </c:numCache>
            </c:numRef>
          </c:val>
          <c:extLst xmlns:c16r2="http://schemas.microsoft.com/office/drawing/2015/06/chart">
            <c:ext xmlns:c16="http://schemas.microsoft.com/office/drawing/2014/chart" uri="{C3380CC4-5D6E-409C-BE32-E72D297353CC}">
              <c16:uniqueId val="{00000008-483C-4540-AFCC-920350D2F7EB}"/>
            </c:ext>
          </c:extLst>
        </c:ser>
        <c:firstSliceAng val="0"/>
      </c:pieChart>
      <c:spPr>
        <a:noFill/>
        <a:ln>
          <a:noFill/>
        </a:ln>
        <a:effectLst/>
      </c:spPr>
    </c:plotArea>
    <c:legend>
      <c:legendPos val="b"/>
      <c:layout>
        <c:manualLayout>
          <c:xMode val="edge"/>
          <c:yMode val="edge"/>
          <c:x val="9.0190816180131875E-3"/>
          <c:y val="0.32070204267944785"/>
          <c:w val="0.45385320404081331"/>
          <c:h val="0.38467648065730936"/>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Series 1</c:v>
                </c:pt>
              </c:strCache>
            </c:strRef>
          </c:tx>
          <c:spPr>
            <a:pattFill prst="pct70">
              <a:fgClr>
                <a:schemeClr val="accent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Друштвене мреже, интернет водичи</c:v>
                </c:pt>
                <c:pt idx="1">
                  <c:v>Пријатељи, колеге и родбина</c:v>
                </c:pt>
                <c:pt idx="2">
                  <c:v>Новине</c:v>
                </c:pt>
                <c:pt idx="3">
                  <c:v>Флајери/постери/плакати</c:v>
                </c:pt>
                <c:pt idx="4">
                  <c:v>Сајтови установа културе/организатора манифестација</c:v>
                </c:pt>
                <c:pt idx="5">
                  <c:v>ТВ</c:v>
                </c:pt>
                <c:pt idx="6">
                  <c:v>Радио</c:v>
                </c:pt>
                <c:pt idx="7">
                  <c:v>Други начини</c:v>
                </c:pt>
                <c:pt idx="8">
                  <c:v>Не информишем се </c:v>
                </c:pt>
              </c:strCache>
            </c:strRef>
          </c:cat>
          <c:val>
            <c:numRef>
              <c:f>Sheet1!$B$2:$B$10</c:f>
              <c:numCache>
                <c:formatCode>0.0%</c:formatCode>
                <c:ptCount val="9"/>
                <c:pt idx="0">
                  <c:v>0.26300000000000001</c:v>
                </c:pt>
                <c:pt idx="1">
                  <c:v>0.19800000000000001</c:v>
                </c:pt>
                <c:pt idx="2" formatCode="0%">
                  <c:v>0.14000000000000001</c:v>
                </c:pt>
                <c:pt idx="3">
                  <c:v>0.13400000000000001</c:v>
                </c:pt>
                <c:pt idx="4">
                  <c:v>9.7000000000000003E-2</c:v>
                </c:pt>
                <c:pt idx="5" formatCode="0%">
                  <c:v>9.0000000000000024E-2</c:v>
                </c:pt>
                <c:pt idx="6">
                  <c:v>6.200000000000002E-2</c:v>
                </c:pt>
                <c:pt idx="7">
                  <c:v>9.0000000000000028E-3</c:v>
                </c:pt>
                <c:pt idx="8">
                  <c:v>7.0000000000000019E-3</c:v>
                </c:pt>
              </c:numCache>
            </c:numRef>
          </c:val>
          <c:extLst xmlns:c16r2="http://schemas.microsoft.com/office/drawing/2015/06/chart">
            <c:ext xmlns:c16="http://schemas.microsoft.com/office/drawing/2014/chart" uri="{C3380CC4-5D6E-409C-BE32-E72D297353CC}">
              <c16:uniqueId val="{00000000-25AA-47BC-B940-99B2D0A62886}"/>
            </c:ext>
          </c:extLst>
        </c:ser>
        <c:gapWidth val="52"/>
        <c:axId val="113977216"/>
        <c:axId val="113978752"/>
      </c:barChart>
      <c:catAx>
        <c:axId val="11397721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978752"/>
        <c:crosses val="autoZero"/>
        <c:auto val="1"/>
        <c:lblAlgn val="ctr"/>
        <c:lblOffset val="100"/>
      </c:catAx>
      <c:valAx>
        <c:axId val="11397875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tickLblPos val="none"/>
        <c:crossAx val="11397721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Sheet1!$B$1</c:f>
              <c:strCache>
                <c:ptCount val="1"/>
                <c:pt idx="0">
                  <c:v>Друштвене мреже</c:v>
                </c:pt>
              </c:strCache>
            </c:strRef>
          </c:tx>
          <c:spPr>
            <a:ln w="31750" cap="rnd">
              <a:solidFill>
                <a:schemeClr val="accent1"/>
              </a:solidFill>
              <a:round/>
            </a:ln>
            <a:effectLst/>
          </c:spPr>
          <c:marker>
            <c:symbol val="diamond"/>
            <c:size val="6"/>
            <c:spPr>
              <a:solidFill>
                <a:schemeClr val="accent1"/>
              </a:solidFill>
              <a:ln w="9525">
                <a:solidFill>
                  <a:schemeClr val="accent1"/>
                </a:solidFill>
                <a:round/>
              </a:ln>
              <a:effectLst/>
            </c:spPr>
          </c:marker>
          <c:dLbls>
            <c:dLbl>
              <c:idx val="0"/>
              <c:layout>
                <c:manualLayout>
                  <c:x val="-5.2320647419072656E-2"/>
                  <c:y val="-4.761904761904762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83F-4213-A7AE-27AFDE5A440A}"/>
                </c:ext>
              </c:extLst>
            </c:dLbl>
            <c:dLbl>
              <c:idx val="1"/>
              <c:layout>
                <c:manualLayout>
                  <c:x val="-5.2320647419072573E-2"/>
                  <c:y val="-4.761904761904767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83F-4213-A7AE-27AFDE5A440A}"/>
                </c:ext>
              </c:extLst>
            </c:dLbl>
            <c:dLbl>
              <c:idx val="2"/>
              <c:layout>
                <c:manualLayout>
                  <c:x val="-4.5376202974628188E-2"/>
                  <c:y val="-5.952380952380950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83F-4213-A7AE-27AFDE5A440A}"/>
                </c:ext>
              </c:extLst>
            </c:dLbl>
            <c:dLbl>
              <c:idx val="3"/>
              <c:layout>
                <c:manualLayout>
                  <c:x val="-4.7691017789442992E-2"/>
                  <c:y val="-4.365079365079373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83F-4213-A7AE-27AFDE5A440A}"/>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15-29</c:v>
                </c:pt>
                <c:pt idx="1">
                  <c:v>30-49</c:v>
                </c:pt>
                <c:pt idx="2">
                  <c:v>50-64</c:v>
                </c:pt>
                <c:pt idx="3">
                  <c:v>65+</c:v>
                </c:pt>
              </c:strCache>
            </c:strRef>
          </c:cat>
          <c:val>
            <c:numRef>
              <c:f>Sheet1!$B$2:$B$5</c:f>
              <c:numCache>
                <c:formatCode>0.0%</c:formatCode>
                <c:ptCount val="4"/>
                <c:pt idx="0">
                  <c:v>0.65100000000000025</c:v>
                </c:pt>
                <c:pt idx="1">
                  <c:v>0.61800000000000022</c:v>
                </c:pt>
                <c:pt idx="2">
                  <c:v>0.38500000000000012</c:v>
                </c:pt>
                <c:pt idx="3">
                  <c:v>0.254</c:v>
                </c:pt>
              </c:numCache>
            </c:numRef>
          </c:val>
          <c:extLst xmlns:c16r2="http://schemas.microsoft.com/office/drawing/2015/06/chart">
            <c:ext xmlns:c16="http://schemas.microsoft.com/office/drawing/2014/chart" uri="{C3380CC4-5D6E-409C-BE32-E72D297353CC}">
              <c16:uniqueId val="{00000004-883F-4213-A7AE-27AFDE5A440A}"/>
            </c:ext>
          </c:extLst>
        </c:ser>
        <c:ser>
          <c:idx val="1"/>
          <c:order val="1"/>
          <c:tx>
            <c:strRef>
              <c:f>Sheet1!$C$1</c:f>
              <c:strCache>
                <c:ptCount val="1"/>
                <c:pt idx="0">
                  <c:v>Новине</c:v>
                </c:pt>
              </c:strCache>
            </c:strRef>
          </c:tx>
          <c:spPr>
            <a:ln w="31750" cap="rnd">
              <a:solidFill>
                <a:schemeClr val="accent2"/>
              </a:solidFill>
              <a:round/>
            </a:ln>
            <a:effectLst/>
          </c:spPr>
          <c:marker>
            <c:symbol val="square"/>
            <c:size val="6"/>
            <c:spPr>
              <a:solidFill>
                <a:schemeClr val="accent2"/>
              </a:solidFill>
              <a:ln w="9525">
                <a:solidFill>
                  <a:schemeClr val="accent2"/>
                </a:solidFill>
                <a:round/>
              </a:ln>
              <a:effectLst/>
            </c:spPr>
          </c:marker>
          <c:dLbls>
            <c:dLbl>
              <c:idx val="0"/>
              <c:layout>
                <c:manualLayout>
                  <c:x val="-4.8735111665161396E-2"/>
                  <c:y val="-4.3650793650793669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883F-4213-A7AE-27AFDE5A440A}"/>
                </c:ext>
              </c:extLst>
            </c:dLbl>
            <c:dLbl>
              <c:idx val="1"/>
              <c:layout>
                <c:manualLayout>
                  <c:x val="-4.6741887474081915E-2"/>
                  <c:y val="-4.7619047619047776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83F-4213-A7AE-27AFDE5A440A}"/>
                </c:ext>
              </c:extLst>
            </c:dLbl>
            <c:dLbl>
              <c:idx val="2"/>
              <c:layout>
                <c:manualLayout>
                  <c:x val="-5.201972149314673E-2"/>
                  <c:y val="-5.1587301587301577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83F-4213-A7AE-27AFDE5A440A}"/>
                </c:ext>
              </c:extLst>
            </c:dLbl>
            <c:dLbl>
              <c:idx val="3"/>
              <c:layout>
                <c:manualLayout>
                  <c:x val="1.2210192475940504E-3"/>
                  <c:y val="-7.9365079365079395E-3"/>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83F-4213-A7AE-27AFDE5A440A}"/>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15-29</c:v>
                </c:pt>
                <c:pt idx="1">
                  <c:v>30-49</c:v>
                </c:pt>
                <c:pt idx="2">
                  <c:v>50-64</c:v>
                </c:pt>
                <c:pt idx="3">
                  <c:v>65+</c:v>
                </c:pt>
              </c:strCache>
            </c:strRef>
          </c:cat>
          <c:val>
            <c:numRef>
              <c:f>Sheet1!$C$2:$C$5</c:f>
              <c:numCache>
                <c:formatCode>0.0%</c:formatCode>
                <c:ptCount val="4"/>
                <c:pt idx="0">
                  <c:v>4.3999999999999997E-2</c:v>
                </c:pt>
                <c:pt idx="1">
                  <c:v>4.7000000000000014E-2</c:v>
                </c:pt>
                <c:pt idx="2">
                  <c:v>0.15400000000000005</c:v>
                </c:pt>
                <c:pt idx="3">
                  <c:v>0.23900000000000005</c:v>
                </c:pt>
              </c:numCache>
            </c:numRef>
          </c:val>
          <c:extLst xmlns:c16r2="http://schemas.microsoft.com/office/drawing/2015/06/chart">
            <c:ext xmlns:c16="http://schemas.microsoft.com/office/drawing/2014/chart" uri="{C3380CC4-5D6E-409C-BE32-E72D297353CC}">
              <c16:uniqueId val="{00000009-883F-4213-A7AE-27AFDE5A440A}"/>
            </c:ext>
          </c:extLst>
        </c:ser>
        <c:ser>
          <c:idx val="2"/>
          <c:order val="2"/>
          <c:tx>
            <c:strRef>
              <c:f>Sheet1!$D$1</c:f>
              <c:strCache>
                <c:ptCount val="1"/>
                <c:pt idx="0">
                  <c:v>ТВ</c:v>
                </c:pt>
              </c:strCache>
            </c:strRef>
          </c:tx>
          <c:spPr>
            <a:ln w="31750" cap="rnd">
              <a:solidFill>
                <a:schemeClr val="accent3"/>
              </a:solidFill>
              <a:round/>
            </a:ln>
            <a:effectLst/>
          </c:spPr>
          <c:marker>
            <c:symbol val="triangle"/>
            <c:size val="6"/>
            <c:spPr>
              <a:solidFill>
                <a:schemeClr val="accent3"/>
              </a:solidFill>
              <a:ln w="9525">
                <a:solidFill>
                  <a:schemeClr val="accent3"/>
                </a:solidFill>
                <a:round/>
              </a:ln>
              <a:effectLst/>
            </c:spPr>
          </c:marker>
          <c:dLbls>
            <c:dLbl>
              <c:idx val="0"/>
              <c:layout>
                <c:manualLayout>
                  <c:x val="-4.6259524506124944E-2"/>
                  <c:y val="4.761904761904762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83F-4213-A7AE-27AFDE5A440A}"/>
                </c:ext>
              </c:extLst>
            </c:dLbl>
            <c:dLbl>
              <c:idx val="1"/>
              <c:layout>
                <c:manualLayout>
                  <c:x val="-4.44271289005541E-2"/>
                  <c:y val="4.7619047619047623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883F-4213-A7AE-27AFDE5A440A}"/>
                </c:ext>
              </c:extLst>
            </c:dLbl>
            <c:dLbl>
              <c:idx val="2"/>
              <c:layout>
                <c:manualLayout>
                  <c:x val="-5.201972149314673E-2"/>
                  <c:y val="3.5714285714285712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883F-4213-A7AE-27AFDE5A440A}"/>
                </c:ext>
              </c:extLst>
            </c:dLbl>
            <c:dLbl>
              <c:idx val="3"/>
              <c:layout>
                <c:manualLayout>
                  <c:x val="-4.5075277048702275E-2"/>
                  <c:y val="3.571428571428558E-2"/>
                </c:manualLayout>
              </c:layout>
              <c:dLblPos val="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883F-4213-A7AE-27AFDE5A440A}"/>
                </c:ext>
              </c:extLst>
            </c:dLbl>
            <c:spPr>
              <a:noFill/>
              <a:ln>
                <a:noFill/>
              </a:ln>
              <a:effectLst/>
            </c:spPr>
            <c:txPr>
              <a:bodyPr rot="0" spcFirstLastPara="1" vertOverflow="ellipsis" vert="horz" wrap="square" anchor="ctr" anchorCtr="1"/>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15-29</c:v>
                </c:pt>
                <c:pt idx="1">
                  <c:v>30-49</c:v>
                </c:pt>
                <c:pt idx="2">
                  <c:v>50-64</c:v>
                </c:pt>
                <c:pt idx="3">
                  <c:v>65+</c:v>
                </c:pt>
              </c:strCache>
            </c:strRef>
          </c:cat>
          <c:val>
            <c:numRef>
              <c:f>Sheet1!$D$2:$D$5</c:f>
              <c:numCache>
                <c:formatCode>0.0%</c:formatCode>
                <c:ptCount val="4"/>
                <c:pt idx="0">
                  <c:v>4.3999999999999997E-2</c:v>
                </c:pt>
                <c:pt idx="1">
                  <c:v>5.3999999999999999E-2</c:v>
                </c:pt>
                <c:pt idx="2">
                  <c:v>0.11899999999999998</c:v>
                </c:pt>
                <c:pt idx="3">
                  <c:v>0.19400000000000001</c:v>
                </c:pt>
              </c:numCache>
            </c:numRef>
          </c:val>
          <c:extLst xmlns:c16r2="http://schemas.microsoft.com/office/drawing/2015/06/chart">
            <c:ext xmlns:c16="http://schemas.microsoft.com/office/drawing/2014/chart" uri="{C3380CC4-5D6E-409C-BE32-E72D297353CC}">
              <c16:uniqueId val="{0000000E-883F-4213-A7AE-27AFDE5A440A}"/>
            </c:ext>
          </c:extLst>
        </c:ser>
        <c:dLbls>
          <c:showVal val="1"/>
        </c:dLbls>
        <c:marker val="1"/>
        <c:axId val="114232704"/>
        <c:axId val="114271360"/>
      </c:lineChart>
      <c:catAx>
        <c:axId val="11423270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271360"/>
        <c:crosses val="autoZero"/>
        <c:auto val="1"/>
        <c:lblAlgn val="ctr"/>
        <c:lblOffset val="100"/>
      </c:catAx>
      <c:valAx>
        <c:axId val="114271360"/>
        <c:scaling>
          <c:orientation val="minMax"/>
        </c:scaling>
        <c:delete val="1"/>
        <c:axPos val="l"/>
        <c:numFmt formatCode="0.0%" sourceLinked="1"/>
        <c:majorTickMark val="none"/>
        <c:tickLblPos val="none"/>
        <c:crossAx val="11423270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Sheet1!$B$1</c:f>
              <c:strCache>
                <c:ptCount val="1"/>
                <c:pt idx="0">
                  <c:v>Series 1</c:v>
                </c:pt>
              </c:strCache>
            </c:strRef>
          </c:tx>
          <c:spPr>
            <a:ln w="31750" cap="rnd">
              <a:solidFill>
                <a:schemeClr val="accent1"/>
              </a:solidFill>
              <a:round/>
            </a:ln>
            <a:effectLst/>
          </c:spPr>
          <c:marker>
            <c:symbol val="diamond"/>
            <c:size val="6"/>
            <c:spPr>
              <a:solidFill>
                <a:schemeClr val="accent1"/>
              </a:solidFill>
              <a:ln w="9525">
                <a:solidFill>
                  <a:schemeClr val="accent1"/>
                </a:solidFill>
                <a:round/>
              </a:ln>
              <a:effectLst/>
            </c:spPr>
          </c:marker>
          <c:dLbls>
            <c:dLbl>
              <c:idx val="1"/>
              <c:layout>
                <c:manualLayout>
                  <c:x val="-3.4722222222222224E-2"/>
                  <c:y val="3.174603174603174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F0D-49C2-8844-DFE3D77FE12C}"/>
                </c:ext>
              </c:extLst>
            </c:dLbl>
            <c:dLbl>
              <c:idx val="2"/>
              <c:layout>
                <c:manualLayout>
                  <c:x val="-4.1666666666666664E-2"/>
                  <c:y val="3.57142857142857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0D-49C2-8844-DFE3D77FE12C}"/>
                </c:ext>
              </c:extLst>
            </c:dLbl>
            <c:dLbl>
              <c:idx val="3"/>
              <c:layout>
                <c:manualLayout>
                  <c:x val="-3.9351851851851853E-2"/>
                  <c:y val="3.968253968253968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0D-49C2-8844-DFE3D77FE12C}"/>
                </c:ext>
              </c:extLst>
            </c:dLbl>
            <c:dLbl>
              <c:idx val="4"/>
              <c:layout>
                <c:manualLayout>
                  <c:x val="-6.9444444444444475E-3"/>
                  <c:y val="-3.9682539682539698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0D-49C2-8844-DFE3D77FE12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Без школе</c:v>
                </c:pt>
                <c:pt idx="1">
                  <c:v>Основна школа</c:v>
                </c:pt>
                <c:pt idx="2">
                  <c:v>Средња школа</c:v>
                </c:pt>
                <c:pt idx="3">
                  <c:v>Виша школа</c:v>
                </c:pt>
                <c:pt idx="4">
                  <c:v>Факултет</c:v>
                </c:pt>
              </c:strCache>
            </c:strRef>
          </c:cat>
          <c:val>
            <c:numRef>
              <c:f>Sheet1!$B$2:$B$6</c:f>
              <c:numCache>
                <c:formatCode>0.0%</c:formatCode>
                <c:ptCount val="5"/>
                <c:pt idx="0">
                  <c:v>0.33300000000000013</c:v>
                </c:pt>
                <c:pt idx="1">
                  <c:v>0.52900000000000003</c:v>
                </c:pt>
                <c:pt idx="2">
                  <c:v>0.61400000000000021</c:v>
                </c:pt>
                <c:pt idx="3">
                  <c:v>0.7270000000000002</c:v>
                </c:pt>
                <c:pt idx="4">
                  <c:v>0.80600000000000005</c:v>
                </c:pt>
              </c:numCache>
            </c:numRef>
          </c:val>
          <c:extLst xmlns:c16r2="http://schemas.microsoft.com/office/drawing/2015/06/chart">
            <c:ext xmlns:c16="http://schemas.microsoft.com/office/drawing/2014/chart" uri="{C3380CC4-5D6E-409C-BE32-E72D297353CC}">
              <c16:uniqueId val="{00000004-0F0D-49C2-8844-DFE3D77FE12C}"/>
            </c:ext>
          </c:extLst>
        </c:ser>
        <c:marker val="1"/>
        <c:axId val="114027520"/>
        <c:axId val="114205440"/>
      </c:lineChart>
      <c:catAx>
        <c:axId val="11402752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cap="none"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205440"/>
        <c:crosses val="autoZero"/>
        <c:auto val="1"/>
        <c:lblAlgn val="ctr"/>
        <c:lblOffset val="100"/>
      </c:catAx>
      <c:valAx>
        <c:axId val="114205440"/>
        <c:scaling>
          <c:orientation val="minMax"/>
        </c:scaling>
        <c:delete val="1"/>
        <c:axPos val="l"/>
        <c:numFmt formatCode="0.0%" sourceLinked="1"/>
        <c:majorTickMark val="none"/>
        <c:tickLblPos val="none"/>
        <c:crossAx val="114027520"/>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10225284339537"/>
          <c:y val="3.4722222222222224E-2"/>
          <c:w val="0.79443478419364022"/>
          <c:h val="0.93200094779819265"/>
        </c:manualLayout>
      </c:layout>
      <c:barChart>
        <c:barDir val="bar"/>
        <c:grouping val="percentStacked"/>
        <c:ser>
          <c:idx val="0"/>
          <c:order val="0"/>
          <c:tx>
            <c:strRef>
              <c:f>Sheet1!$B$1</c:f>
              <c:strCache>
                <c:ptCount val="1"/>
                <c:pt idx="0">
                  <c:v>Запослени</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Структура запослености </c:v>
                </c:pt>
              </c:strCache>
            </c:strRef>
          </c:cat>
          <c:val>
            <c:numRef>
              <c:f>Sheet1!$B$2</c:f>
              <c:numCache>
                <c:formatCode>0.0%</c:formatCode>
                <c:ptCount val="1"/>
                <c:pt idx="0">
                  <c:v>0.76800000000000246</c:v>
                </c:pt>
              </c:numCache>
            </c:numRef>
          </c:val>
          <c:extLst xmlns:c16r2="http://schemas.microsoft.com/office/drawing/2015/06/chart">
            <c:ext xmlns:c16="http://schemas.microsoft.com/office/drawing/2014/chart" uri="{C3380CC4-5D6E-409C-BE32-E72D297353CC}">
              <c16:uniqueId val="{00000000-8EF9-41B0-918F-7BE65ADF4B9D}"/>
            </c:ext>
          </c:extLst>
        </c:ser>
        <c:ser>
          <c:idx val="1"/>
          <c:order val="1"/>
          <c:tx>
            <c:strRef>
              <c:f>Sheet1!$C$1</c:f>
              <c:strCache>
                <c:ptCount val="1"/>
                <c:pt idx="0">
                  <c:v>Незапослени</c:v>
                </c:pt>
              </c:strCache>
            </c:strRef>
          </c:tx>
          <c:spPr>
            <a:solidFill>
              <a:schemeClr val="accent2"/>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Структура запослености </c:v>
                </c:pt>
              </c:strCache>
            </c:strRef>
          </c:cat>
          <c:val>
            <c:numRef>
              <c:f>Sheet1!$C$2</c:f>
              <c:numCache>
                <c:formatCode>0.0%</c:formatCode>
                <c:ptCount val="1"/>
                <c:pt idx="0">
                  <c:v>0.23200000000000001</c:v>
                </c:pt>
              </c:numCache>
            </c:numRef>
          </c:val>
          <c:extLst xmlns:c16r2="http://schemas.microsoft.com/office/drawing/2015/06/chart">
            <c:ext xmlns:c16="http://schemas.microsoft.com/office/drawing/2014/chart" uri="{C3380CC4-5D6E-409C-BE32-E72D297353CC}">
              <c16:uniqueId val="{00000001-8EF9-41B0-918F-7BE65ADF4B9D}"/>
            </c:ext>
          </c:extLst>
        </c:ser>
        <c:gapWidth val="182"/>
        <c:overlap val="100"/>
        <c:axId val="112924160"/>
        <c:axId val="112925696"/>
      </c:barChart>
      <c:catAx>
        <c:axId val="1129241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2925696"/>
        <c:crosses val="autoZero"/>
        <c:auto val="1"/>
        <c:lblAlgn val="ctr"/>
        <c:lblOffset val="100"/>
      </c:catAx>
      <c:valAx>
        <c:axId val="112925696"/>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one"/>
        <c:crossAx val="112924160"/>
        <c:crosses val="autoZero"/>
        <c:crossBetween val="between"/>
      </c:valAx>
      <c:spPr>
        <a:noFill/>
        <a:ln>
          <a:noFill/>
        </a:ln>
        <a:effectLst/>
      </c:spPr>
    </c:plotArea>
    <c:legend>
      <c:legendPos val="b"/>
      <c:layout>
        <c:manualLayout>
          <c:xMode val="edge"/>
          <c:yMode val="edge"/>
          <c:x val="0.37218321668124832"/>
          <c:y val="0.79546879556721772"/>
          <c:w val="0.32739282589676488"/>
          <c:h val="0.20453162381251019"/>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userShapes r:id="rId3"/>
</c:chartSpace>
</file>

<file path=word/charts/chart20.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0.45540081889763789"/>
          <c:y val="4.3650793650793669E-2"/>
          <c:w val="0.54459918110236183"/>
          <c:h val="0.71666068057282339"/>
        </c:manualLayout>
      </c:layout>
      <c:barChart>
        <c:barDir val="bar"/>
        <c:grouping val="percentStacked"/>
        <c:ser>
          <c:idx val="0"/>
          <c:order val="0"/>
          <c:tx>
            <c:strRef>
              <c:f>Sheet1!$B$1</c:f>
              <c:strCache>
                <c:ptCount val="1"/>
                <c:pt idx="0">
                  <c:v>Да</c:v>
                </c:pt>
              </c:strCache>
            </c:strRef>
          </c:tx>
          <c:spPr>
            <a:solidFill>
              <a:schemeClr val="accent1"/>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Да ли сте у последњих 12 месеци постовали утиске о култури/догађају на интернету?</c:v>
                </c:pt>
              </c:strCache>
            </c:strRef>
          </c:cat>
          <c:val>
            <c:numRef>
              <c:f>Sheet1!$B$2</c:f>
              <c:numCache>
                <c:formatCode>0.0%</c:formatCode>
                <c:ptCount val="1"/>
                <c:pt idx="0">
                  <c:v>0.20900000000000005</c:v>
                </c:pt>
              </c:numCache>
            </c:numRef>
          </c:val>
          <c:extLst xmlns:c16r2="http://schemas.microsoft.com/office/drawing/2015/06/chart">
            <c:ext xmlns:c16="http://schemas.microsoft.com/office/drawing/2014/chart" uri="{C3380CC4-5D6E-409C-BE32-E72D297353CC}">
              <c16:uniqueId val="{00000000-4CC2-445A-A611-33E50CCEF43B}"/>
            </c:ext>
          </c:extLst>
        </c:ser>
        <c:ser>
          <c:idx val="1"/>
          <c:order val="1"/>
          <c:tx>
            <c:strRef>
              <c:f>Sheet1!$C$1</c:f>
              <c:strCache>
                <c:ptCount val="1"/>
                <c:pt idx="0">
                  <c:v>Не</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Да ли сте у последњих 12 месеци постовали утиске о култури/догађају на интернету?</c:v>
                </c:pt>
              </c:strCache>
            </c:strRef>
          </c:cat>
          <c:val>
            <c:numRef>
              <c:f>Sheet1!$C$2</c:f>
              <c:numCache>
                <c:formatCode>0.0%</c:formatCode>
                <c:ptCount val="1"/>
                <c:pt idx="0">
                  <c:v>0.67800000000000038</c:v>
                </c:pt>
              </c:numCache>
            </c:numRef>
          </c:val>
          <c:extLst xmlns:c16r2="http://schemas.microsoft.com/office/drawing/2015/06/chart">
            <c:ext xmlns:c16="http://schemas.microsoft.com/office/drawing/2014/chart" uri="{C3380CC4-5D6E-409C-BE32-E72D297353CC}">
              <c16:uniqueId val="{00000001-4CC2-445A-A611-33E50CCEF43B}"/>
            </c:ext>
          </c:extLst>
        </c:ser>
        <c:ser>
          <c:idx val="2"/>
          <c:order val="2"/>
          <c:tx>
            <c:strRef>
              <c:f>Sheet1!$D$1</c:f>
              <c:strCache>
                <c:ptCount val="1"/>
                <c:pt idx="0">
                  <c:v>Немам профил на друштвеним мрежама</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Да ли сте у последњих 12 месеци постовали утиске о култури/догађају на интернету?</c:v>
                </c:pt>
              </c:strCache>
            </c:strRef>
          </c:cat>
          <c:val>
            <c:numRef>
              <c:f>Sheet1!$D$2</c:f>
              <c:numCache>
                <c:formatCode>0.0%</c:formatCode>
                <c:ptCount val="1"/>
                <c:pt idx="0">
                  <c:v>0.113</c:v>
                </c:pt>
              </c:numCache>
            </c:numRef>
          </c:val>
          <c:extLst xmlns:c16r2="http://schemas.microsoft.com/office/drawing/2015/06/chart">
            <c:ext xmlns:c16="http://schemas.microsoft.com/office/drawing/2014/chart" uri="{C3380CC4-5D6E-409C-BE32-E72D297353CC}">
              <c16:uniqueId val="{00000002-4CC2-445A-A611-33E50CCEF43B}"/>
            </c:ext>
          </c:extLst>
        </c:ser>
        <c:overlap val="100"/>
        <c:axId val="114527616"/>
        <c:axId val="114537600"/>
      </c:barChart>
      <c:catAx>
        <c:axId val="11452761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537600"/>
        <c:crosses val="autoZero"/>
        <c:auto val="1"/>
        <c:lblAlgn val="ctr"/>
        <c:lblOffset val="100"/>
      </c:catAx>
      <c:valAx>
        <c:axId val="114537600"/>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one"/>
        <c:crossAx val="114527616"/>
        <c:crosses val="autoZero"/>
        <c:crossBetween val="between"/>
      </c:valAx>
      <c:spPr>
        <a:noFill/>
        <a:ln>
          <a:noFill/>
        </a:ln>
        <a:effectLst/>
      </c:spPr>
    </c:plotArea>
    <c:legend>
      <c:legendPos val="b"/>
      <c:layout>
        <c:manualLayout>
          <c:xMode val="edge"/>
          <c:yMode val="edge"/>
          <c:x val="0.45836833595800541"/>
          <c:y val="0.7772258359009474"/>
          <c:w val="0.54130964829396322"/>
          <c:h val="0.22277416409905285"/>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Series 1</c:v>
                </c:pt>
              </c:strCache>
            </c:strRef>
          </c:tx>
          <c:spPr>
            <a:pattFill prst="pct70">
              <a:fgClr>
                <a:schemeClr val="accent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15-29</c:v>
                </c:pt>
                <c:pt idx="1">
                  <c:v>30-49</c:v>
                </c:pt>
                <c:pt idx="2">
                  <c:v>50-64</c:v>
                </c:pt>
                <c:pt idx="3">
                  <c:v>65+</c:v>
                </c:pt>
              </c:strCache>
            </c:strRef>
          </c:cat>
          <c:val>
            <c:numRef>
              <c:f>Sheet1!$B$2:$B$5</c:f>
              <c:numCache>
                <c:formatCode>0.0%</c:formatCode>
                <c:ptCount val="4"/>
                <c:pt idx="0">
                  <c:v>0.18600000000000005</c:v>
                </c:pt>
                <c:pt idx="1">
                  <c:v>0.254</c:v>
                </c:pt>
                <c:pt idx="2">
                  <c:v>0.14700000000000005</c:v>
                </c:pt>
                <c:pt idx="3">
                  <c:v>0.16400000000000001</c:v>
                </c:pt>
              </c:numCache>
            </c:numRef>
          </c:val>
          <c:extLst xmlns:c16r2="http://schemas.microsoft.com/office/drawing/2015/06/chart">
            <c:ext xmlns:c16="http://schemas.microsoft.com/office/drawing/2014/chart" uri="{C3380CC4-5D6E-409C-BE32-E72D297353CC}">
              <c16:uniqueId val="{00000000-DC00-43D1-85FA-EAF85A4CFB17}"/>
            </c:ext>
          </c:extLst>
        </c:ser>
        <c:gapWidth val="48"/>
        <c:overlap val="-52"/>
        <c:axId val="114398336"/>
        <c:axId val="114399872"/>
      </c:barChart>
      <c:catAx>
        <c:axId val="11439833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399872"/>
        <c:crosses val="autoZero"/>
        <c:auto val="1"/>
        <c:lblAlgn val="ctr"/>
        <c:lblOffset val="100"/>
      </c:catAx>
      <c:valAx>
        <c:axId val="11439987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tickLblPos val="none"/>
        <c:crossAx val="1143983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134337408147081"/>
          <c:y val="3.6659952389672228E-2"/>
          <c:w val="0.44323705038155559"/>
          <c:h val="0.94735831098035783"/>
        </c:manualLayout>
      </c:layout>
      <c:doughnutChart>
        <c:varyColors val="1"/>
        <c:ser>
          <c:idx val="0"/>
          <c:order val="0"/>
          <c:tx>
            <c:strRef>
              <c:f>Sheet1!$B$1</c:f>
              <c:strCache>
                <c:ptCount val="1"/>
                <c:pt idx="0">
                  <c:v>Sales</c:v>
                </c:pt>
              </c:strCache>
            </c:strRef>
          </c:tx>
          <c:spPr>
            <a:ln>
              <a:solidFill>
                <a:schemeClr val="accent3">
                  <a:alpha val="97000"/>
                </a:schemeClr>
              </a:solidFill>
            </a:ln>
          </c:spPr>
          <c:dPt>
            <c:idx val="0"/>
            <c:spPr>
              <a:solidFill>
                <a:schemeClr val="accent1"/>
              </a:solidFill>
              <a:ln w="19050">
                <a:solidFill>
                  <a:schemeClr val="accent3">
                    <a:alpha val="97000"/>
                  </a:schemeClr>
                </a:solidFill>
              </a:ln>
              <a:effectLst/>
            </c:spPr>
            <c:extLst xmlns:c16r2="http://schemas.microsoft.com/office/drawing/2015/06/chart">
              <c:ext xmlns:c16="http://schemas.microsoft.com/office/drawing/2014/chart" uri="{C3380CC4-5D6E-409C-BE32-E72D297353CC}">
                <c16:uniqueId val="{00000001-CE0A-427B-B596-78BA57AE156E}"/>
              </c:ext>
            </c:extLst>
          </c:dPt>
          <c:dPt>
            <c:idx val="1"/>
            <c:spPr>
              <a:solidFill>
                <a:schemeClr val="accent2"/>
              </a:solidFill>
              <a:ln w="19050">
                <a:solidFill>
                  <a:schemeClr val="accent3">
                    <a:alpha val="97000"/>
                  </a:schemeClr>
                </a:solidFill>
              </a:ln>
              <a:effectLst/>
            </c:spPr>
            <c:extLst xmlns:c16r2="http://schemas.microsoft.com/office/drawing/2015/06/chart">
              <c:ext xmlns:c16="http://schemas.microsoft.com/office/drawing/2014/chart" uri="{C3380CC4-5D6E-409C-BE32-E72D297353CC}">
                <c16:uniqueId val="{00000003-CE0A-427B-B596-78BA57AE156E}"/>
              </c:ext>
            </c:extLst>
          </c:dPt>
          <c:dPt>
            <c:idx val="2"/>
            <c:spPr>
              <a:solidFill>
                <a:schemeClr val="accent3"/>
              </a:solidFill>
              <a:ln w="19050">
                <a:solidFill>
                  <a:schemeClr val="accent3">
                    <a:alpha val="97000"/>
                  </a:schemeClr>
                </a:solidFill>
              </a:ln>
              <a:effectLst/>
            </c:spPr>
            <c:extLst xmlns:c16r2="http://schemas.microsoft.com/office/drawing/2015/06/chart">
              <c:ext xmlns:c16="http://schemas.microsoft.com/office/drawing/2014/chart" uri="{C3380CC4-5D6E-409C-BE32-E72D297353CC}">
                <c16:uniqueId val="{00000005-CE0A-427B-B596-78BA57AE156E}"/>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showCatName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Да</c:v>
                </c:pt>
                <c:pt idx="1">
                  <c:v>Не</c:v>
                </c:pt>
                <c:pt idx="2">
                  <c:v>Не знам</c:v>
                </c:pt>
              </c:strCache>
            </c:strRef>
          </c:cat>
          <c:val>
            <c:numRef>
              <c:f>Sheet1!$B$2:$B$4</c:f>
              <c:numCache>
                <c:formatCode>0.0%</c:formatCode>
                <c:ptCount val="3"/>
                <c:pt idx="0">
                  <c:v>0.32900000000000013</c:v>
                </c:pt>
                <c:pt idx="1">
                  <c:v>0.41900000000000009</c:v>
                </c:pt>
                <c:pt idx="2">
                  <c:v>0.252</c:v>
                </c:pt>
              </c:numCache>
            </c:numRef>
          </c:val>
          <c:extLst xmlns:c16r2="http://schemas.microsoft.com/office/drawing/2015/06/chart">
            <c:ext xmlns:c16="http://schemas.microsoft.com/office/drawing/2014/chart" uri="{C3380CC4-5D6E-409C-BE32-E72D297353CC}">
              <c16:uniqueId val="{00000006-CE0A-427B-B596-78BA57AE156E}"/>
            </c:ext>
          </c:extLst>
        </c:ser>
        <c:dLbls>
          <c:showVal val="1"/>
          <c:showCatName val="1"/>
        </c:dLbls>
        <c:firstSliceAng val="0"/>
        <c:holeSize val="20"/>
      </c:doughnut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2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5576530353060705"/>
          <c:y val="1.9567993190040437E-2"/>
          <c:w val="0.42057878249089842"/>
          <c:h val="0.96086401361991935"/>
        </c:manualLayout>
      </c:layout>
      <c:barChart>
        <c:barDir val="bar"/>
        <c:grouping val="clustered"/>
        <c:ser>
          <c:idx val="0"/>
          <c:order val="0"/>
          <c:tx>
            <c:strRef>
              <c:f>Sheet1!$B$1</c:f>
              <c:strCache>
                <c:ptCount val="1"/>
                <c:pt idx="0">
                  <c:v>Series 1</c:v>
                </c:pt>
              </c:strCache>
            </c:strRef>
          </c:tx>
          <c:spPr>
            <a:pattFill prst="pct70">
              <a:fgClr>
                <a:schemeClr val="accent1"/>
              </a:fgClr>
              <a:bgClr>
                <a:schemeClr val="bg1"/>
              </a:bgClr>
            </a:patt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Sheet1!$A$2:$A$22</c:f>
              <c:strCache>
                <c:ptCount val="21"/>
                <c:pt idx="0">
                  <c:v>објава на друштвеним мрежама</c:v>
                </c:pt>
                <c:pt idx="1">
                  <c:v>поруке на мобилни телефон</c:v>
                </c:pt>
                <c:pt idx="2">
                  <c:v>рекламе на локалној телевизији</c:v>
                </c:pt>
                <c:pt idx="3">
                  <c:v>рекламе у локаним штампаним медијима</c:v>
                </c:pt>
                <c:pt idx="4">
                  <c:v>објаве на сајтовима установа/организација у култури</c:v>
                </c:pt>
                <c:pt idx="5">
                  <c:v>већи број плаката у граду</c:v>
                </c:pt>
                <c:pt idx="6">
                  <c:v>рекламе на Радио-телевизији Војводине</c:v>
                </c:pt>
                <c:pt idx="7">
                  <c:v>рекламе на локални радио станицама</c:v>
                </c:pt>
                <c:pt idx="8">
                  <c:v>рекламе на Радио-телевизији Србије</c:v>
                </c:pt>
                <c:pt idx="9">
                  <c:v>флајери у поштанском сандучету</c:v>
                </c:pt>
                <c:pt idx="10">
                  <c:v>без одговора </c:v>
                </c:pt>
                <c:pt idx="11">
                  <c:v>обавештавање кроз мејлинг листе</c:v>
                </c:pt>
                <c:pt idx="12">
                  <c:v>рекламе у националним штампаним медијима</c:v>
                </c:pt>
                <c:pt idx="13">
                  <c:v>информисање путем школе/предузећа</c:v>
                </c:pt>
                <c:pt idx="14">
                  <c:v>подела бесплатних улазница путем радија и телевизије</c:v>
                </c:pt>
                <c:pt idx="15">
                  <c:v>апликација о култури за мобилне телефоне</c:v>
                </c:pt>
                <c:pt idx="16">
                  <c:v>туристичке брошуре и флајери</c:v>
                </c:pt>
                <c:pt idx="17">
                  <c:v>креативни начини промоције (перформанси…) </c:v>
                </c:pt>
                <c:pt idx="18">
                  <c:v>рекламе у јавном превозу</c:v>
                </c:pt>
                <c:pt idx="19">
                  <c:v>тренутна промоција је сасвим одговарајућа</c:v>
                </c:pt>
                <c:pt idx="20">
                  <c:v>нешто друго</c:v>
                </c:pt>
              </c:strCache>
            </c:strRef>
          </c:cat>
          <c:val>
            <c:numRef>
              <c:f>Sheet1!$B$2:$B$22</c:f>
              <c:numCache>
                <c:formatCode>0.0%</c:formatCode>
                <c:ptCount val="21"/>
                <c:pt idx="0">
                  <c:v>0.13500000000000001</c:v>
                </c:pt>
                <c:pt idx="1">
                  <c:v>9.6000000000000002E-2</c:v>
                </c:pt>
                <c:pt idx="2">
                  <c:v>9.4000000000000028E-2</c:v>
                </c:pt>
                <c:pt idx="3">
                  <c:v>8.9000000000000051E-2</c:v>
                </c:pt>
                <c:pt idx="4">
                  <c:v>8.4000000000000047E-2</c:v>
                </c:pt>
                <c:pt idx="5">
                  <c:v>6.9000000000000034E-2</c:v>
                </c:pt>
                <c:pt idx="6">
                  <c:v>6.200000000000002E-2</c:v>
                </c:pt>
                <c:pt idx="7">
                  <c:v>5.7000000000000016E-2</c:v>
                </c:pt>
                <c:pt idx="8">
                  <c:v>4.8000000000000001E-2</c:v>
                </c:pt>
                <c:pt idx="9">
                  <c:v>4.5999999999999999E-2</c:v>
                </c:pt>
                <c:pt idx="10">
                  <c:v>4.5999999999999999E-2</c:v>
                </c:pt>
                <c:pt idx="11">
                  <c:v>3.4000000000000002E-2</c:v>
                </c:pt>
                <c:pt idx="12">
                  <c:v>2.3E-2</c:v>
                </c:pt>
                <c:pt idx="13">
                  <c:v>2.1999999999999999E-2</c:v>
                </c:pt>
                <c:pt idx="14">
                  <c:v>2.1999999999999999E-2</c:v>
                </c:pt>
                <c:pt idx="15">
                  <c:v>1.9000000000000006E-2</c:v>
                </c:pt>
                <c:pt idx="16">
                  <c:v>1.7000000000000001E-2</c:v>
                </c:pt>
                <c:pt idx="17">
                  <c:v>1.6000000000000007E-2</c:v>
                </c:pt>
                <c:pt idx="18">
                  <c:v>1.0999999999999998E-2</c:v>
                </c:pt>
                <c:pt idx="19">
                  <c:v>9.0000000000000028E-3</c:v>
                </c:pt>
                <c:pt idx="20">
                  <c:v>1.0000000000000005E-3</c:v>
                </c:pt>
              </c:numCache>
            </c:numRef>
          </c:val>
          <c:extLst xmlns:c16r2="http://schemas.microsoft.com/office/drawing/2015/06/chart">
            <c:ext xmlns:c16="http://schemas.microsoft.com/office/drawing/2014/chart" uri="{C3380CC4-5D6E-409C-BE32-E72D297353CC}">
              <c16:uniqueId val="{00000000-0FA8-4382-A238-917A4CEDAE1E}"/>
            </c:ext>
          </c:extLst>
        </c:ser>
        <c:gapWidth val="52"/>
        <c:axId val="147483648"/>
        <c:axId val="147489536"/>
      </c:barChart>
      <c:catAx>
        <c:axId val="147483648"/>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489536"/>
        <c:crosses val="autoZero"/>
        <c:auto val="1"/>
        <c:lblAlgn val="ctr"/>
        <c:lblOffset val="100"/>
      </c:catAx>
      <c:valAx>
        <c:axId val="147489536"/>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tickLblPos val="none"/>
        <c:crossAx val="1474836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24.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4732702682997968"/>
          <c:y val="3.210317460317464E-2"/>
          <c:w val="0.40644093645597684"/>
          <c:h val="0.7536092363454574"/>
        </c:manualLayout>
      </c:layout>
      <c:pieChart>
        <c:varyColors val="1"/>
        <c:ser>
          <c:idx val="0"/>
          <c:order val="0"/>
          <c:tx>
            <c:strRef>
              <c:f>Sheet1!$B$1</c:f>
              <c:strCache>
                <c:ptCount val="1"/>
                <c:pt idx="0">
                  <c:v>Sales</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F9F5-44C7-88E0-E3D655702268}"/>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F9F5-44C7-88E0-E3D655702268}"/>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9F5-44C7-88E0-E3D655702268}"/>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F9F5-44C7-88E0-E3D655702268}"/>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Садржајне информације (радња представе, критика у новинама, уметник/ци у програму…)</c:v>
                </c:pt>
                <c:pt idx="1">
                  <c:v>Практичне информације (где, када, по којој цени…)</c:v>
                </c:pt>
                <c:pt idx="2">
                  <c:v>Обе врсте информација</c:v>
                </c:pt>
                <c:pt idx="3">
                  <c:v>Не информишем се пре одласка на програм</c:v>
                </c:pt>
              </c:strCache>
            </c:strRef>
          </c:cat>
          <c:val>
            <c:numRef>
              <c:f>Sheet1!$B$2:$B$5</c:f>
              <c:numCache>
                <c:formatCode>0.0%</c:formatCode>
                <c:ptCount val="4"/>
                <c:pt idx="0">
                  <c:v>0.18200000000000005</c:v>
                </c:pt>
                <c:pt idx="1">
                  <c:v>0.34600000000000009</c:v>
                </c:pt>
                <c:pt idx="2">
                  <c:v>0.39900000000000013</c:v>
                </c:pt>
                <c:pt idx="3">
                  <c:v>7.3000000000000009E-2</c:v>
                </c:pt>
              </c:numCache>
            </c:numRef>
          </c:val>
          <c:extLst xmlns:c16r2="http://schemas.microsoft.com/office/drawing/2015/06/chart">
            <c:ext xmlns:c16="http://schemas.microsoft.com/office/drawing/2014/chart" uri="{C3380CC4-5D6E-409C-BE32-E72D297353CC}">
              <c16:uniqueId val="{00000008-F9F5-44C7-88E0-E3D655702268}"/>
            </c:ext>
          </c:extLst>
        </c:ser>
        <c:firstSliceAng val="0"/>
      </c:pieChart>
      <c:spPr>
        <a:noFill/>
        <a:ln>
          <a:noFill/>
        </a:ln>
        <a:effectLst/>
      </c:spPr>
    </c:plotArea>
    <c:legend>
      <c:legendPos val="b"/>
      <c:layout>
        <c:manualLayout>
          <c:xMode val="edge"/>
          <c:yMode val="edge"/>
          <c:x val="9.6055408804236645E-6"/>
          <c:y val="0.79454373657838273"/>
          <c:w val="0.99999033974919804"/>
          <c:h val="0.20190656167979001"/>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924053848107684"/>
          <c:y val="0.12544670113660691"/>
          <c:w val="0.32452984505969046"/>
          <c:h val="0.86355581088844602"/>
        </c:manualLayout>
      </c:layout>
      <c:pieChart>
        <c:varyColors val="1"/>
        <c:ser>
          <c:idx val="0"/>
          <c:order val="0"/>
          <c:tx>
            <c:strRef>
              <c:f>Sheet1!$B$1</c:f>
              <c:strCache>
                <c:ptCount val="1"/>
                <c:pt idx="0">
                  <c:v>Sales</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7AD-4A10-BAC8-BEF3A253390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47AD-4A10-BAC8-BEF3A253390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7AD-4A10-BAC8-BEF3A253390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47AD-4A10-BAC8-BEF3A2533903}"/>
              </c:ext>
            </c:extLst>
          </c:dPt>
          <c:dLbls>
            <c:dLbl>
              <c:idx val="0"/>
              <c:layout>
                <c:manualLayout>
                  <c:x val="-0.12043010752688184"/>
                  <c:y val="0.18721683394725883"/>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D8536382-5338-40B1-892D-E0C49E3F5B9A}" type="CATEGORYNAME">
                      <a:rPr lang="sr-Cyrl-RS" sz="1000"/>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t>[CATEGORY NAME]</a:t>
                    </a:fld>
                    <a:r>
                      <a:rPr lang="sr-Cyrl-RS" sz="1000" baseline="0"/>
                      <a:t>, </a:t>
                    </a:r>
                    <a:fld id="{A73A656A-FBC9-4C39-B7E9-6F99B13139AF}" type="VALUE">
                      <a:rPr lang="sr-Cyrl-RS" sz="1000" baseline="0"/>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t>[VALUE]</a:t>
                    </a:fld>
                    <a:endParaRPr lang="sr-Cyrl-RS" sz="1000" baseline="0"/>
                  </a:p>
                </c:rich>
              </c:tx>
              <c:spPr>
                <a:noFill/>
                <a:ln>
                  <a:noFill/>
                </a:ln>
                <a:effectLst/>
              </c:spPr>
              <c:showVal val="1"/>
              <c:showCatName val="1"/>
              <c:showPercent val="1"/>
              <c:extLst xmlns:c16r2="http://schemas.microsoft.com/office/drawing/2015/06/chart">
                <c:ext xmlns:c15="http://schemas.microsoft.com/office/drawing/2012/chart" uri="{CE6537A1-D6FC-4f65-9D91-7224C49458BB}">
                  <c15:layout>
                    <c:manualLayout>
                      <c:w val="0.10752688172043011"/>
                      <c:h val="0.1859799713876967"/>
                    </c:manualLayout>
                  </c15:layout>
                  <c15:dlblFieldTable/>
                  <c15:showDataLabelsRange val="0"/>
                </c:ext>
                <c:ext xmlns:c16="http://schemas.microsoft.com/office/drawing/2014/chart" uri="{C3380CC4-5D6E-409C-BE32-E72D297353CC}">
                  <c16:uniqueId val="{00000001-47AD-4A10-BAC8-BEF3A2533903}"/>
                </c:ext>
              </c:extLst>
            </c:dLbl>
            <c:dLbl>
              <c:idx val="1"/>
              <c:layout>
                <c:manualLayout>
                  <c:x val="8.452611971890614E-2"/>
                  <c:y val="-0.14143038987079415"/>
                </c:manualLayout>
              </c:layout>
              <c:tx>
                <c:rich>
                  <a:bodyPr/>
                  <a:lstStyle/>
                  <a:p>
                    <a:fld id="{135EE3F5-1438-492F-B908-974A3565F650}" type="CATEGORYNAME">
                      <a:rPr lang="sr-Cyrl-RS"/>
                      <a:pPr/>
                      <a:t>[CATEGORY NAME]</a:t>
                    </a:fld>
                    <a:r>
                      <a:rPr lang="sr-Cyrl-RS" baseline="0"/>
                      <a:t>, </a:t>
                    </a:r>
                    <a:fld id="{294E7960-6DA3-4392-94DA-49B889A42D39}" type="VALUE">
                      <a:rPr lang="sr-Cyrl-RS" baseline="0"/>
                      <a:pPr/>
                      <a:t>[VALUE]</a:t>
                    </a:fld>
                    <a:endParaRPr lang="sr-Cyrl-RS" baseline="0"/>
                  </a:p>
                </c:rich>
              </c:tx>
              <c:showVal val="1"/>
              <c:showCatName val="1"/>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47AD-4A10-BAC8-BEF3A2533903}"/>
                </c:ext>
              </c:extLst>
            </c:dLbl>
            <c:dLbl>
              <c:idx val="2"/>
              <c:tx>
                <c:rich>
                  <a:bodyPr rot="0" spcFirstLastPara="1" vertOverflow="ellipsis" vert="horz" wrap="square" lIns="38100" tIns="19050" rIns="38100" bIns="19050" anchor="ctr" anchorCtr="1">
                    <a:no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632A7B62-FD9D-47E9-9147-C2AAE2B0F71A}" type="CATEGORYNAME">
                      <a:rPr lang="sr-Cyrl-RS" sz="1000"/>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t>[CATEGORY NAME]</a:t>
                    </a:fld>
                    <a:r>
                      <a:rPr lang="sr-Cyrl-RS" sz="1000" baseline="0"/>
                      <a:t>, </a:t>
                    </a:r>
                    <a:fld id="{F2C5D173-03EF-4AE6-9122-E77F6FF78766}" type="VALUE">
                      <a:rPr lang="sr-Cyrl-RS" sz="1000" baseline="0"/>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t>[VALUE]</a:t>
                    </a:fld>
                    <a:r>
                      <a:rPr lang="sr-Cyrl-RS" sz="1000" baseline="0"/>
                      <a:t> </a:t>
                    </a:r>
                  </a:p>
                </c:rich>
              </c:tx>
              <c:spPr>
                <a:noFill/>
                <a:ln>
                  <a:noFill/>
                </a:ln>
                <a:effectLst/>
              </c:spPr>
              <c:showVal val="1"/>
              <c:showCatName val="1"/>
              <c:showPercent val="1"/>
              <c:extLst xmlns:c16r2="http://schemas.microsoft.com/office/drawing/2015/06/chart">
                <c:ext xmlns:c15="http://schemas.microsoft.com/office/drawing/2012/chart" uri="{CE6537A1-D6FC-4f65-9D91-7224C49458BB}">
                  <c15:spPr xmlns:c15="http://schemas.microsoft.com/office/drawing/2012/chart">
                    <a:prstGeom prst="rect">
                      <a:avLst/>
                    </a:prstGeom>
                  </c15:spPr>
                  <c15:dlblFieldTable/>
                  <c15:showDataLabelsRange val="0"/>
                </c:ext>
                <c:ext xmlns:c16="http://schemas.microsoft.com/office/drawing/2014/chart" uri="{C3380CC4-5D6E-409C-BE32-E72D297353CC}">
                  <c16:uniqueId val="{00000005-47AD-4A10-BAC8-BEF3A2533903}"/>
                </c:ext>
              </c:extLst>
            </c:dLbl>
            <c:dLbl>
              <c:idx val="3"/>
              <c:layout>
                <c:manualLayout>
                  <c:x val="8.6021505376343357E-3"/>
                  <c:y val="7.1530758226037196E-3"/>
                </c:manualLayout>
              </c:layout>
              <c:tx>
                <c:rich>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fld id="{902E4D55-BAC7-4718-B2F6-57EEF4D15F4B}" type="CATEGORYNAME">
                      <a:rPr lang="sr-Cyrl-RS" sz="1000">
                        <a:solidFill>
                          <a:sysClr val="windowText" lastClr="000000"/>
                        </a:solidFill>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[CATEGORY NAME]</a:t>
                    </a:fld>
                    <a:r>
                      <a:rPr lang="sr-Cyrl-RS" sz="1000" baseline="0">
                        <a:solidFill>
                          <a:sysClr val="windowText" lastClr="000000"/>
                        </a:solidFill>
                      </a:rPr>
                      <a:t>, </a:t>
                    </a:r>
                    <a:fld id="{091156BB-A318-4029-8728-7E38064B6BD8}" type="VALUE">
                      <a:rPr lang="sr-Cyrl-RS" sz="1000" baseline="0">
                        <a:solidFill>
                          <a:sysClr val="windowText" lastClr="000000"/>
                        </a:solidFill>
                      </a:rPr>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t>[VALUE]</a:t>
                    </a:fld>
                    <a:endParaRPr lang="sr-Cyrl-RS" sz="1000" baseline="0">
                      <a:solidFill>
                        <a:sysClr val="windowText" lastClr="000000"/>
                      </a:solidFill>
                    </a:endParaRPr>
                  </a:p>
                </c:rich>
              </c:tx>
              <c:spPr>
                <a:noFill/>
                <a:ln>
                  <a:noFill/>
                </a:ln>
                <a:effectLst/>
              </c:spPr>
              <c:showVal val="1"/>
              <c:showCatName val="1"/>
              <c:showPercent val="1"/>
              <c:extLst xmlns:c16r2="http://schemas.microsoft.com/office/drawing/2015/06/chart">
                <c:ext xmlns:c15="http://schemas.microsoft.com/office/drawing/2012/chart" uri="{CE6537A1-D6FC-4f65-9D91-7224C49458BB}">
                  <c15:layout>
                    <c:manualLayout>
                      <c:w val="0.26397849462365591"/>
                      <c:h val="0.15021459227467812"/>
                    </c:manualLayout>
                  </c15:layout>
                  <c15:dlblFieldTable/>
                  <c15:showDataLabelsRange val="0"/>
                </c:ext>
                <c:ext xmlns:c16="http://schemas.microsoft.com/office/drawing/2014/chart" uri="{C3380CC4-5D6E-409C-BE32-E72D297353CC}">
                  <c16:uniqueId val="{00000007-47AD-4A10-BAC8-BEF3A253390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Да</c:v>
                </c:pt>
                <c:pt idx="1">
                  <c:v>Не, требало би да има већу пажњу</c:v>
                </c:pt>
                <c:pt idx="2">
                  <c:v>Не знам</c:v>
                </c:pt>
                <c:pt idx="3">
                  <c:v>Без одговора</c:v>
                </c:pt>
              </c:strCache>
            </c:strRef>
          </c:cat>
          <c:val>
            <c:numRef>
              <c:f>Sheet1!$B$2:$B$5</c:f>
              <c:numCache>
                <c:formatCode>0.0%</c:formatCode>
                <c:ptCount val="4"/>
                <c:pt idx="0">
                  <c:v>0.29100000000000009</c:v>
                </c:pt>
                <c:pt idx="1">
                  <c:v>0.48700000000000015</c:v>
                </c:pt>
                <c:pt idx="2">
                  <c:v>0.21100000000000005</c:v>
                </c:pt>
                <c:pt idx="3">
                  <c:v>1.0999999999999998E-2</c:v>
                </c:pt>
              </c:numCache>
            </c:numRef>
          </c:val>
          <c:extLst xmlns:c16r2="http://schemas.microsoft.com/office/drawing/2015/06/chart">
            <c:ext xmlns:c16="http://schemas.microsoft.com/office/drawing/2014/chart" uri="{C3380CC4-5D6E-409C-BE32-E72D297353CC}">
              <c16:uniqueId val="{00000008-47AD-4A10-BAC8-BEF3A2533903}"/>
            </c:ext>
          </c:extLst>
        </c:ser>
        <c:dLbls>
          <c:showCatName val="1"/>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26.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довољно заступљени</c:v>
                </c:pt>
              </c:strCache>
            </c:strRef>
          </c:tx>
          <c:spPr>
            <a:solidFill>
              <a:schemeClr val="accent1">
                <a:alpha val="70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деца</c:v>
                </c:pt>
                <c:pt idx="1">
                  <c:v>млади</c:v>
                </c:pt>
                <c:pt idx="2">
                  <c:v>стари</c:v>
                </c:pt>
                <c:pt idx="3">
                  <c:v>етничке заједнице</c:v>
                </c:pt>
                <c:pt idx="4">
                  <c:v>рурално становништво</c:v>
                </c:pt>
                <c:pt idx="5">
                  <c:v>особе са инвалидитетом</c:v>
                </c:pt>
              </c:strCache>
            </c:strRef>
          </c:cat>
          <c:val>
            <c:numRef>
              <c:f>Sheet1!$B$2:$B$7</c:f>
              <c:numCache>
                <c:formatCode>0.00%</c:formatCode>
                <c:ptCount val="6"/>
                <c:pt idx="0">
                  <c:v>0.37700000000000011</c:v>
                </c:pt>
                <c:pt idx="1">
                  <c:v>0.254</c:v>
                </c:pt>
                <c:pt idx="2">
                  <c:v>0.24900000000000005</c:v>
                </c:pt>
                <c:pt idx="3">
                  <c:v>0.21900000000000006</c:v>
                </c:pt>
                <c:pt idx="4">
                  <c:v>0.11700000000000002</c:v>
                </c:pt>
                <c:pt idx="5">
                  <c:v>5.1000000000000004E-2</c:v>
                </c:pt>
              </c:numCache>
            </c:numRef>
          </c:val>
          <c:extLst xmlns:c16r2="http://schemas.microsoft.com/office/drawing/2015/06/chart">
            <c:ext xmlns:c16="http://schemas.microsoft.com/office/drawing/2014/chart" uri="{C3380CC4-5D6E-409C-BE32-E72D297353CC}">
              <c16:uniqueId val="{00000000-A8FA-407F-939F-24DE227413C6}"/>
            </c:ext>
          </c:extLst>
        </c:ser>
        <c:ser>
          <c:idx val="1"/>
          <c:order val="1"/>
          <c:tx>
            <c:strRef>
              <c:f>Sheet1!$C$1</c:f>
              <c:strCache>
                <c:ptCount val="1"/>
                <c:pt idx="0">
                  <c:v>недовољно заступљени</c:v>
                </c:pt>
              </c:strCache>
            </c:strRef>
          </c:tx>
          <c:spPr>
            <a:solidFill>
              <a:schemeClr val="accent2">
                <a:alpha val="70000"/>
              </a:schemeClr>
            </a:solidFill>
            <a:ln>
              <a:noFill/>
            </a:ln>
            <a:effectLst/>
          </c:spPr>
          <c:dLbls>
            <c:spPr>
              <a:noFill/>
              <a:ln>
                <a:noFill/>
              </a:ln>
              <a:effectLst/>
            </c:spPr>
            <c:txPr>
              <a:bodyPr rot="-540000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деца</c:v>
                </c:pt>
                <c:pt idx="1">
                  <c:v>млади</c:v>
                </c:pt>
                <c:pt idx="2">
                  <c:v>стари</c:v>
                </c:pt>
                <c:pt idx="3">
                  <c:v>етничке заједнице</c:v>
                </c:pt>
                <c:pt idx="4">
                  <c:v>рурално становништво</c:v>
                </c:pt>
                <c:pt idx="5">
                  <c:v>особе са инвалидитетом</c:v>
                </c:pt>
              </c:strCache>
            </c:strRef>
          </c:cat>
          <c:val>
            <c:numRef>
              <c:f>Sheet1!$C$2:$C$7</c:f>
              <c:numCache>
                <c:formatCode>0.00%</c:formatCode>
                <c:ptCount val="6"/>
                <c:pt idx="0">
                  <c:v>0.44700000000000001</c:v>
                </c:pt>
                <c:pt idx="1">
                  <c:v>0.54600000000000004</c:v>
                </c:pt>
                <c:pt idx="2">
                  <c:v>0.44400000000000001</c:v>
                </c:pt>
                <c:pt idx="3">
                  <c:v>0.27500000000000002</c:v>
                </c:pt>
                <c:pt idx="4">
                  <c:v>0.37900000000000011</c:v>
                </c:pt>
                <c:pt idx="5">
                  <c:v>0.39800000000000013</c:v>
                </c:pt>
              </c:numCache>
            </c:numRef>
          </c:val>
          <c:extLst xmlns:c16r2="http://schemas.microsoft.com/office/drawing/2015/06/chart">
            <c:ext xmlns:c16="http://schemas.microsoft.com/office/drawing/2014/chart" uri="{C3380CC4-5D6E-409C-BE32-E72D297353CC}">
              <c16:uniqueId val="{00000001-A8FA-407F-939F-24DE227413C6}"/>
            </c:ext>
          </c:extLst>
        </c:ser>
        <c:dLbls>
          <c:showVal val="1"/>
        </c:dLbls>
        <c:gapWidth val="80"/>
        <c:overlap val="25"/>
        <c:axId val="114614272"/>
        <c:axId val="114615808"/>
      </c:barChart>
      <c:catAx>
        <c:axId val="114614272"/>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cap="none" spc="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615808"/>
        <c:crosses val="autoZero"/>
        <c:auto val="1"/>
        <c:lblAlgn val="ctr"/>
        <c:lblOffset val="100"/>
      </c:catAx>
      <c:valAx>
        <c:axId val="114615808"/>
        <c:scaling>
          <c:orientation val="minMax"/>
        </c:scaling>
        <c:delete val="1"/>
        <c:axPos val="l"/>
        <c:majorGridlines>
          <c:spPr>
            <a:ln w="9525" cap="flat" cmpd="sng" algn="ctr">
              <a:solidFill>
                <a:schemeClr val="tx1">
                  <a:lumMod val="5000"/>
                  <a:lumOff val="95000"/>
                </a:schemeClr>
              </a:solidFill>
              <a:round/>
            </a:ln>
            <a:effectLst/>
          </c:spPr>
        </c:majorGridlines>
        <c:numFmt formatCode="0.00%" sourceLinked="1"/>
        <c:majorTickMark val="none"/>
        <c:tickLblPos val="none"/>
        <c:crossAx val="1146142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dLbl>
              <c:idx val="0"/>
              <c:layout>
                <c:manualLayout>
                  <c:x val="-2.2038567493112755E-3"/>
                  <c:y val="-1.737051618547681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3C3-48C6-8BD5-916C25EB2EB7}"/>
                </c:ext>
              </c:extLst>
            </c:dLbl>
            <c:dLbl>
              <c:idx val="3"/>
              <c:layout>
                <c:manualLayout>
                  <c:x val="-8.8154269972453552E-3"/>
                  <c:y val="-8.913385826771657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3C3-48C6-8BD5-916C25EB2EB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Врло развијен културни живот</c:v>
                </c:pt>
                <c:pt idx="1">
                  <c:v>Понекад се нешто организује</c:v>
                </c:pt>
                <c:pt idx="2">
                  <c:v>Врло ретко се нешто организује</c:v>
                </c:pt>
                <c:pt idx="3">
                  <c:v>Не постоји никаква културна понуда</c:v>
                </c:pt>
              </c:strCache>
            </c:strRef>
          </c:cat>
          <c:val>
            <c:numRef>
              <c:f>Sheet1!$B$2:$B$5</c:f>
              <c:numCache>
                <c:formatCode>0.0%</c:formatCode>
                <c:ptCount val="4"/>
                <c:pt idx="0">
                  <c:v>6.9000000000000034E-2</c:v>
                </c:pt>
                <c:pt idx="1">
                  <c:v>0.49700000000000011</c:v>
                </c:pt>
                <c:pt idx="2">
                  <c:v>0.25600000000000001</c:v>
                </c:pt>
                <c:pt idx="3">
                  <c:v>4.5000000000000012E-2</c:v>
                </c:pt>
              </c:numCache>
            </c:numRef>
          </c:val>
          <c:extLst xmlns:c16r2="http://schemas.microsoft.com/office/drawing/2015/06/chart">
            <c:ext xmlns:c16="http://schemas.microsoft.com/office/drawing/2014/chart" uri="{C3380CC4-5D6E-409C-BE32-E72D297353CC}">
              <c16:uniqueId val="{00000002-23C3-48C6-8BD5-916C25EB2EB7}"/>
            </c:ext>
          </c:extLst>
        </c:ser>
        <c:dLbls>
          <c:showVal val="1"/>
        </c:dLbls>
        <c:gapWidth val="100"/>
        <c:overlap val="-24"/>
        <c:axId val="147745024"/>
        <c:axId val="147779584"/>
      </c:barChart>
      <c:catAx>
        <c:axId val="14774502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7779584"/>
        <c:crosses val="autoZero"/>
        <c:auto val="1"/>
        <c:lblAlgn val="ctr"/>
        <c:lblOffset val="100"/>
      </c:catAx>
      <c:valAx>
        <c:axId val="147779584"/>
        <c:scaling>
          <c:orientation val="minMax"/>
        </c:scaling>
        <c:delete val="1"/>
        <c:axPos val="l"/>
        <c:numFmt formatCode="0.0%" sourceLinked="1"/>
        <c:majorTickMark val="none"/>
        <c:tickLblPos val="none"/>
        <c:crossAx val="147745024"/>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до 30 година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dLbl>
              <c:idx val="0"/>
              <c:layout>
                <c:manualLayout>
                  <c:x val="-2.1436227224008592E-2"/>
                  <c:y val="2.7672955974842785E-2"/>
                </c:manualLayout>
              </c:layout>
              <c:tx>
                <c:rich>
                  <a:bodyPr/>
                  <a:lstStyle/>
                  <a:p>
                    <a:r>
                      <a:rPr lang="en-US"/>
                      <a:t>28.7%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A4C-4235-BFCF-355D68D2AD7D}"/>
                </c:ext>
              </c:extLst>
            </c:dLbl>
            <c:dLbl>
              <c:idx val="1"/>
              <c:layout>
                <c:manualLayout>
                  <c:x val="4.2872454448017183E-3"/>
                  <c:y val="-2.515723270440252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A4C-4235-BFCF-355D68D2AD7D}"/>
                </c:ext>
              </c:extLst>
            </c:dLbl>
            <c:dLbl>
              <c:idx val="2"/>
              <c:layout>
                <c:manualLayout>
                  <c:x val="-2.5723472668810296E-2"/>
                  <c:y val="1.2578616352201255E-2"/>
                </c:manualLayout>
              </c:layout>
              <c:tx>
                <c:rich>
                  <a:bodyPr/>
                  <a:lstStyle/>
                  <a:p>
                    <a:r>
                      <a:rPr lang="en-US"/>
                      <a:t>23.3%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A4C-4235-BFCF-355D68D2AD7D}"/>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A4C-4235-BFCF-355D68D2AD7D}"/>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A4C-4235-BFCF-355D68D2AD7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концерти домаћих извођача</c:v>
                </c:pt>
                <c:pt idx="1">
                  <c:v>фестивали</c:v>
                </c:pt>
                <c:pt idx="2">
                  <c:v>концерти страних извођача</c:v>
                </c:pt>
                <c:pt idx="3">
                  <c:v>програми на селу</c:v>
                </c:pt>
                <c:pt idx="4">
                  <c:v>фолклорне приредбе</c:v>
                </c:pt>
              </c:strCache>
            </c:strRef>
          </c:cat>
          <c:val>
            <c:numRef>
              <c:f>Sheet1!$B$2:$B$6</c:f>
              <c:numCache>
                <c:formatCode>0%</c:formatCode>
                <c:ptCount val="5"/>
                <c:pt idx="0" formatCode="0.00%">
                  <c:v>0.28700000000000009</c:v>
                </c:pt>
                <c:pt idx="1">
                  <c:v>0.24000000000000005</c:v>
                </c:pt>
                <c:pt idx="2" formatCode="0.00%">
                  <c:v>0.23300000000000001</c:v>
                </c:pt>
                <c:pt idx="3">
                  <c:v>0</c:v>
                </c:pt>
                <c:pt idx="4">
                  <c:v>0</c:v>
                </c:pt>
              </c:numCache>
            </c:numRef>
          </c:val>
          <c:extLst xmlns:c16r2="http://schemas.microsoft.com/office/drawing/2015/06/chart">
            <c:ext xmlns:c16="http://schemas.microsoft.com/office/drawing/2014/chart" uri="{C3380CC4-5D6E-409C-BE32-E72D297353CC}">
              <c16:uniqueId val="{00000005-9A4C-4235-BFCF-355D68D2AD7D}"/>
            </c:ext>
          </c:extLst>
        </c:ser>
        <c:ser>
          <c:idx val="1"/>
          <c:order val="1"/>
          <c:tx>
            <c:strRef>
              <c:f>Sheet1!$C$1</c:f>
              <c:strCache>
                <c:ptCount val="1"/>
                <c:pt idx="0">
                  <c:v>30 - 49 година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dLbl>
              <c:idx val="0"/>
              <c:layout>
                <c:manualLayout>
                  <c:x val="1.3029315960912058E-2"/>
                  <c:y val="3.4120734908136469E-2"/>
                </c:manualLayout>
              </c:layout>
              <c:tx>
                <c:rich>
                  <a:bodyPr/>
                  <a:lstStyle/>
                  <a:p>
                    <a:r>
                      <a:rPr lang="en-US"/>
                      <a:t>31.3%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A4C-4235-BFCF-355D68D2AD7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A4C-4235-BFCF-355D68D2AD7D}"/>
                </c:ext>
              </c:extLst>
            </c:dLbl>
            <c:dLbl>
              <c:idx val="2"/>
              <c:layout>
                <c:manualLayout>
                  <c:x val="1.9460212168012681E-2"/>
                  <c:y val="5.2196305650472957E-3"/>
                </c:manualLayout>
              </c:layout>
              <c:tx>
                <c:rich>
                  <a:bodyPr/>
                  <a:lstStyle/>
                  <a:p>
                    <a:r>
                      <a:rPr lang="en-US"/>
                      <a:t>21.7%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A4C-4235-BFCF-355D68D2AD7D}"/>
                </c:ext>
              </c:extLst>
            </c:dLbl>
            <c:dLbl>
              <c:idx val="3"/>
              <c:layout>
                <c:manualLayout>
                  <c:x val="-4.2872454448017964E-3"/>
                  <c:y val="7.5471698113207105E-3"/>
                </c:manualLayout>
              </c:layout>
              <c:tx>
                <c:rich>
                  <a:bodyPr/>
                  <a:lstStyle/>
                  <a:p>
                    <a:r>
                      <a:rPr lang="en-US"/>
                      <a:t>21.7%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A4C-4235-BFCF-355D68D2AD7D}"/>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A4C-4235-BFCF-355D68D2AD7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концерти домаћих извођача</c:v>
                </c:pt>
                <c:pt idx="1">
                  <c:v>фестивали</c:v>
                </c:pt>
                <c:pt idx="2">
                  <c:v>концерти страних извођача</c:v>
                </c:pt>
                <c:pt idx="3">
                  <c:v>програми на селу</c:v>
                </c:pt>
                <c:pt idx="4">
                  <c:v>фолклорне приредбе</c:v>
                </c:pt>
              </c:strCache>
            </c:strRef>
          </c:cat>
          <c:val>
            <c:numRef>
              <c:f>Sheet1!$C$2:$C$6</c:f>
              <c:numCache>
                <c:formatCode>0%</c:formatCode>
                <c:ptCount val="5"/>
                <c:pt idx="0" formatCode="0.00%">
                  <c:v>0.31300000000000011</c:v>
                </c:pt>
                <c:pt idx="1">
                  <c:v>0</c:v>
                </c:pt>
                <c:pt idx="2" formatCode="0.00%">
                  <c:v>0.21700000000000005</c:v>
                </c:pt>
                <c:pt idx="3" formatCode="0.00%">
                  <c:v>0.21700000000000005</c:v>
                </c:pt>
                <c:pt idx="4">
                  <c:v>0</c:v>
                </c:pt>
              </c:numCache>
            </c:numRef>
          </c:val>
          <c:extLst xmlns:c16r2="http://schemas.microsoft.com/office/drawing/2015/06/chart">
            <c:ext xmlns:c16="http://schemas.microsoft.com/office/drawing/2014/chart" uri="{C3380CC4-5D6E-409C-BE32-E72D297353CC}">
              <c16:uniqueId val="{0000000B-9A4C-4235-BFCF-355D68D2AD7D}"/>
            </c:ext>
          </c:extLst>
        </c:ser>
        <c:ser>
          <c:idx val="2"/>
          <c:order val="2"/>
          <c:tx>
            <c:strRef>
              <c:f>Sheet1!$D$1</c:f>
              <c:strCache>
                <c:ptCount val="1"/>
                <c:pt idx="0">
                  <c:v>50 + година</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dLbl>
              <c:idx val="0"/>
              <c:layout>
                <c:manualLayout>
                  <c:x val="8.5744908896034176E-3"/>
                  <c:y val="1.257861635220125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A4C-4235-BFCF-355D68D2AD7D}"/>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A4C-4235-BFCF-355D68D2AD7D}"/>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A4C-4235-BFCF-355D68D2AD7D}"/>
                </c:ext>
              </c:extLst>
            </c:dLbl>
            <c:dLbl>
              <c:idx val="3"/>
              <c:layout>
                <c:manualLayout>
                  <c:x val="0"/>
                  <c:y val="2.5157232704402402E-3"/>
                </c:manualLayout>
              </c:layout>
              <c:tx>
                <c:rich>
                  <a:bodyPr/>
                  <a:lstStyle/>
                  <a:p>
                    <a:r>
                      <a:rPr lang="en-US"/>
                      <a:t>34.3%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A4C-4235-BFCF-355D68D2AD7D}"/>
                </c:ext>
              </c:extLst>
            </c:dLbl>
            <c:dLbl>
              <c:idx val="4"/>
              <c:layout>
                <c:manualLayout>
                  <c:x val="0"/>
                  <c:y val="3.2704402515723291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A4C-4235-BFCF-355D68D2AD7D}"/>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концерти домаћих извођача</c:v>
                </c:pt>
                <c:pt idx="1">
                  <c:v>фестивали</c:v>
                </c:pt>
                <c:pt idx="2">
                  <c:v>концерти страних извођача</c:v>
                </c:pt>
                <c:pt idx="3">
                  <c:v>програми на селу</c:v>
                </c:pt>
                <c:pt idx="4">
                  <c:v>фолклорне приредбе</c:v>
                </c:pt>
              </c:strCache>
            </c:strRef>
          </c:cat>
          <c:val>
            <c:numRef>
              <c:f>Sheet1!$D$2:$D$6</c:f>
              <c:numCache>
                <c:formatCode>0%</c:formatCode>
                <c:ptCount val="5"/>
                <c:pt idx="0">
                  <c:v>0.2</c:v>
                </c:pt>
                <c:pt idx="1">
                  <c:v>0</c:v>
                </c:pt>
                <c:pt idx="2">
                  <c:v>0</c:v>
                </c:pt>
                <c:pt idx="3" formatCode="0.00%">
                  <c:v>0.34300000000000008</c:v>
                </c:pt>
                <c:pt idx="4">
                  <c:v>0.21000000000000005</c:v>
                </c:pt>
              </c:numCache>
            </c:numRef>
          </c:val>
          <c:extLst xmlns:c16r2="http://schemas.microsoft.com/office/drawing/2015/06/chart">
            <c:ext xmlns:c16="http://schemas.microsoft.com/office/drawing/2014/chart" uri="{C3380CC4-5D6E-409C-BE32-E72D297353CC}">
              <c16:uniqueId val="{00000011-9A4C-4235-BFCF-355D68D2AD7D}"/>
            </c:ext>
          </c:extLst>
        </c:ser>
        <c:dLbls>
          <c:showVal val="1"/>
        </c:dLbls>
        <c:gapWidth val="100"/>
        <c:overlap val="-24"/>
        <c:axId val="148001536"/>
        <c:axId val="148003072"/>
      </c:barChart>
      <c:catAx>
        <c:axId val="14800153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8003072"/>
        <c:crosses val="autoZero"/>
        <c:auto val="1"/>
        <c:lblAlgn val="ctr"/>
        <c:lblOffset val="100"/>
      </c:catAx>
      <c:valAx>
        <c:axId val="148003072"/>
        <c:scaling>
          <c:orientation val="minMax"/>
        </c:scaling>
        <c:delete val="1"/>
        <c:axPos val="l"/>
        <c:numFmt formatCode="0.00%" sourceLinked="1"/>
        <c:majorTickMark val="none"/>
        <c:tickLblPos val="none"/>
        <c:crossAx val="1480015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основно образовање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dLbl>
              <c:idx val="0"/>
              <c:layout>
                <c:manualLayout>
                  <c:x val="-2.1333333333333352E-3"/>
                  <c:y val="2.4691358024691374E-2"/>
                </c:manualLayout>
              </c:layout>
              <c:tx>
                <c:rich>
                  <a:bodyPr/>
                  <a:lstStyle/>
                  <a:p>
                    <a:r>
                      <a:rPr lang="en-US"/>
                      <a:t>20.8%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8CD-484F-9C2D-9B7C38A7AFFB}"/>
                </c:ext>
              </c:extLst>
            </c:dLbl>
            <c:dLbl>
              <c:idx val="1"/>
              <c:layout>
                <c:manualLayout>
                  <c:x val="1.919999999999996E-2"/>
                  <c:y val="2.743484224965708E-3"/>
                </c:manualLayout>
              </c:layout>
              <c:tx>
                <c:rich>
                  <a:bodyPr/>
                  <a:lstStyle/>
                  <a:p>
                    <a:r>
                      <a:rPr lang="en-US"/>
                      <a:t>19.4%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8CD-484F-9C2D-9B7C38A7AFFB}"/>
                </c:ext>
              </c:extLst>
            </c:dLbl>
            <c:dLbl>
              <c:idx val="2"/>
              <c:layout>
                <c:manualLayout>
                  <c:x val="4.2666666666666304E-3"/>
                  <c:y val="-1.9204389574759947E-2"/>
                </c:manualLayout>
              </c:layout>
              <c:tx>
                <c:rich>
                  <a:bodyPr/>
                  <a:lstStyle/>
                  <a:p>
                    <a:r>
                      <a:rPr lang="en-US"/>
                      <a:t>19.4%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8CD-484F-9C2D-9B7C38A7AFF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8CD-484F-9C2D-9B7C38A7AFFB}"/>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58CD-484F-9C2D-9B7C38A7AFFB}"/>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8CD-484F-9C2D-9B7C38A7AFF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Sheet1!$A$2:$A$7</c:f>
              <c:strCache>
                <c:ptCount val="6"/>
                <c:pt idx="0">
                  <c:v>концерти домаћих извођача</c:v>
                </c:pt>
                <c:pt idx="1">
                  <c:v>позоришне представе</c:v>
                </c:pt>
                <c:pt idx="2">
                  <c:v>фолклорне приредбе</c:v>
                </c:pt>
                <c:pt idx="3">
                  <c:v>концерти страних извођача</c:v>
                </c:pt>
                <c:pt idx="4">
                  <c:v>програми на селу</c:v>
                </c:pt>
                <c:pt idx="5">
                  <c:v>фестивали</c:v>
                </c:pt>
              </c:strCache>
            </c:strRef>
          </c:cat>
          <c:val>
            <c:numRef>
              <c:f>Sheet1!$B$2:$B$7</c:f>
              <c:numCache>
                <c:formatCode>0.00%</c:formatCode>
                <c:ptCount val="6"/>
                <c:pt idx="0">
                  <c:v>0.20800000000000005</c:v>
                </c:pt>
                <c:pt idx="1">
                  <c:v>0.19400000000000001</c:v>
                </c:pt>
                <c:pt idx="2">
                  <c:v>0.19400000000000001</c:v>
                </c:pt>
                <c:pt idx="3" formatCode="0%">
                  <c:v>0</c:v>
                </c:pt>
                <c:pt idx="4" formatCode="0%">
                  <c:v>0</c:v>
                </c:pt>
                <c:pt idx="5" formatCode="0%">
                  <c:v>0</c:v>
                </c:pt>
              </c:numCache>
            </c:numRef>
          </c:val>
          <c:extLst xmlns:c16r2="http://schemas.microsoft.com/office/drawing/2015/06/chart">
            <c:ext xmlns:c16="http://schemas.microsoft.com/office/drawing/2014/chart" uri="{C3380CC4-5D6E-409C-BE32-E72D297353CC}">
              <c16:uniqueId val="{00000006-58CD-484F-9C2D-9B7C38A7AFFB}"/>
            </c:ext>
          </c:extLst>
        </c:ser>
        <c:ser>
          <c:idx val="1"/>
          <c:order val="1"/>
          <c:tx>
            <c:strRef>
              <c:f>Sheet1!$C$1</c:f>
              <c:strCache>
                <c:ptCount val="1"/>
                <c:pt idx="0">
                  <c:v>средње образовање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dLbl>
              <c:idx val="0"/>
              <c:layout>
                <c:manualLayout>
                  <c:x val="-1.2800000000000013E-2"/>
                  <c:y val="1.1343335169523561E-2"/>
                </c:manualLayout>
              </c:layout>
              <c:tx>
                <c:rich>
                  <a:bodyPr/>
                  <a:lstStyle/>
                  <a:p>
                    <a:r>
                      <a:rPr lang="en-US"/>
                      <a:t>28.5%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8CD-484F-9C2D-9B7C38A7AFF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58CD-484F-9C2D-9B7C38A7AFFB}"/>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8CD-484F-9C2D-9B7C38A7AFFB}"/>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58CD-484F-9C2D-9B7C38A7AFFB}"/>
                </c:ext>
              </c:extLst>
            </c:dLbl>
            <c:dLbl>
              <c:idx val="4"/>
              <c:layout>
                <c:manualLayout>
                  <c:x val="1.9199999999999998E-2"/>
                  <c:y val="1.3717421124828533E-2"/>
                </c:manualLayout>
              </c:layout>
              <c:tx>
                <c:rich>
                  <a:bodyPr/>
                  <a:lstStyle/>
                  <a:p>
                    <a:r>
                      <a:rPr lang="en-US"/>
                      <a:t>27.9%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58CD-484F-9C2D-9B7C38A7AFFB}"/>
                </c:ext>
              </c:extLst>
            </c:dLbl>
            <c:dLbl>
              <c:idx val="5"/>
              <c:layout>
                <c:manualLayout>
                  <c:x val="8.5333333333331759E-3"/>
                  <c:y val="1.3717421124828533E-2"/>
                </c:manualLayout>
              </c:layout>
              <c:tx>
                <c:rich>
                  <a:bodyPr/>
                  <a:lstStyle/>
                  <a:p>
                    <a:r>
                      <a:rPr lang="en-US"/>
                      <a:t>22.1%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58CD-484F-9C2D-9B7C38A7AFF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Sheet1!$A$2:$A$7</c:f>
              <c:strCache>
                <c:ptCount val="6"/>
                <c:pt idx="0">
                  <c:v>концерти домаћих извођача</c:v>
                </c:pt>
                <c:pt idx="1">
                  <c:v>позоришне представе</c:v>
                </c:pt>
                <c:pt idx="2">
                  <c:v>фолклорне приредбе</c:v>
                </c:pt>
                <c:pt idx="3">
                  <c:v>концерти страних извођача</c:v>
                </c:pt>
                <c:pt idx="4">
                  <c:v>програми на селу</c:v>
                </c:pt>
                <c:pt idx="5">
                  <c:v>фестивали</c:v>
                </c:pt>
              </c:strCache>
            </c:strRef>
          </c:cat>
          <c:val>
            <c:numRef>
              <c:f>Sheet1!$C$2:$C$7</c:f>
              <c:numCache>
                <c:formatCode>0%</c:formatCode>
                <c:ptCount val="6"/>
                <c:pt idx="0" formatCode="0.00%">
                  <c:v>0.28500000000000009</c:v>
                </c:pt>
                <c:pt idx="1">
                  <c:v>0</c:v>
                </c:pt>
                <c:pt idx="2">
                  <c:v>0</c:v>
                </c:pt>
                <c:pt idx="3">
                  <c:v>0</c:v>
                </c:pt>
                <c:pt idx="4" formatCode="0.00%">
                  <c:v>0.27900000000000008</c:v>
                </c:pt>
                <c:pt idx="5" formatCode="0.00%">
                  <c:v>0.221</c:v>
                </c:pt>
              </c:numCache>
            </c:numRef>
          </c:val>
          <c:extLst xmlns:c16r2="http://schemas.microsoft.com/office/drawing/2015/06/chart">
            <c:ext xmlns:c16="http://schemas.microsoft.com/office/drawing/2014/chart" uri="{C3380CC4-5D6E-409C-BE32-E72D297353CC}">
              <c16:uniqueId val="{0000000D-58CD-484F-9C2D-9B7C38A7AFFB}"/>
            </c:ext>
          </c:extLst>
        </c:ser>
        <c:ser>
          <c:idx val="2"/>
          <c:order val="2"/>
          <c:tx>
            <c:strRef>
              <c:f>Sheet1!$D$1</c:f>
              <c:strCache>
                <c:ptCount val="1"/>
                <c:pt idx="0">
                  <c:v>више и високо образовање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dLbls>
            <c:dLbl>
              <c:idx val="0"/>
              <c:layout>
                <c:manualLayout>
                  <c:x val="2.9866666666666666E-2"/>
                  <c:y val="1.3717421124828521E-2"/>
                </c:manualLayout>
              </c:layout>
              <c:tx>
                <c:rich>
                  <a:bodyPr/>
                  <a:lstStyle/>
                  <a:p>
                    <a:r>
                      <a:rPr lang="en-US"/>
                      <a:t>25.8%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58CD-484F-9C2D-9B7C38A7AFFB}"/>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58CD-484F-9C2D-9B7C38A7AFFB}"/>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58CD-484F-9C2D-9B7C38A7AFFB}"/>
                </c:ext>
              </c:extLst>
            </c:dLbl>
            <c:dLbl>
              <c:idx val="3"/>
              <c:layout>
                <c:manualLayout>
                  <c:x val="6.4000000000000801E-3"/>
                  <c:y val="2.7434842249656958E-3"/>
                </c:manualLayout>
              </c:layout>
              <c:tx>
                <c:rich>
                  <a:bodyPr/>
                  <a:lstStyle/>
                  <a:p>
                    <a:r>
                      <a:rPr lang="en-US"/>
                      <a:t>24.9%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58CD-484F-9C2D-9B7C38A7AFFB}"/>
                </c:ext>
              </c:extLst>
            </c:dLbl>
            <c:dLbl>
              <c:idx val="4"/>
              <c:layout>
                <c:manualLayout>
                  <c:x val="1.2799999999999838E-2"/>
                  <c:y val="4.1152263374485583E-2"/>
                </c:manualLayout>
              </c:layout>
              <c:tx>
                <c:rich>
                  <a:bodyPr/>
                  <a:lstStyle/>
                  <a:p>
                    <a:r>
                      <a:rPr lang="en-US"/>
                      <a:t>21.3%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58CD-484F-9C2D-9B7C38A7AFFB}"/>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58CD-484F-9C2D-9B7C38A7AFF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Sheet1!$A$2:$A$7</c:f>
              <c:strCache>
                <c:ptCount val="6"/>
                <c:pt idx="0">
                  <c:v>концерти домаћих извођача</c:v>
                </c:pt>
                <c:pt idx="1">
                  <c:v>позоришне представе</c:v>
                </c:pt>
                <c:pt idx="2">
                  <c:v>фолклорне приредбе</c:v>
                </c:pt>
                <c:pt idx="3">
                  <c:v>концерти страних извођача</c:v>
                </c:pt>
                <c:pt idx="4">
                  <c:v>програми на селу</c:v>
                </c:pt>
                <c:pt idx="5">
                  <c:v>фестивали</c:v>
                </c:pt>
              </c:strCache>
            </c:strRef>
          </c:cat>
          <c:val>
            <c:numRef>
              <c:f>Sheet1!$D$2:$D$7</c:f>
              <c:numCache>
                <c:formatCode>0%</c:formatCode>
                <c:ptCount val="6"/>
                <c:pt idx="0" formatCode="0.00%">
                  <c:v>0.25800000000000001</c:v>
                </c:pt>
                <c:pt idx="1">
                  <c:v>0</c:v>
                </c:pt>
                <c:pt idx="2">
                  <c:v>0</c:v>
                </c:pt>
                <c:pt idx="3" formatCode="0.00%">
                  <c:v>0.24900000000000005</c:v>
                </c:pt>
                <c:pt idx="4" formatCode="0.00%">
                  <c:v>0.21300000000000005</c:v>
                </c:pt>
                <c:pt idx="5">
                  <c:v>0</c:v>
                </c:pt>
              </c:numCache>
            </c:numRef>
          </c:val>
          <c:extLst xmlns:c16r2="http://schemas.microsoft.com/office/drawing/2015/06/chart">
            <c:ext xmlns:c16="http://schemas.microsoft.com/office/drawing/2014/chart" uri="{C3380CC4-5D6E-409C-BE32-E72D297353CC}">
              <c16:uniqueId val="{00000014-58CD-484F-9C2D-9B7C38A7AFFB}"/>
            </c:ext>
          </c:extLst>
        </c:ser>
        <c:dLbls>
          <c:showVal val="1"/>
        </c:dLbls>
        <c:gapWidth val="100"/>
        <c:overlap val="-24"/>
        <c:axId val="148067072"/>
        <c:axId val="148068608"/>
      </c:barChart>
      <c:catAx>
        <c:axId val="14806707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48068608"/>
        <c:crosses val="autoZero"/>
        <c:auto val="1"/>
        <c:lblAlgn val="ctr"/>
        <c:lblOffset val="100"/>
      </c:catAx>
      <c:valAx>
        <c:axId val="148068608"/>
        <c:scaling>
          <c:orientation val="minMax"/>
        </c:scaling>
        <c:delete val="1"/>
        <c:axPos val="l"/>
        <c:numFmt formatCode="0.00%" sourceLinked="1"/>
        <c:majorTickMark val="none"/>
        <c:tickLblPos val="none"/>
        <c:crossAx val="1480670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8010225284339537"/>
          <c:y val="3.4722222222222224E-2"/>
          <c:w val="0.79443478419364022"/>
          <c:h val="0.93200094779819265"/>
        </c:manualLayout>
      </c:layout>
      <c:barChart>
        <c:barDir val="bar"/>
        <c:grouping val="percentStacked"/>
        <c:ser>
          <c:idx val="0"/>
          <c:order val="0"/>
          <c:tx>
            <c:strRef>
              <c:f>Sheet1!$B$1</c:f>
              <c:strCache>
                <c:ptCount val="1"/>
                <c:pt idx="0">
                  <c:v>незавршена ОШ</c:v>
                </c:pt>
              </c:strCache>
            </c:strRef>
          </c:tx>
          <c:spPr>
            <a:solidFill>
              <a:schemeClr val="accent1"/>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Образовна структура</c:v>
                </c:pt>
              </c:strCache>
            </c:strRef>
          </c:cat>
          <c:val>
            <c:numRef>
              <c:f>Sheet1!$B$2</c:f>
              <c:numCache>
                <c:formatCode>0.0%</c:formatCode>
                <c:ptCount val="1"/>
                <c:pt idx="0">
                  <c:v>0.128</c:v>
                </c:pt>
              </c:numCache>
            </c:numRef>
          </c:val>
          <c:extLst xmlns:c16r2="http://schemas.microsoft.com/office/drawing/2015/06/chart">
            <c:ext xmlns:c16="http://schemas.microsoft.com/office/drawing/2014/chart" uri="{C3380CC4-5D6E-409C-BE32-E72D297353CC}">
              <c16:uniqueId val="{00000000-7A41-47F1-B207-D5F03BFE61A7}"/>
            </c:ext>
          </c:extLst>
        </c:ser>
        <c:ser>
          <c:idx val="1"/>
          <c:order val="1"/>
          <c:tx>
            <c:strRef>
              <c:f>Sheet1!$C$1</c:f>
              <c:strCache>
                <c:ptCount val="1"/>
                <c:pt idx="0">
                  <c:v>завршена ОШ</c:v>
                </c:pt>
              </c:strCache>
            </c:strRef>
          </c:tx>
          <c:spPr>
            <a:solidFill>
              <a:schemeClr val="accent2"/>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Образовна структура</c:v>
                </c:pt>
              </c:strCache>
            </c:strRef>
          </c:cat>
          <c:val>
            <c:numRef>
              <c:f>Sheet1!$C$2</c:f>
              <c:numCache>
                <c:formatCode>0.0%</c:formatCode>
                <c:ptCount val="1"/>
                <c:pt idx="0">
                  <c:v>0.23700000000000004</c:v>
                </c:pt>
              </c:numCache>
            </c:numRef>
          </c:val>
          <c:extLst xmlns:c16r2="http://schemas.microsoft.com/office/drawing/2015/06/chart">
            <c:ext xmlns:c16="http://schemas.microsoft.com/office/drawing/2014/chart" uri="{C3380CC4-5D6E-409C-BE32-E72D297353CC}">
              <c16:uniqueId val="{00000001-7A41-47F1-B207-D5F03BFE61A7}"/>
            </c:ext>
          </c:extLst>
        </c:ser>
        <c:ser>
          <c:idx val="2"/>
          <c:order val="2"/>
          <c:tx>
            <c:strRef>
              <c:f>Sheet1!$D$1</c:f>
              <c:strCache>
                <c:ptCount val="1"/>
                <c:pt idx="0">
                  <c:v>завршена СШ</c:v>
                </c:pt>
              </c:strCache>
            </c:strRef>
          </c:tx>
          <c:spPr>
            <a:solidFill>
              <a:schemeClr val="accent3"/>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Образовна структура</c:v>
                </c:pt>
              </c:strCache>
            </c:strRef>
          </c:cat>
          <c:val>
            <c:numRef>
              <c:f>Sheet1!$D$2</c:f>
              <c:numCache>
                <c:formatCode>0.0%</c:formatCode>
                <c:ptCount val="1"/>
                <c:pt idx="0">
                  <c:v>0.51</c:v>
                </c:pt>
              </c:numCache>
            </c:numRef>
          </c:val>
          <c:extLst xmlns:c16r2="http://schemas.microsoft.com/office/drawing/2015/06/chart">
            <c:ext xmlns:c16="http://schemas.microsoft.com/office/drawing/2014/chart" uri="{C3380CC4-5D6E-409C-BE32-E72D297353CC}">
              <c16:uniqueId val="{00000002-7A41-47F1-B207-D5F03BFE61A7}"/>
            </c:ext>
          </c:extLst>
        </c:ser>
        <c:ser>
          <c:idx val="3"/>
          <c:order val="3"/>
          <c:tx>
            <c:strRef>
              <c:f>Sheet1!$E$1</c:f>
              <c:strCache>
                <c:ptCount val="1"/>
                <c:pt idx="0">
                  <c:v>завршена ВШ</c:v>
                </c:pt>
              </c:strCache>
            </c:strRef>
          </c:tx>
          <c:spPr>
            <a:solidFill>
              <a:schemeClr val="accent4"/>
            </a:solidFill>
            <a:ln>
              <a:noFill/>
            </a:ln>
            <a:effectLst/>
          </c:spPr>
          <c:dLbls>
            <c:spPr>
              <a:noFill/>
              <a:ln>
                <a:noFill/>
              </a:ln>
              <a:effectLst/>
            </c:sp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Образовна структура</c:v>
                </c:pt>
              </c:strCache>
            </c:strRef>
          </c:cat>
          <c:val>
            <c:numRef>
              <c:f>Sheet1!$E$2</c:f>
              <c:numCache>
                <c:formatCode>0.0%</c:formatCode>
                <c:ptCount val="1"/>
                <c:pt idx="0">
                  <c:v>0.125</c:v>
                </c:pt>
              </c:numCache>
            </c:numRef>
          </c:val>
          <c:extLst xmlns:c16r2="http://schemas.microsoft.com/office/drawing/2015/06/chart">
            <c:ext xmlns:c16="http://schemas.microsoft.com/office/drawing/2014/chart" uri="{C3380CC4-5D6E-409C-BE32-E72D297353CC}">
              <c16:uniqueId val="{00000003-7A41-47F1-B207-D5F03BFE61A7}"/>
            </c:ext>
          </c:extLst>
        </c:ser>
        <c:gapWidth val="182"/>
        <c:overlap val="100"/>
        <c:axId val="112898432"/>
        <c:axId val="112899968"/>
      </c:barChart>
      <c:catAx>
        <c:axId val="11289843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2899968"/>
        <c:crosses val="autoZero"/>
        <c:auto val="1"/>
        <c:lblAlgn val="ctr"/>
        <c:lblOffset val="100"/>
      </c:catAx>
      <c:valAx>
        <c:axId val="11289996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one"/>
        <c:crossAx val="112898432"/>
        <c:crosses val="autoZero"/>
        <c:crossBetween val="between"/>
      </c:valAx>
      <c:spPr>
        <a:noFill/>
        <a:ln>
          <a:noFill/>
        </a:ln>
        <a:effectLst/>
      </c:spPr>
    </c:plotArea>
    <c:legend>
      <c:legendPos val="b"/>
      <c:layout>
        <c:manualLayout>
          <c:xMode val="edge"/>
          <c:yMode val="edge"/>
          <c:x val="0.21246099445902694"/>
          <c:y val="0.78071911365061664"/>
          <c:w val="0.65146689997083651"/>
          <c:h val="0.20453162381251019"/>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урбано подручје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dLbl>
              <c:idx val="0"/>
              <c:layout>
                <c:manualLayout>
                  <c:x val="0"/>
                  <c:y val="1.267427122940422E-2"/>
                </c:manualLayout>
              </c:layout>
              <c:tx>
                <c:rich>
                  <a:bodyPr/>
                  <a:lstStyle/>
                  <a:p>
                    <a:r>
                      <a:rPr lang="en-US"/>
                      <a:t>29.3%</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E4-41A8-AFBE-60A84EEEE921}"/>
                </c:ext>
              </c:extLst>
            </c:dLbl>
            <c:dLbl>
              <c:idx val="1"/>
              <c:layout>
                <c:manualLayout>
                  <c:x val="2.1299254526091597E-3"/>
                  <c:y val="2.5348542458808626E-3"/>
                </c:manualLayout>
              </c:layout>
              <c:tx>
                <c:rich>
                  <a:bodyPr/>
                  <a:lstStyle/>
                  <a:p>
                    <a:r>
                      <a:rPr lang="en-US"/>
                      <a:t>21.8%</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8BE4-41A8-AFBE-60A84EEEE921}"/>
                </c:ext>
              </c:extLst>
            </c:dLbl>
            <c:dLbl>
              <c:idx val="2"/>
              <c:layout>
                <c:manualLayout>
                  <c:x val="-2.1299254526091597E-3"/>
                  <c:y val="2.5348542458808626E-3"/>
                </c:manualLayout>
              </c:layout>
              <c:tx>
                <c:rich>
                  <a:bodyPr/>
                  <a:lstStyle/>
                  <a:p>
                    <a:r>
                      <a:rPr lang="en-US"/>
                      <a:t>18.9%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8BE4-41A8-AFBE-60A84EEEE921}"/>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E4-41A8-AFBE-60A84EEEE921}"/>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8BE4-41A8-AFBE-60A84EEEE92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концерти домаћих извођача</c:v>
                </c:pt>
                <c:pt idx="1">
                  <c:v>концерти страних фестивала</c:v>
                </c:pt>
                <c:pt idx="2">
                  <c:v>фестивали</c:v>
                </c:pt>
                <c:pt idx="3">
                  <c:v>фолклорне приредбе</c:v>
                </c:pt>
                <c:pt idx="4">
                  <c:v>програми на селу</c:v>
                </c:pt>
              </c:strCache>
            </c:strRef>
          </c:cat>
          <c:val>
            <c:numRef>
              <c:f>Sheet1!$B$2:$B$6</c:f>
              <c:numCache>
                <c:formatCode>0.00%</c:formatCode>
                <c:ptCount val="5"/>
                <c:pt idx="0">
                  <c:v>0.29300000000000009</c:v>
                </c:pt>
                <c:pt idx="1">
                  <c:v>0.21800000000000005</c:v>
                </c:pt>
                <c:pt idx="2">
                  <c:v>0.18900000000000006</c:v>
                </c:pt>
                <c:pt idx="3" formatCode="0%">
                  <c:v>0</c:v>
                </c:pt>
                <c:pt idx="4" formatCode="0%">
                  <c:v>0</c:v>
                </c:pt>
              </c:numCache>
            </c:numRef>
          </c:val>
          <c:extLst xmlns:c16r2="http://schemas.microsoft.com/office/drawing/2015/06/chart">
            <c:ext xmlns:c16="http://schemas.microsoft.com/office/drawing/2014/chart" uri="{C3380CC4-5D6E-409C-BE32-E72D297353CC}">
              <c16:uniqueId val="{00000005-8BE4-41A8-AFBE-60A84EEEE921}"/>
            </c:ext>
          </c:extLst>
        </c:ser>
        <c:ser>
          <c:idx val="1"/>
          <c:order val="1"/>
          <c:tx>
            <c:strRef>
              <c:f>Sheet1!$C$1</c:f>
              <c:strCache>
                <c:ptCount val="1"/>
                <c:pt idx="0">
                  <c:v>рурално подручје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dLbl>
              <c:idx val="0"/>
              <c:layout>
                <c:manualLayout>
                  <c:x val="8.5197018104366182E-3"/>
                  <c:y val="7.6045627376425404E-3"/>
                </c:manualLayout>
              </c:layout>
              <c:tx>
                <c:rich>
                  <a:bodyPr/>
                  <a:lstStyle/>
                  <a:p>
                    <a:r>
                      <a:rPr lang="en-US"/>
                      <a:t>20.1%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8BE4-41A8-AFBE-60A84EEEE921}"/>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8BE4-41A8-AFBE-60A84EEEE921}"/>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8BE4-41A8-AFBE-60A84EEEE921}"/>
                </c:ext>
              </c:extLst>
            </c:dLbl>
            <c:dLbl>
              <c:idx val="3"/>
              <c:layout>
                <c:manualLayout>
                  <c:x val="4.2598509052182406E-3"/>
                  <c:y val="-7.6045627376425881E-3"/>
                </c:manualLayout>
              </c:layout>
              <c:tx>
                <c:rich>
                  <a:bodyPr/>
                  <a:lstStyle/>
                  <a:p>
                    <a:r>
                      <a:rPr lang="en-US"/>
                      <a:t>18.6%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8BE4-41A8-AFBE-60A84EEEE921}"/>
                </c:ext>
              </c:extLst>
            </c:dLbl>
            <c:dLbl>
              <c:idx val="4"/>
              <c:layout>
                <c:manualLayout>
                  <c:x val="-2.1299254526091597E-3"/>
                  <c:y val="1.26742712294043E-2"/>
                </c:manualLayout>
              </c:layout>
              <c:tx>
                <c:rich>
                  <a:bodyPr/>
                  <a:lstStyle/>
                  <a:p>
                    <a:r>
                      <a:rPr lang="en-US"/>
                      <a:t>51.5%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8BE4-41A8-AFBE-60A84EEEE921}"/>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концерти домаћих извођача</c:v>
                </c:pt>
                <c:pt idx="1">
                  <c:v>концерти страних фестивала</c:v>
                </c:pt>
                <c:pt idx="2">
                  <c:v>фестивали</c:v>
                </c:pt>
                <c:pt idx="3">
                  <c:v>фолклорне приредбе</c:v>
                </c:pt>
                <c:pt idx="4">
                  <c:v>програми на селу</c:v>
                </c:pt>
              </c:strCache>
            </c:strRef>
          </c:cat>
          <c:val>
            <c:numRef>
              <c:f>Sheet1!$C$2:$C$6</c:f>
              <c:numCache>
                <c:formatCode>0%</c:formatCode>
                <c:ptCount val="5"/>
                <c:pt idx="0" formatCode="0.00%">
                  <c:v>0.20100000000000001</c:v>
                </c:pt>
                <c:pt idx="1">
                  <c:v>0</c:v>
                </c:pt>
                <c:pt idx="2">
                  <c:v>0</c:v>
                </c:pt>
                <c:pt idx="3" formatCode="0.00%">
                  <c:v>0.18600000000000005</c:v>
                </c:pt>
                <c:pt idx="4" formatCode="0.00%">
                  <c:v>0.51500000000000001</c:v>
                </c:pt>
              </c:numCache>
            </c:numRef>
          </c:val>
          <c:extLst xmlns:c16r2="http://schemas.microsoft.com/office/drawing/2015/06/chart">
            <c:ext xmlns:c16="http://schemas.microsoft.com/office/drawing/2014/chart" uri="{C3380CC4-5D6E-409C-BE32-E72D297353CC}">
              <c16:uniqueId val="{0000000B-8BE4-41A8-AFBE-60A84EEEE921}"/>
            </c:ext>
          </c:extLst>
        </c:ser>
        <c:dLbls>
          <c:showVal val="1"/>
        </c:dLbls>
        <c:gapWidth val="100"/>
        <c:overlap val="-24"/>
        <c:axId val="171163648"/>
        <c:axId val="171165184"/>
      </c:barChart>
      <c:catAx>
        <c:axId val="171163648"/>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71165184"/>
        <c:crosses val="autoZero"/>
        <c:auto val="1"/>
        <c:lblAlgn val="ctr"/>
        <c:lblOffset val="100"/>
      </c:catAx>
      <c:valAx>
        <c:axId val="171165184"/>
        <c:scaling>
          <c:orientation val="minMax"/>
        </c:scaling>
        <c:delete val="1"/>
        <c:axPos val="l"/>
        <c:numFmt formatCode="0.00%" sourceLinked="1"/>
        <c:majorTickMark val="none"/>
        <c:tickLblPos val="none"/>
        <c:crossAx val="17116364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Series 1</c:v>
                </c:pt>
              </c:strCache>
            </c:strRef>
          </c:tx>
          <c:spPr>
            <a:pattFill prst="pct50">
              <a:fgClr>
                <a:schemeClr val="accent1">
                  <a:lumMod val="75000"/>
                </a:schemeClr>
              </a:fgClr>
              <a:bgClr>
                <a:schemeClr val="bg1"/>
              </a:bgClr>
            </a:pattFill>
            <a:ln w="9525" cap="flat" cmpd="sng" algn="ctr">
              <a:noFill/>
              <a:round/>
            </a:ln>
            <a:effectLst/>
          </c:spPr>
          <c:dLbls>
            <c:dLbl>
              <c:idx val="0"/>
              <c:layout>
                <c:manualLayout>
                  <c:x val="1.0582010582009806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9BC-48F1-B18B-CD3C281C2103}"/>
                </c:ext>
              </c:extLst>
            </c:dLbl>
            <c:dLbl>
              <c:idx val="1"/>
              <c:layout>
                <c:manualLayout>
                  <c:x val="1.0582010582009806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9BC-48F1-B18B-CD3C281C2103}"/>
                </c:ext>
              </c:extLst>
            </c:dLbl>
            <c:dLbl>
              <c:idx val="2"/>
              <c:layout>
                <c:manualLayout>
                  <c:x val="3.1746031746030193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9BC-48F1-B18B-CD3C281C2103}"/>
                </c:ext>
              </c:extLst>
            </c:dLbl>
            <c:dLbl>
              <c:idx val="3"/>
              <c:layout>
                <c:manualLayout>
                  <c:x val="2.547014956463776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9BC-48F1-B18B-CD3C281C2103}"/>
                </c:ext>
              </c:extLst>
            </c:dLbl>
            <c:dLbl>
              <c:idx val="4"/>
              <c:layout>
                <c:manualLayout>
                  <c:x val="1.0582010582010583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C9BC-48F1-B18B-CD3C281C2103}"/>
                </c:ext>
              </c:extLst>
            </c:dLbl>
            <c:dLbl>
              <c:idx val="5"/>
              <c:layout>
                <c:manualLayout>
                  <c:x val="-2.048077323668263E-4"/>
                  <c:y val="4.6135491804783161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C9BC-48F1-B18B-CD3C281C2103}"/>
                </c:ext>
              </c:extLst>
            </c:dLbl>
            <c:dLbl>
              <c:idx val="6"/>
              <c:layout>
                <c:manualLayout>
                  <c:x val="-9.5304753572474045E-4"/>
                  <c:y val="-9.691096305269539E-5"/>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C9BC-48F1-B18B-CD3C281C210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Музеј</c:v>
                </c:pt>
                <c:pt idx="1">
                  <c:v>Галерија</c:v>
                </c:pt>
                <c:pt idx="2">
                  <c:v>Културни центар</c:v>
                </c:pt>
                <c:pt idx="3">
                  <c:v>Архив</c:v>
                </c:pt>
                <c:pt idx="4">
                  <c:v>Позориште</c:v>
                </c:pt>
                <c:pt idx="5">
                  <c:v>Библиотека</c:v>
                </c:pt>
                <c:pt idx="6">
                  <c:v>Музичка школа</c:v>
                </c:pt>
              </c:strCache>
            </c:strRef>
          </c:cat>
          <c:val>
            <c:numRef>
              <c:f>Sheet1!$B$2:$B$8</c:f>
              <c:numCache>
                <c:formatCode>0.0%</c:formatCode>
                <c:ptCount val="7"/>
                <c:pt idx="0">
                  <c:v>6.1000000000000013E-2</c:v>
                </c:pt>
                <c:pt idx="1">
                  <c:v>6.1000000000000013E-2</c:v>
                </c:pt>
                <c:pt idx="2">
                  <c:v>0.15700000000000006</c:v>
                </c:pt>
                <c:pt idx="3">
                  <c:v>5.0000000000000018E-3</c:v>
                </c:pt>
                <c:pt idx="4">
                  <c:v>0.254</c:v>
                </c:pt>
                <c:pt idx="5">
                  <c:v>1.6000000000000007E-2</c:v>
                </c:pt>
                <c:pt idx="6">
                  <c:v>1.2999999999999998E-2</c:v>
                </c:pt>
              </c:numCache>
            </c:numRef>
          </c:val>
          <c:extLst xmlns:c16r2="http://schemas.microsoft.com/office/drawing/2015/06/chart">
            <c:ext xmlns:c16="http://schemas.microsoft.com/office/drawing/2014/chart" uri="{C3380CC4-5D6E-409C-BE32-E72D297353CC}">
              <c16:uniqueId val="{00000007-C9BC-48F1-B18B-CD3C281C2103}"/>
            </c:ext>
          </c:extLst>
        </c:ser>
        <c:dLbls>
          <c:showVal val="1"/>
        </c:dLbls>
        <c:gapWidth val="100"/>
        <c:axId val="171323776"/>
        <c:axId val="171325312"/>
      </c:barChart>
      <c:catAx>
        <c:axId val="1713237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71325312"/>
        <c:crosses val="autoZero"/>
        <c:auto val="1"/>
        <c:lblAlgn val="ctr"/>
        <c:lblOffset val="100"/>
      </c:catAx>
      <c:valAx>
        <c:axId val="171325312"/>
        <c:scaling>
          <c:orientation val="minMax"/>
        </c:scaling>
        <c:delete val="1"/>
        <c:axPos val="b"/>
        <c:numFmt formatCode="0.0%" sourceLinked="1"/>
        <c:majorTickMark val="none"/>
        <c:tickLblPos val="none"/>
        <c:crossAx val="1713237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програми за децу и са децом</c:v>
                </c:pt>
              </c:strCache>
            </c:strRef>
          </c:tx>
          <c:spPr>
            <a:solidFill>
              <a:schemeClr val="accent1"/>
            </a:solidFill>
            <a:ln>
              <a:noFill/>
            </a:ln>
            <a:effectLst/>
          </c:spPr>
          <c:dLbls>
            <c:dLbl>
              <c:idx val="0"/>
              <c:tx>
                <c:rich>
                  <a:bodyPr/>
                  <a:lstStyle/>
                  <a:p>
                    <a:r>
                      <a:rPr lang="en-US"/>
                      <a:t>18.7%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37E-4B64-A499-61323F0DE029}"/>
                </c:ext>
              </c:extLst>
            </c:dLbl>
            <c:dLbl>
              <c:idx val="1"/>
              <c:tx>
                <c:rich>
                  <a:bodyPr/>
                  <a:lstStyle/>
                  <a:p>
                    <a:r>
                      <a:rPr lang="en-US"/>
                      <a:t>10.1%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7E-4B64-A499-61323F0DE029}"/>
                </c:ext>
              </c:extLst>
            </c:dLbl>
            <c:dLbl>
              <c:idx val="2"/>
              <c:tx>
                <c:rich>
                  <a:bodyPr/>
                  <a:lstStyle/>
                  <a:p>
                    <a:r>
                      <a:rPr lang="en-US"/>
                      <a:t>10.9%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7E-4B64-A499-61323F0DE02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7E-4B64-A499-61323F0DE029}"/>
                </c:ext>
              </c:extLst>
            </c:dLbl>
            <c:dLbl>
              <c:idx val="4"/>
              <c:tx>
                <c:rich>
                  <a:bodyPr/>
                  <a:lstStyle/>
                  <a:p>
                    <a:r>
                      <a:rPr lang="en-US"/>
                      <a:t>30.2%</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7E-4B64-A499-61323F0DE029}"/>
                </c:ext>
              </c:extLst>
            </c:dLbl>
            <c:dLbl>
              <c:idx val="5"/>
              <c:tx>
                <c:rich>
                  <a:bodyPr/>
                  <a:lstStyle/>
                  <a:p>
                    <a:r>
                      <a:rPr lang="en-US"/>
                      <a:t>14.5%</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37E-4B64-A499-61323F0DE029}"/>
                </c:ext>
              </c:extLst>
            </c:dLbl>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Градски музеј Сомбор</c:v>
                </c:pt>
                <c:pt idx="1">
                  <c:v>Галерија "Милан Коњовић"</c:v>
                </c:pt>
                <c:pt idx="2">
                  <c:v>Културни центар "Лаза Костић"</c:v>
                </c:pt>
                <c:pt idx="3">
                  <c:v>Историјски архив Сомбор</c:v>
                </c:pt>
                <c:pt idx="4">
                  <c:v>Народно позориште Сомбор</c:v>
                </c:pt>
                <c:pt idx="5">
                  <c:v>Градска библиотека "Карло Бијелицки"</c:v>
                </c:pt>
              </c:strCache>
            </c:strRef>
          </c:cat>
          <c:val>
            <c:numRef>
              <c:f>Sheet1!$B$2:$B$7</c:f>
              <c:numCache>
                <c:formatCode>0.00%</c:formatCode>
                <c:ptCount val="6"/>
                <c:pt idx="0">
                  <c:v>0.18700000000000006</c:v>
                </c:pt>
                <c:pt idx="1">
                  <c:v>0.10100000000000002</c:v>
                </c:pt>
                <c:pt idx="2">
                  <c:v>0.10900000000000003</c:v>
                </c:pt>
                <c:pt idx="3" formatCode="0%">
                  <c:v>0</c:v>
                </c:pt>
                <c:pt idx="4">
                  <c:v>0.30200000000000016</c:v>
                </c:pt>
                <c:pt idx="5">
                  <c:v>0.14500000000000005</c:v>
                </c:pt>
              </c:numCache>
            </c:numRef>
          </c:val>
          <c:extLst xmlns:c16r2="http://schemas.microsoft.com/office/drawing/2015/06/chart">
            <c:ext xmlns:c16="http://schemas.microsoft.com/office/drawing/2014/chart" uri="{C3380CC4-5D6E-409C-BE32-E72D297353CC}">
              <c16:uniqueId val="{00000006-937E-4B64-A499-61323F0DE029}"/>
            </c:ext>
          </c:extLst>
        </c:ser>
        <c:ser>
          <c:idx val="1"/>
          <c:order val="1"/>
          <c:tx>
            <c:strRef>
              <c:f>Sheet1!$C$1</c:f>
              <c:strCache>
                <c:ptCount val="1"/>
                <c:pt idx="0">
                  <c:v>програми за старије</c:v>
                </c:pt>
              </c:strCache>
            </c:strRef>
          </c:tx>
          <c:spPr>
            <a:solidFill>
              <a:schemeClr val="accent2"/>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37E-4B64-A499-61323F0DE029}"/>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37E-4B64-A499-61323F0DE02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37E-4B64-A499-61323F0DE029}"/>
                </c:ext>
              </c:extLst>
            </c:dLbl>
            <c:dLbl>
              <c:idx val="4"/>
              <c:tx>
                <c:rich>
                  <a:bodyPr/>
                  <a:lstStyle/>
                  <a:p>
                    <a:r>
                      <a:rPr lang="en-US"/>
                      <a:t>11.7%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37E-4B64-A499-61323F0DE02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37E-4B64-A499-61323F0DE029}"/>
                </c:ext>
              </c:extLst>
            </c:dLbl>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Градски музеј Сомбор</c:v>
                </c:pt>
                <c:pt idx="1">
                  <c:v>Галерија "Милан Коњовић"</c:v>
                </c:pt>
                <c:pt idx="2">
                  <c:v>Културни центар "Лаза Костић"</c:v>
                </c:pt>
                <c:pt idx="3">
                  <c:v>Историјски архив Сомбор</c:v>
                </c:pt>
                <c:pt idx="4">
                  <c:v>Народно позориште Сомбор</c:v>
                </c:pt>
                <c:pt idx="5">
                  <c:v>Градска библиотека "Карло Бијелицки"</c:v>
                </c:pt>
              </c:strCache>
            </c:strRef>
          </c:cat>
          <c:val>
            <c:numRef>
              <c:f>Sheet1!$C$2:$C$7</c:f>
              <c:numCache>
                <c:formatCode>0%</c:formatCode>
                <c:ptCount val="6"/>
                <c:pt idx="0">
                  <c:v>0</c:v>
                </c:pt>
                <c:pt idx="1">
                  <c:v>0</c:v>
                </c:pt>
                <c:pt idx="2">
                  <c:v>0.15000000000000005</c:v>
                </c:pt>
                <c:pt idx="3">
                  <c:v>0</c:v>
                </c:pt>
                <c:pt idx="4" formatCode="0.00%">
                  <c:v>0.11700000000000002</c:v>
                </c:pt>
                <c:pt idx="5">
                  <c:v>0</c:v>
                </c:pt>
              </c:numCache>
            </c:numRef>
          </c:val>
          <c:extLst xmlns:c16r2="http://schemas.microsoft.com/office/drawing/2015/06/chart">
            <c:ext xmlns:c16="http://schemas.microsoft.com/office/drawing/2014/chart" uri="{C3380CC4-5D6E-409C-BE32-E72D297353CC}">
              <c16:uniqueId val="{0000000C-937E-4B64-A499-61323F0DE029}"/>
            </c:ext>
          </c:extLst>
        </c:ser>
        <c:ser>
          <c:idx val="2"/>
          <c:order val="2"/>
          <c:tx>
            <c:strRef>
              <c:f>Sheet1!$D$1</c:f>
              <c:strCache>
                <c:ptCount val="1"/>
                <c:pt idx="0">
                  <c:v>промоција</c:v>
                </c:pt>
              </c:strCache>
            </c:strRef>
          </c:tx>
          <c:spPr>
            <a:solidFill>
              <a:schemeClr val="accent3"/>
            </a:solidFill>
            <a:ln>
              <a:noFill/>
            </a:ln>
            <a:effectLst/>
          </c:spPr>
          <c:dLbls>
            <c:dLbl>
              <c:idx val="2"/>
              <c:tx>
                <c:rich>
                  <a:bodyPr/>
                  <a:lstStyle/>
                  <a:p>
                    <a:r>
                      <a:rPr lang="en-US"/>
                      <a:t>14.7%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37E-4B64-A499-61323F0DE02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37E-4B64-A499-61323F0DE02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37E-4B64-A499-61323F0DE029}"/>
                </c:ext>
              </c:extLst>
            </c:dLbl>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Градски музеј Сомбор</c:v>
                </c:pt>
                <c:pt idx="1">
                  <c:v>Галерија "Милан Коњовић"</c:v>
                </c:pt>
                <c:pt idx="2">
                  <c:v>Културни центар "Лаза Костић"</c:v>
                </c:pt>
                <c:pt idx="3">
                  <c:v>Историјски архив Сомбор</c:v>
                </c:pt>
                <c:pt idx="4">
                  <c:v>Народно позориште Сомбор</c:v>
                </c:pt>
                <c:pt idx="5">
                  <c:v>Градска библиотека "Карло Бијелицки"</c:v>
                </c:pt>
              </c:strCache>
            </c:strRef>
          </c:cat>
          <c:val>
            <c:numRef>
              <c:f>Sheet1!$D$2:$D$7</c:f>
              <c:numCache>
                <c:formatCode>0%</c:formatCode>
                <c:ptCount val="6"/>
                <c:pt idx="0">
                  <c:v>0.19</c:v>
                </c:pt>
                <c:pt idx="1">
                  <c:v>0.15000000000000005</c:v>
                </c:pt>
                <c:pt idx="2" formatCode="0.00%">
                  <c:v>0.14700000000000005</c:v>
                </c:pt>
                <c:pt idx="3">
                  <c:v>0.16</c:v>
                </c:pt>
                <c:pt idx="4">
                  <c:v>0</c:v>
                </c:pt>
                <c:pt idx="5">
                  <c:v>0</c:v>
                </c:pt>
              </c:numCache>
            </c:numRef>
          </c:val>
          <c:extLst xmlns:c16r2="http://schemas.microsoft.com/office/drawing/2015/06/chart">
            <c:ext xmlns:c16="http://schemas.microsoft.com/office/drawing/2014/chart" uri="{C3380CC4-5D6E-409C-BE32-E72D297353CC}">
              <c16:uniqueId val="{00000010-937E-4B64-A499-61323F0DE029}"/>
            </c:ext>
          </c:extLst>
        </c:ser>
        <c:ser>
          <c:idx val="3"/>
          <c:order val="3"/>
          <c:tx>
            <c:strRef>
              <c:f>Sheet1!$E$1</c:f>
              <c:strCache>
                <c:ptCount val="1"/>
                <c:pt idx="0">
                  <c:v>више програма</c:v>
                </c:pt>
              </c:strCache>
            </c:strRef>
          </c:tx>
          <c:spPr>
            <a:solidFill>
              <a:schemeClr val="accent4"/>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937E-4B64-A499-61323F0DE029}"/>
                </c:ext>
              </c:extLst>
            </c:dLbl>
            <c:dLbl>
              <c:idx val="1"/>
              <c:tx>
                <c:rich>
                  <a:bodyPr/>
                  <a:lstStyle/>
                  <a:p>
                    <a:r>
                      <a:rPr lang="en-US"/>
                      <a:t>10.1%</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937E-4B64-A499-61323F0DE029}"/>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937E-4B64-A499-61323F0DE029}"/>
                </c:ext>
              </c:extLst>
            </c:dLbl>
            <c:dLbl>
              <c:idx val="3"/>
              <c:tx>
                <c:rich>
                  <a:bodyPr/>
                  <a:lstStyle/>
                  <a:p>
                    <a:r>
                      <a:rPr lang="en-US"/>
                      <a:t>10.7%</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937E-4B64-A499-61323F0DE02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937E-4B64-A499-61323F0DE02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937E-4B64-A499-61323F0DE029}"/>
                </c:ext>
              </c:extLst>
            </c:dLbl>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Градски музеј Сомбор</c:v>
                </c:pt>
                <c:pt idx="1">
                  <c:v>Галерија "Милан Коњовић"</c:v>
                </c:pt>
                <c:pt idx="2">
                  <c:v>Културни центар "Лаза Костић"</c:v>
                </c:pt>
                <c:pt idx="3">
                  <c:v>Историјски архив Сомбор</c:v>
                </c:pt>
                <c:pt idx="4">
                  <c:v>Народно позориште Сомбор</c:v>
                </c:pt>
                <c:pt idx="5">
                  <c:v>Градска библиотека "Карло Бијелицки"</c:v>
                </c:pt>
              </c:strCache>
            </c:strRef>
          </c:cat>
          <c:val>
            <c:numRef>
              <c:f>Sheet1!$E$2:$E$7</c:f>
              <c:numCache>
                <c:formatCode>0.00%</c:formatCode>
                <c:ptCount val="6"/>
                <c:pt idx="0" formatCode="0%">
                  <c:v>0</c:v>
                </c:pt>
                <c:pt idx="1">
                  <c:v>0.10100000000000002</c:v>
                </c:pt>
                <c:pt idx="2" formatCode="0%">
                  <c:v>0</c:v>
                </c:pt>
                <c:pt idx="3">
                  <c:v>0.10700000000000003</c:v>
                </c:pt>
                <c:pt idx="4" formatCode="0%">
                  <c:v>0</c:v>
                </c:pt>
                <c:pt idx="5" formatCode="0%">
                  <c:v>0</c:v>
                </c:pt>
              </c:numCache>
            </c:numRef>
          </c:val>
          <c:extLst xmlns:c16r2="http://schemas.microsoft.com/office/drawing/2015/06/chart">
            <c:ext xmlns:c16="http://schemas.microsoft.com/office/drawing/2014/chart" uri="{C3380CC4-5D6E-409C-BE32-E72D297353CC}">
              <c16:uniqueId val="{00000017-937E-4B64-A499-61323F0DE029}"/>
            </c:ext>
          </c:extLst>
        </c:ser>
        <c:ser>
          <c:idx val="4"/>
          <c:order val="4"/>
          <c:tx>
            <c:strRef>
              <c:f>Sheet1!$F$1</c:f>
              <c:strCache>
                <c:ptCount val="1"/>
                <c:pt idx="0">
                  <c:v>истраживање публике</c:v>
                </c:pt>
              </c:strCache>
            </c:strRef>
          </c:tx>
          <c:spPr>
            <a:solidFill>
              <a:schemeClr val="accent5"/>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937E-4B64-A499-61323F0DE029}"/>
                </c:ext>
              </c:extLst>
            </c:dLbl>
            <c:dLbl>
              <c:idx val="1"/>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937E-4B64-A499-61323F0DE029}"/>
                </c:ext>
              </c:extLst>
            </c:dLbl>
            <c:dLbl>
              <c:idx val="2"/>
              <c:tx>
                <c:rich>
                  <a:bodyPr/>
                  <a:lstStyle/>
                  <a:p>
                    <a:r>
                      <a:rPr lang="en-US"/>
                      <a:t>12.9%</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937E-4B64-A499-61323F0DE02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937E-4B64-A499-61323F0DE02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937E-4B64-A499-61323F0DE029}"/>
                </c:ext>
              </c:extLst>
            </c:dLbl>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Градски музеј Сомбор</c:v>
                </c:pt>
                <c:pt idx="1">
                  <c:v>Галерија "Милан Коњовић"</c:v>
                </c:pt>
                <c:pt idx="2">
                  <c:v>Културни центар "Лаза Костић"</c:v>
                </c:pt>
                <c:pt idx="3">
                  <c:v>Историјски архив Сомбор</c:v>
                </c:pt>
                <c:pt idx="4">
                  <c:v>Народно позориште Сомбор</c:v>
                </c:pt>
                <c:pt idx="5">
                  <c:v>Градска библиотека "Карло Бијелицки"</c:v>
                </c:pt>
              </c:strCache>
            </c:strRef>
          </c:cat>
          <c:val>
            <c:numRef>
              <c:f>Sheet1!$F$2:$F$7</c:f>
              <c:numCache>
                <c:formatCode>0%</c:formatCode>
                <c:ptCount val="6"/>
                <c:pt idx="0">
                  <c:v>0</c:v>
                </c:pt>
                <c:pt idx="1">
                  <c:v>0</c:v>
                </c:pt>
                <c:pt idx="2" formatCode="0.00%">
                  <c:v>0.129</c:v>
                </c:pt>
                <c:pt idx="3">
                  <c:v>0</c:v>
                </c:pt>
                <c:pt idx="4">
                  <c:v>0.11</c:v>
                </c:pt>
                <c:pt idx="5">
                  <c:v>0</c:v>
                </c:pt>
              </c:numCache>
            </c:numRef>
          </c:val>
          <c:extLst xmlns:c16r2="http://schemas.microsoft.com/office/drawing/2015/06/chart">
            <c:ext xmlns:c16="http://schemas.microsoft.com/office/drawing/2014/chart" uri="{C3380CC4-5D6E-409C-BE32-E72D297353CC}">
              <c16:uniqueId val="{0000001D-937E-4B64-A499-61323F0DE029}"/>
            </c:ext>
          </c:extLst>
        </c:ser>
        <c:ser>
          <c:idx val="5"/>
          <c:order val="5"/>
          <c:tx>
            <c:strRef>
              <c:f>Sheet1!$G$1</c:f>
              <c:strCache>
                <c:ptCount val="1"/>
                <c:pt idx="0">
                  <c:v>разноврсност програма</c:v>
                </c:pt>
              </c:strCache>
            </c:strRef>
          </c:tx>
          <c:spPr>
            <a:solidFill>
              <a:schemeClr val="accent6"/>
            </a:solidFill>
            <a:ln>
              <a:noFill/>
            </a:ln>
            <a:effectLst/>
          </c:spPr>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937E-4B64-A499-61323F0DE029}"/>
                </c:ext>
              </c:extLst>
            </c:dLbl>
            <c:dLbl>
              <c:idx val="1"/>
              <c:tx>
                <c:rich>
                  <a:bodyPr/>
                  <a:lstStyle/>
                  <a:p>
                    <a:r>
                      <a:rPr lang="en-US"/>
                      <a:t>10.4%</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937E-4B64-A499-61323F0DE029}"/>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937E-4B64-A499-61323F0DE029}"/>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937E-4B64-A499-61323F0DE029}"/>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937E-4B64-A499-61323F0DE029}"/>
                </c:ext>
              </c:extLst>
            </c:dLbl>
            <c:dLbl>
              <c:idx val="5"/>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937E-4B64-A499-61323F0DE029}"/>
                </c:ext>
              </c:extLst>
            </c:dLbl>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Градски музеј Сомбор</c:v>
                </c:pt>
                <c:pt idx="1">
                  <c:v>Галерија "Милан Коњовић"</c:v>
                </c:pt>
                <c:pt idx="2">
                  <c:v>Културни центар "Лаза Костић"</c:v>
                </c:pt>
                <c:pt idx="3">
                  <c:v>Историјски архив Сомбор</c:v>
                </c:pt>
                <c:pt idx="4">
                  <c:v>Народно позориште Сомбор</c:v>
                </c:pt>
                <c:pt idx="5">
                  <c:v>Градска библиотека "Карло Бијелицки"</c:v>
                </c:pt>
              </c:strCache>
            </c:strRef>
          </c:cat>
          <c:val>
            <c:numRef>
              <c:f>Sheet1!$G$2:$G$7</c:f>
              <c:numCache>
                <c:formatCode>0.00%</c:formatCode>
                <c:ptCount val="6"/>
                <c:pt idx="0" formatCode="0%">
                  <c:v>0</c:v>
                </c:pt>
                <c:pt idx="1">
                  <c:v>0.10400000000000002</c:v>
                </c:pt>
                <c:pt idx="2" formatCode="0%">
                  <c:v>0</c:v>
                </c:pt>
                <c:pt idx="3" formatCode="0%">
                  <c:v>0</c:v>
                </c:pt>
                <c:pt idx="4" formatCode="0%">
                  <c:v>0</c:v>
                </c:pt>
                <c:pt idx="5" formatCode="0%">
                  <c:v>0</c:v>
                </c:pt>
              </c:numCache>
            </c:numRef>
          </c:val>
          <c:extLst xmlns:c16r2="http://schemas.microsoft.com/office/drawing/2015/06/chart">
            <c:ext xmlns:c16="http://schemas.microsoft.com/office/drawing/2014/chart" uri="{C3380CC4-5D6E-409C-BE32-E72D297353CC}">
              <c16:uniqueId val="{00000024-937E-4B64-A499-61323F0DE029}"/>
            </c:ext>
          </c:extLst>
        </c:ser>
        <c:dLbls>
          <c:showVal val="1"/>
        </c:dLbls>
        <c:gapWidth val="132"/>
        <c:axId val="171255680"/>
        <c:axId val="171257216"/>
      </c:barChart>
      <c:catAx>
        <c:axId val="1712556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1800000" vert="horz"/>
          <a:lstStyle/>
          <a:p>
            <a:pPr>
              <a:defRPr/>
            </a:pPr>
            <a:endParaRPr lang="en-US"/>
          </a:p>
        </c:txPr>
        <c:crossAx val="171257216"/>
        <c:crosses val="autoZero"/>
        <c:auto val="1"/>
        <c:lblAlgn val="ctr"/>
        <c:lblOffset val="100"/>
      </c:catAx>
      <c:valAx>
        <c:axId val="171257216"/>
        <c:scaling>
          <c:orientation val="minMax"/>
        </c:scaling>
        <c:delete val="1"/>
        <c:axPos val="l"/>
        <c:numFmt formatCode="0.00%" sourceLinked="1"/>
        <c:majorTickMark val="none"/>
        <c:tickLblPos val="none"/>
        <c:crossAx val="171255680"/>
        <c:crosses val="autoZero"/>
        <c:crossBetween val="between"/>
      </c:valAx>
      <c:spPr>
        <a:solidFill>
          <a:schemeClr val="bg1"/>
        </a:solidFill>
        <a:ln>
          <a:noFill/>
        </a:ln>
        <a:effectLst/>
      </c:spPr>
    </c:plotArea>
    <c:legend>
      <c:legendPos val="t"/>
      <c:layout>
        <c:manualLayout>
          <c:xMode val="edge"/>
          <c:yMode val="edge"/>
          <c:x val="0"/>
          <c:y val="7.130124777183602E-3"/>
          <c:w val="1"/>
          <c:h val="9.0653641556837541E-2"/>
        </c:manualLayout>
      </c:layout>
      <c:spPr>
        <a:noFill/>
        <a:ln>
          <a:noFill/>
        </a:ln>
        <a:effectLst/>
      </c:spPr>
      <c:txPr>
        <a:bodyPr rot="0" vert="horz"/>
        <a:lstStyle/>
        <a:p>
          <a:pPr>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dLbls>
            <c:dLbl>
              <c:idx val="6"/>
              <c:layout>
                <c:manualLayout>
                  <c:x val="2.30028938690356E-3"/>
                  <c:y val="8.2406496062992163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EDC-451B-913E-F08ADE7DD06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удружења грађана у култури</c:v>
                </c:pt>
                <c:pt idx="1">
                  <c:v>КУД - ови</c:v>
                </c:pt>
                <c:pt idx="2">
                  <c:v>медији</c:v>
                </c:pt>
                <c:pt idx="3">
                  <c:v>школе</c:v>
                </c:pt>
                <c:pt idx="4">
                  <c:v>Туристичка организација</c:v>
                </c:pt>
                <c:pt idx="5">
                  <c:v>омладинске организације</c:v>
                </c:pt>
                <c:pt idx="6">
                  <c:v>еколошке организације</c:v>
                </c:pt>
              </c:strCache>
            </c:strRef>
          </c:cat>
          <c:val>
            <c:numRef>
              <c:f>Sheet1!$B$2:$B$8</c:f>
              <c:numCache>
                <c:formatCode>0.0%</c:formatCode>
                <c:ptCount val="7"/>
                <c:pt idx="0">
                  <c:v>0.14700000000000005</c:v>
                </c:pt>
                <c:pt idx="1">
                  <c:v>0.28300000000000008</c:v>
                </c:pt>
                <c:pt idx="2">
                  <c:v>0.11600000000000002</c:v>
                </c:pt>
                <c:pt idx="3">
                  <c:v>0.10600000000000002</c:v>
                </c:pt>
                <c:pt idx="4">
                  <c:v>0.11899999999999998</c:v>
                </c:pt>
                <c:pt idx="5">
                  <c:v>7.3999999999999996E-2</c:v>
                </c:pt>
                <c:pt idx="6">
                  <c:v>2.3E-2</c:v>
                </c:pt>
              </c:numCache>
            </c:numRef>
          </c:val>
          <c:extLst xmlns:c16r2="http://schemas.microsoft.com/office/drawing/2015/06/chart">
            <c:ext xmlns:c16="http://schemas.microsoft.com/office/drawing/2014/chart" uri="{C3380CC4-5D6E-409C-BE32-E72D297353CC}">
              <c16:uniqueId val="{00000001-8EDC-451B-913E-F08ADE7DD06B}"/>
            </c:ext>
          </c:extLst>
        </c:ser>
        <c:dLbls>
          <c:showVal val="1"/>
        </c:dLbls>
        <c:gapWidth val="100"/>
        <c:overlap val="-24"/>
        <c:axId val="171495424"/>
        <c:axId val="171496960"/>
      </c:barChart>
      <c:catAx>
        <c:axId val="171495424"/>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71496960"/>
        <c:crosses val="autoZero"/>
        <c:auto val="1"/>
        <c:lblAlgn val="ctr"/>
        <c:lblOffset val="100"/>
      </c:catAx>
      <c:valAx>
        <c:axId val="171496960"/>
        <c:scaling>
          <c:orientation val="minMax"/>
        </c:scaling>
        <c:delete val="1"/>
        <c:axPos val="l"/>
        <c:numFmt formatCode="0.0%" sourceLinked="1"/>
        <c:majorTickMark val="none"/>
        <c:tickLblPos val="none"/>
        <c:crossAx val="171495424"/>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dLbls>
            <c:dLbl>
              <c:idx val="0"/>
              <c:tx>
                <c:rich>
                  <a:bodyPr/>
                  <a:lstStyle/>
                  <a:p>
                    <a:r>
                      <a:rPr lang="en-US"/>
                      <a:t>24.4%</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2C-4F84-BE3B-83E7C49803D4}"/>
                </c:ext>
              </c:extLst>
            </c:dLbl>
            <c:dLbl>
              <c:idx val="1"/>
              <c:tx>
                <c:rich>
                  <a:bodyPr/>
                  <a:lstStyle/>
                  <a:p>
                    <a:r>
                      <a:rPr lang="en-US"/>
                      <a:t>5.6%</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F2C-4F84-BE3B-83E7C49803D4}"/>
                </c:ext>
              </c:extLst>
            </c:dLbl>
            <c:dLbl>
              <c:idx val="2"/>
              <c:tx>
                <c:rich>
                  <a:bodyPr/>
                  <a:lstStyle/>
                  <a:p>
                    <a:r>
                      <a:rPr lang="en-US"/>
                      <a:t>17.3%</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F2C-4F84-BE3B-83E7C49803D4}"/>
                </c:ext>
              </c:extLst>
            </c:dLbl>
            <c:dLbl>
              <c:idx val="3"/>
              <c:tx>
                <c:rich>
                  <a:bodyPr/>
                  <a:lstStyle/>
                  <a:p>
                    <a:r>
                      <a:rPr lang="en-US"/>
                      <a:t>12.1%</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F2C-4F84-BE3B-83E7C49803D4}"/>
                </c:ext>
              </c:extLst>
            </c:dLbl>
            <c:dLbl>
              <c:idx val="4"/>
              <c:tx>
                <c:rich>
                  <a:bodyPr/>
                  <a:lstStyle/>
                  <a:p>
                    <a:r>
                      <a:rPr lang="en-US"/>
                      <a:t>7.4%</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F2C-4F84-BE3B-83E7C49803D4}"/>
                </c:ext>
              </c:extLst>
            </c:dLbl>
            <c:dLbl>
              <c:idx val="5"/>
              <c:layout>
                <c:manualLayout>
                  <c:x val="-2.1333333333334124E-3"/>
                  <c:y val="6.4552337737443885E-2"/>
                </c:manualLayout>
              </c:layout>
              <c:tx>
                <c:rich>
                  <a:bodyPr/>
                  <a:lstStyle/>
                  <a:p>
                    <a:r>
                      <a:rPr lang="en-US">
                        <a:solidFill>
                          <a:schemeClr val="bg1"/>
                        </a:solidFill>
                      </a:rPr>
                      <a:t>2.6%</a:t>
                    </a:r>
                  </a:p>
                </c:rich>
              </c:tx>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F2C-4F84-BE3B-83E7C49803D4}"/>
                </c:ext>
              </c:extLst>
            </c:dLbl>
            <c:dLbl>
              <c:idx val="6"/>
              <c:tx>
                <c:rich>
                  <a:bodyPr/>
                  <a:lstStyle/>
                  <a:p>
                    <a:r>
                      <a:rPr lang="en-US"/>
                      <a:t>16.2%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F2C-4F84-BE3B-83E7C49803D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Sheet1!$A$2:$A$9</c:f>
              <c:strCache>
                <c:ptCount val="8"/>
                <c:pt idx="0">
                  <c:v>са вртићима и школама</c:v>
                </c:pt>
                <c:pt idx="1">
                  <c:v>са привредом</c:v>
                </c:pt>
                <c:pt idx="2">
                  <c:v>са туризмом</c:v>
                </c:pt>
                <c:pt idx="3">
                  <c:v>са медијима</c:v>
                </c:pt>
                <c:pt idx="4">
                  <c:v>са ОЦД из области културе</c:v>
                </c:pt>
                <c:pt idx="5">
                  <c:v>са социјалном заштитом</c:v>
                </c:pt>
                <c:pt idx="6">
                  <c:v>са омладинским орг.</c:v>
                </c:pt>
                <c:pt idx="7">
                  <c:v>са етничким заједницама </c:v>
                </c:pt>
              </c:strCache>
            </c:strRef>
          </c:cat>
          <c:val>
            <c:numRef>
              <c:f>Sheet1!$B$2:$B$9</c:f>
              <c:numCache>
                <c:formatCode>0.00%</c:formatCode>
                <c:ptCount val="8"/>
                <c:pt idx="0">
                  <c:v>0.24400000000000005</c:v>
                </c:pt>
                <c:pt idx="1">
                  <c:v>5.6000000000000001E-2</c:v>
                </c:pt>
                <c:pt idx="2">
                  <c:v>0.17300000000000001</c:v>
                </c:pt>
                <c:pt idx="3">
                  <c:v>0.12100000000000002</c:v>
                </c:pt>
                <c:pt idx="4">
                  <c:v>7.3999999999999996E-2</c:v>
                </c:pt>
                <c:pt idx="5">
                  <c:v>2.5999999999999999E-2</c:v>
                </c:pt>
                <c:pt idx="6">
                  <c:v>0.16200000000000001</c:v>
                </c:pt>
                <c:pt idx="7" formatCode="0%">
                  <c:v>6.0000000000000019E-2</c:v>
                </c:pt>
              </c:numCache>
            </c:numRef>
          </c:val>
          <c:extLst xmlns:c16r2="http://schemas.microsoft.com/office/drawing/2015/06/chart">
            <c:ext xmlns:c16="http://schemas.microsoft.com/office/drawing/2014/chart" uri="{C3380CC4-5D6E-409C-BE32-E72D297353CC}">
              <c16:uniqueId val="{00000007-EF2C-4F84-BE3B-83E7C49803D4}"/>
            </c:ext>
          </c:extLst>
        </c:ser>
        <c:dLbls>
          <c:showVal val="1"/>
        </c:dLbls>
        <c:gapWidth val="59"/>
        <c:overlap val="-24"/>
        <c:axId val="171585536"/>
        <c:axId val="171587072"/>
      </c:barChart>
      <c:catAx>
        <c:axId val="171585536"/>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71587072"/>
        <c:crosses val="autoZero"/>
        <c:auto val="1"/>
        <c:lblAlgn val="ctr"/>
        <c:lblOffset val="100"/>
      </c:catAx>
      <c:valAx>
        <c:axId val="171587072"/>
        <c:scaling>
          <c:orientation val="minMax"/>
        </c:scaling>
        <c:delete val="1"/>
        <c:axPos val="l"/>
        <c:numFmt formatCode="0.00%" sourceLinked="1"/>
        <c:majorTickMark val="none"/>
        <c:tickLblPos val="none"/>
        <c:crossAx val="171585536"/>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chartSpace>
</file>

<file path=word/charts/chart3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spPr>
            <a:solidFill>
              <a:schemeClr val="accent1">
                <a:alpha val="70000"/>
              </a:schemeClr>
            </a:solidFill>
            <a:ln>
              <a:noFill/>
            </a:ln>
            <a:effectLst/>
          </c:spPr>
          <c:dLbls>
            <c:dLbl>
              <c:idx val="0"/>
              <c:tx>
                <c:rich>
                  <a:bodyPr/>
                  <a:lstStyle/>
                  <a:p>
                    <a:r>
                      <a:rPr lang="en-US"/>
                      <a:t>9.5%</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53BD-449B-B0EC-CC8CE755C2BF}"/>
                </c:ext>
              </c:extLst>
            </c:dLbl>
            <c:dLbl>
              <c:idx val="1"/>
              <c:tx>
                <c:rich>
                  <a:bodyPr/>
                  <a:lstStyle/>
                  <a:p>
                    <a:r>
                      <a:rPr lang="en-US"/>
                      <a:t>10.6%</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3BD-449B-B0EC-CC8CE755C2BF}"/>
                </c:ext>
              </c:extLst>
            </c:dLbl>
            <c:dLbl>
              <c:idx val="2"/>
              <c:tx>
                <c:rich>
                  <a:bodyPr/>
                  <a:lstStyle/>
                  <a:p>
                    <a:r>
                      <a:rPr lang="en-US"/>
                      <a:t>18.3%</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53BD-449B-B0EC-CC8CE755C2BF}"/>
                </c:ext>
              </c:extLst>
            </c:dLbl>
            <c:dLbl>
              <c:idx val="3"/>
              <c:tx>
                <c:rich>
                  <a:bodyPr/>
                  <a:lstStyle/>
                  <a:p>
                    <a:r>
                      <a:rPr lang="en-US"/>
                      <a:t>14.9%</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53BD-449B-B0EC-CC8CE755C2BF}"/>
                </c:ext>
              </c:extLst>
            </c:dLbl>
            <c:spPr>
              <a:noFill/>
              <a:ln>
                <a:noFill/>
              </a:ln>
              <a:effectLst/>
            </c:spPr>
            <c:txPr>
              <a:bodyPr rot="0" vert="horz"/>
              <a:lstStyle/>
              <a:p>
                <a:pPr>
                  <a:defRPr b="1">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филмске пројекције</c:v>
                </c:pt>
                <c:pt idx="1">
                  <c:v>позоришне представе</c:v>
                </c:pt>
                <c:pt idx="2">
                  <c:v>концерти</c:v>
                </c:pt>
                <c:pt idx="3">
                  <c:v>изложбе</c:v>
                </c:pt>
                <c:pt idx="4">
                  <c:v>књижевне вечери/трибине</c:v>
                </c:pt>
              </c:strCache>
            </c:strRef>
          </c:cat>
          <c:val>
            <c:numRef>
              <c:f>Sheet1!$B$2:$B$6</c:f>
              <c:numCache>
                <c:formatCode>0.00%</c:formatCode>
                <c:ptCount val="5"/>
                <c:pt idx="0">
                  <c:v>9.5000000000000029E-2</c:v>
                </c:pt>
                <c:pt idx="1">
                  <c:v>0.10600000000000002</c:v>
                </c:pt>
                <c:pt idx="2">
                  <c:v>0.18300000000000005</c:v>
                </c:pt>
                <c:pt idx="3">
                  <c:v>0.14900000000000005</c:v>
                </c:pt>
                <c:pt idx="4" formatCode="0%">
                  <c:v>0.13</c:v>
                </c:pt>
              </c:numCache>
            </c:numRef>
          </c:val>
          <c:extLst xmlns:c16r2="http://schemas.microsoft.com/office/drawing/2015/06/chart">
            <c:ext xmlns:c16="http://schemas.microsoft.com/office/drawing/2014/chart" uri="{C3380CC4-5D6E-409C-BE32-E72D297353CC}">
              <c16:uniqueId val="{00000004-53BD-449B-B0EC-CC8CE755C2BF}"/>
            </c:ext>
          </c:extLst>
        </c:ser>
        <c:dLbls>
          <c:showVal val="1"/>
        </c:dLbls>
        <c:gapWidth val="80"/>
        <c:overlap val="25"/>
        <c:axId val="171641472"/>
        <c:axId val="171708800"/>
      </c:barChart>
      <c:catAx>
        <c:axId val="171641472"/>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vert="horz"/>
          <a:lstStyle/>
          <a:p>
            <a:pPr>
              <a:defRPr/>
            </a:pPr>
            <a:endParaRPr lang="en-US"/>
          </a:p>
        </c:txPr>
        <c:crossAx val="171708800"/>
        <c:crosses val="autoZero"/>
        <c:auto val="1"/>
        <c:lblAlgn val="ctr"/>
        <c:lblOffset val="100"/>
      </c:catAx>
      <c:valAx>
        <c:axId val="171708800"/>
        <c:scaling>
          <c:orientation val="minMax"/>
        </c:scaling>
        <c:delete val="1"/>
        <c:axPos val="l"/>
        <c:majorGridlines>
          <c:spPr>
            <a:ln w="9525" cap="flat" cmpd="sng" algn="ctr">
              <a:solidFill>
                <a:schemeClr val="tx1">
                  <a:lumMod val="5000"/>
                  <a:lumOff val="95000"/>
                </a:schemeClr>
              </a:solidFill>
              <a:round/>
            </a:ln>
            <a:effectLst/>
          </c:spPr>
        </c:majorGridlines>
        <c:numFmt formatCode="0.00%" sourceLinked="1"/>
        <c:majorTickMark val="none"/>
        <c:tickLblPos val="none"/>
        <c:crossAx val="171641472"/>
        <c:crosses val="autoZero"/>
        <c:crossBetween val="between"/>
      </c:valAx>
      <c:spPr>
        <a:noFill/>
        <a:ln>
          <a:noFill/>
        </a:ln>
        <a:effectLst/>
      </c:spPr>
    </c:plotArea>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1768443830017437"/>
          <c:y val="1.7275225755791126E-2"/>
          <c:w val="0.75992370419346456"/>
          <c:h val="0.91149321882467871"/>
        </c:manualLayout>
      </c:layout>
      <c:barChart>
        <c:barDir val="bar"/>
        <c:grouping val="clustered"/>
        <c:ser>
          <c:idx val="0"/>
          <c:order val="0"/>
          <c:tx>
            <c:strRef>
              <c:f>Sheet1!$B$1</c:f>
              <c:strCache>
                <c:ptCount val="1"/>
                <c:pt idx="0">
                  <c:v>кафићи</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1"/>
              <c:layout>
                <c:manualLayout>
                  <c:x val="-1.034386830678424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6C7-4A73-AE7E-20543628CD86}"/>
                </c:ext>
              </c:extLst>
            </c:dLbl>
            <c:dLbl>
              <c:idx val="4"/>
              <c:layout>
                <c:manualLayout>
                  <c:x val="-8.704557091653865E-3"/>
                  <c:y val="7.139669790272175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Sheet1!$B$2:$B$6</c:f>
              <c:numCache>
                <c:formatCode>0.0%</c:formatCode>
                <c:ptCount val="5"/>
                <c:pt idx="0">
                  <c:v>0.14200000000000004</c:v>
                </c:pt>
                <c:pt idx="1">
                  <c:v>1.4E-2</c:v>
                </c:pt>
                <c:pt idx="2">
                  <c:v>0.19800000000000001</c:v>
                </c:pt>
                <c:pt idx="3">
                  <c:v>0.113</c:v>
                </c:pt>
                <c:pt idx="4">
                  <c:v>0.21900000000000006</c:v>
                </c:pt>
              </c:numCache>
            </c:numRef>
          </c:val>
          <c:extLst xmlns:c16r2="http://schemas.microsoft.com/office/drawing/2015/06/chart">
            <c:ext xmlns:c16="http://schemas.microsoft.com/office/drawing/2014/chart" uri="{C3380CC4-5D6E-409C-BE32-E72D297353CC}">
              <c16:uniqueId val="{00000002-76C7-4A73-AE7E-20543628CD86}"/>
            </c:ext>
          </c:extLst>
        </c:ser>
        <c:ser>
          <c:idx val="1"/>
          <c:order val="1"/>
          <c:tx>
            <c:strRef>
              <c:f>Sheet1!$C$1</c:f>
              <c:strCache>
                <c:ptCount val="1"/>
                <c:pt idx="0">
                  <c:v>ресторани</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1.4169221213760504E-3"/>
                  <c:y val="1.203453808556501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6C7-4A73-AE7E-20543628CD86}"/>
                </c:ext>
              </c:extLst>
            </c:dLbl>
            <c:dLbl>
              <c:idx val="1"/>
              <c:layout>
                <c:manualLayout>
                  <c:x val="-6.7593163757756107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6C7-4A73-AE7E-20543628CD86}"/>
                </c:ext>
              </c:extLst>
            </c:dLbl>
            <c:dLbl>
              <c:idx val="4"/>
              <c:layout>
                <c:manualLayout>
                  <c:x val="-5.1203277009728644E-4"/>
                  <c:y val="-5.3547523427041844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Sheet1!$C$2:$C$6</c:f>
              <c:numCache>
                <c:formatCode>0.0%</c:formatCode>
                <c:ptCount val="5"/>
                <c:pt idx="0">
                  <c:v>3.4000000000000002E-2</c:v>
                </c:pt>
                <c:pt idx="1">
                  <c:v>4.0000000000000015E-2</c:v>
                </c:pt>
                <c:pt idx="2">
                  <c:v>0.129</c:v>
                </c:pt>
                <c:pt idx="3">
                  <c:v>0.18800000000000006</c:v>
                </c:pt>
                <c:pt idx="4">
                  <c:v>0.19500000000000001</c:v>
                </c:pt>
              </c:numCache>
            </c:numRef>
          </c:val>
          <c:extLst xmlns:c16r2="http://schemas.microsoft.com/office/drawing/2015/06/chart">
            <c:ext xmlns:c16="http://schemas.microsoft.com/office/drawing/2014/chart" uri="{C3380CC4-5D6E-409C-BE32-E72D297353CC}">
              <c16:uniqueId val="{00000006-76C7-4A73-AE7E-20543628CD86}"/>
            </c:ext>
          </c:extLst>
        </c:ser>
        <c:ser>
          <c:idx val="2"/>
          <c:order val="2"/>
          <c:tx>
            <c:strRef>
              <c:f>Sheet1!$D$1</c:f>
              <c:strCache>
                <c:ptCount val="1"/>
                <c:pt idx="0">
                  <c:v>тржни центри</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1"/>
              <c:layout>
                <c:manualLayout>
                  <c:x val="5.8162084578137433E-3"/>
                  <c:y val="1.784917447568050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76C7-4A73-AE7E-20543628CD86}"/>
                </c:ext>
              </c:extLst>
            </c:dLbl>
            <c:dLbl>
              <c:idx val="4"/>
              <c:layout>
                <c:manualLayout>
                  <c:x val="1.8736367631465431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Sheet1!$D$2:$D$6</c:f>
              <c:numCache>
                <c:formatCode>0.0%</c:formatCode>
                <c:ptCount val="5"/>
                <c:pt idx="0">
                  <c:v>8.0000000000000029E-2</c:v>
                </c:pt>
                <c:pt idx="1">
                  <c:v>4.8000000000000001E-2</c:v>
                </c:pt>
                <c:pt idx="2">
                  <c:v>0.18800000000000006</c:v>
                </c:pt>
                <c:pt idx="3">
                  <c:v>0.24800000000000005</c:v>
                </c:pt>
                <c:pt idx="4">
                  <c:v>3.7999999999999999E-2</c:v>
                </c:pt>
              </c:numCache>
            </c:numRef>
          </c:val>
          <c:extLst xmlns:c16r2="http://schemas.microsoft.com/office/drawing/2015/06/chart">
            <c:ext xmlns:c16="http://schemas.microsoft.com/office/drawing/2014/chart" uri="{C3380CC4-5D6E-409C-BE32-E72D297353CC}">
              <c16:uniqueId val="{00000009-76C7-4A73-AE7E-20543628CD86}"/>
            </c:ext>
          </c:extLst>
        </c:ser>
        <c:ser>
          <c:idx val="3"/>
          <c:order val="3"/>
          <c:tx>
            <c:strRef>
              <c:f>Sheet1!$E$1</c:f>
              <c:strCache>
                <c:ptCount val="1"/>
                <c:pt idx="0">
                  <c:v>паркови</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2"/>
              <c:layout>
                <c:manualLayout>
                  <c:x val="-4.608294930875576E-3"/>
                  <c:y val="-6.5446217037211372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76C7-4A73-AE7E-20543628CD86}"/>
                </c:ext>
              </c:extLst>
            </c:dLbl>
            <c:dLbl>
              <c:idx val="4"/>
              <c:layout>
                <c:manualLayout>
                  <c:x val="2.0900935770125525E-2"/>
                  <c:y val="-3.2723108518605674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Sheet1!$E$2:$E$6</c:f>
              <c:numCache>
                <c:formatCode>0.0%</c:formatCode>
                <c:ptCount val="5"/>
                <c:pt idx="0">
                  <c:v>0.17400000000000004</c:v>
                </c:pt>
                <c:pt idx="1">
                  <c:v>0.20800000000000005</c:v>
                </c:pt>
                <c:pt idx="2">
                  <c:v>0.24600000000000005</c:v>
                </c:pt>
                <c:pt idx="3">
                  <c:v>0.10700000000000003</c:v>
                </c:pt>
                <c:pt idx="4">
                  <c:v>2.5999999999999999E-2</c:v>
                </c:pt>
              </c:numCache>
            </c:numRef>
          </c:val>
          <c:extLst xmlns:c16r2="http://schemas.microsoft.com/office/drawing/2015/06/chart">
            <c:ext xmlns:c16="http://schemas.microsoft.com/office/drawing/2014/chart" uri="{C3380CC4-5D6E-409C-BE32-E72D297353CC}">
              <c16:uniqueId val="{0000000C-76C7-4A73-AE7E-20543628CD86}"/>
            </c:ext>
          </c:extLst>
        </c:ser>
        <c:ser>
          <c:idx val="4"/>
          <c:order val="4"/>
          <c:tx>
            <c:strRef>
              <c:f>Sheet1!$F$1</c:f>
              <c:strCache>
                <c:ptCount val="1"/>
                <c:pt idx="0">
                  <c:v>улице</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2"/>
              <c:layout>
                <c:manualLayout>
                  <c:x val="-4.608294930875576E-3"/>
                  <c:y val="-1.7849174475681163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76C7-4A73-AE7E-20543628CD86}"/>
                </c:ext>
              </c:extLst>
            </c:dLbl>
            <c:dLbl>
              <c:idx val="3"/>
              <c:layout>
                <c:manualLayout>
                  <c:x val="-2.5601638504864333E-3"/>
                  <c:y val="1.784917447568050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76C7-4A73-AE7E-20543628CD86}"/>
                </c:ext>
              </c:extLst>
            </c:dLbl>
            <c:dLbl>
              <c:idx val="4"/>
              <c:layout>
                <c:manualLayout>
                  <c:x val="1.8852804689736369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Sheet1!$F$2:$F$6</c:f>
              <c:numCache>
                <c:formatCode>0.0%</c:formatCode>
                <c:ptCount val="5"/>
                <c:pt idx="0">
                  <c:v>9.9000000000000046E-2</c:v>
                </c:pt>
                <c:pt idx="1">
                  <c:v>0.13100000000000001</c:v>
                </c:pt>
                <c:pt idx="2">
                  <c:v>0.24900000000000005</c:v>
                </c:pt>
                <c:pt idx="3">
                  <c:v>0.21600000000000005</c:v>
                </c:pt>
                <c:pt idx="4">
                  <c:v>2.5999999999999999E-2</c:v>
                </c:pt>
              </c:numCache>
            </c:numRef>
          </c:val>
          <c:extLst xmlns:c16r2="http://schemas.microsoft.com/office/drawing/2015/06/chart">
            <c:ext xmlns:c16="http://schemas.microsoft.com/office/drawing/2014/chart" uri="{C3380CC4-5D6E-409C-BE32-E72D297353CC}">
              <c16:uniqueId val="{00000010-76C7-4A73-AE7E-20543628CD86}"/>
            </c:ext>
          </c:extLst>
        </c:ser>
        <c:ser>
          <c:idx val="5"/>
          <c:order val="5"/>
          <c:tx>
            <c:strRef>
              <c:f>Sheet1!$G$1</c:f>
              <c:strCache>
                <c:ptCount val="1"/>
                <c:pt idx="0">
                  <c:v>градске четврти</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2"/>
              <c:layout>
                <c:manualLayout>
                  <c:x val="-2.5601638504864333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76C7-4A73-AE7E-20543628CD86}"/>
                </c:ext>
              </c:extLst>
            </c:dLbl>
            <c:dLbl>
              <c:idx val="3"/>
              <c:layout>
                <c:manualLayout>
                  <c:x val="6.1443932411674364E-3"/>
                  <c:y val="-3.569834895136134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76C7-4A73-AE7E-20543628CD86}"/>
                </c:ext>
              </c:extLst>
            </c:dLbl>
            <c:dLbl>
              <c:idx val="4"/>
              <c:layout>
                <c:manualLayout>
                  <c:x val="-4.3476823461583427E-3"/>
                  <c:y val="-1.636155425930284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Sheet1!$G$2:$G$6</c:f>
              <c:numCache>
                <c:formatCode>0.0%</c:formatCode>
                <c:ptCount val="5"/>
                <c:pt idx="0">
                  <c:v>8.9000000000000051E-2</c:v>
                </c:pt>
                <c:pt idx="1">
                  <c:v>6.5000000000000002E-2</c:v>
                </c:pt>
                <c:pt idx="2">
                  <c:v>0.17100000000000001</c:v>
                </c:pt>
                <c:pt idx="3">
                  <c:v>0.19</c:v>
                </c:pt>
                <c:pt idx="4">
                  <c:v>4.3000000000000003E-2</c:v>
                </c:pt>
              </c:numCache>
            </c:numRef>
          </c:val>
          <c:extLst xmlns:c16r2="http://schemas.microsoft.com/office/drawing/2015/06/chart">
            <c:ext xmlns:c16="http://schemas.microsoft.com/office/drawing/2014/chart" uri="{C3380CC4-5D6E-409C-BE32-E72D297353CC}">
              <c16:uniqueId val="{00000014-76C7-4A73-AE7E-20543628CD86}"/>
            </c:ext>
          </c:extLst>
        </c:ser>
        <c:ser>
          <c:idx val="6"/>
          <c:order val="6"/>
          <c:tx>
            <c:strRef>
              <c:f>Sheet1!$H$1</c:f>
              <c:strCache>
                <c:ptCount val="1"/>
                <c:pt idx="0">
                  <c:v>објекти културног наслеђа</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4.608294930875576E-3"/>
                  <c:y val="-1.308924340744226E-16"/>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76C7-4A73-AE7E-20543628CD86}"/>
                </c:ext>
              </c:extLst>
            </c:dLbl>
            <c:dLbl>
              <c:idx val="1"/>
              <c:layout>
                <c:manualLayout>
                  <c:x val="-2.5601638504864333E-3"/>
                  <c:y val="-6.5446217037211372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76C7-4A73-AE7E-20543628CD86}"/>
                </c:ext>
              </c:extLst>
            </c:dLbl>
            <c:dLbl>
              <c:idx val="2"/>
              <c:layout>
                <c:manualLayout>
                  <c:x val="-8.704557091653865E-3"/>
                  <c:y val="-3.56983489513616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76C7-4A73-AE7E-20543628CD86}"/>
                </c:ext>
              </c:extLst>
            </c:dLbl>
            <c:dLbl>
              <c:idx val="3"/>
              <c:layout>
                <c:manualLayout>
                  <c:x val="-5.1203277009728644E-4"/>
                  <c:y val="-5.3547523427041515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76C7-4A73-AE7E-20543628CD86}"/>
                </c:ext>
              </c:extLst>
            </c:dLbl>
            <c:dLbl>
              <c:idx val="4"/>
              <c:layout>
                <c:manualLayout>
                  <c:x val="-4.608294930875576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Sheet1!$H$2:$H$6</c:f>
              <c:numCache>
                <c:formatCode>0.0%</c:formatCode>
                <c:ptCount val="5"/>
                <c:pt idx="0">
                  <c:v>0.10500000000000002</c:v>
                </c:pt>
                <c:pt idx="1">
                  <c:v>0.15500000000000005</c:v>
                </c:pt>
                <c:pt idx="2">
                  <c:v>0.126</c:v>
                </c:pt>
                <c:pt idx="3">
                  <c:v>0.14900000000000005</c:v>
                </c:pt>
                <c:pt idx="4">
                  <c:v>0.112</c:v>
                </c:pt>
              </c:numCache>
            </c:numRef>
          </c:val>
          <c:extLst xmlns:c16r2="http://schemas.microsoft.com/office/drawing/2015/06/chart">
            <c:ext xmlns:c16="http://schemas.microsoft.com/office/drawing/2014/chart" uri="{C3380CC4-5D6E-409C-BE32-E72D297353CC}">
              <c16:uniqueId val="{0000001A-76C7-4A73-AE7E-20543628CD86}"/>
            </c:ext>
          </c:extLst>
        </c:ser>
        <c:ser>
          <c:idx val="7"/>
          <c:order val="7"/>
          <c:tx>
            <c:strRef>
              <c:f>Sheet1!$I$1</c:f>
              <c:strCache>
                <c:ptCount val="1"/>
                <c:pt idx="0">
                  <c:v>спортске хале</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4.608294930875576E-3"/>
                  <c:y val="-1.784917447568050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B-76C7-4A73-AE7E-20543628CD86}"/>
                </c:ext>
              </c:extLst>
            </c:dLbl>
            <c:dLbl>
              <c:idx val="1"/>
              <c:layout>
                <c:manualLayout>
                  <c:x val="-5.6323604710701129E-3"/>
                  <c:y val="-6.5446217037211372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76C7-4A73-AE7E-20543628CD86}"/>
                </c:ext>
              </c:extLst>
            </c:dLbl>
            <c:dLbl>
              <c:idx val="2"/>
              <c:layout>
                <c:manualLayout>
                  <c:x val="-2.5601638504864333E-3"/>
                  <c:y val="1.784917447568050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76C7-4A73-AE7E-20543628CD86}"/>
                </c:ext>
              </c:extLst>
            </c:dLbl>
            <c:dLbl>
              <c:idx val="3"/>
              <c:layout>
                <c:manualLayout>
                  <c:x val="3.6195628218228084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76C7-4A73-AE7E-20543628CD86}"/>
                </c:ext>
              </c:extLst>
            </c:dLbl>
            <c:dLbl>
              <c:idx val="4"/>
              <c:layout>
                <c:manualLayout>
                  <c:x val="2.2579435635061754E-3"/>
                  <c:y val="-5.8143686693101337E-4"/>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Sheet1!$I$2:$I$6</c:f>
              <c:numCache>
                <c:formatCode>0.0%</c:formatCode>
                <c:ptCount val="5"/>
                <c:pt idx="0">
                  <c:v>9.4000000000000028E-2</c:v>
                </c:pt>
                <c:pt idx="1">
                  <c:v>6.5000000000000002E-2</c:v>
                </c:pt>
                <c:pt idx="2">
                  <c:v>0.47900000000000009</c:v>
                </c:pt>
                <c:pt idx="3">
                  <c:v>1.0000000000000004E-2</c:v>
                </c:pt>
                <c:pt idx="4">
                  <c:v>1.2999999999999998E-2</c:v>
                </c:pt>
              </c:numCache>
            </c:numRef>
          </c:val>
          <c:extLst xmlns:c16r2="http://schemas.microsoft.com/office/drawing/2015/06/chart">
            <c:ext xmlns:c16="http://schemas.microsoft.com/office/drawing/2014/chart" uri="{C3380CC4-5D6E-409C-BE32-E72D297353CC}">
              <c16:uniqueId val="{00000020-76C7-4A73-AE7E-20543628CD86}"/>
            </c:ext>
          </c:extLst>
        </c:ser>
        <c:ser>
          <c:idx val="8"/>
          <c:order val="8"/>
          <c:tx>
            <c:strRef>
              <c:f>Sheet1!$J$1</c:f>
              <c:strCache>
                <c:ptCount val="1"/>
                <c:pt idx="0">
                  <c:v>књижаре</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6.3542057242844683E-3"/>
                  <c:y val="-3.569834895136101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76C7-4A73-AE7E-20543628CD86}"/>
                </c:ext>
              </c:extLst>
            </c:dLbl>
            <c:dLbl>
              <c:idx val="1"/>
              <c:layout>
                <c:manualLayout>
                  <c:x val="5.1100064104890111E-3"/>
                  <c:y val="-6.5446217037211372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2-76C7-4A73-AE7E-20543628CD86}"/>
                </c:ext>
              </c:extLst>
            </c:dLbl>
            <c:dLbl>
              <c:idx val="2"/>
              <c:layout>
                <c:manualLayout>
                  <c:x val="2.6758590660038464E-2"/>
                  <c:y val="1.7849174475679849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3-76C7-4A73-AE7E-20543628CD86}"/>
                </c:ext>
              </c:extLst>
            </c:dLbl>
            <c:dLbl>
              <c:idx val="3"/>
              <c:layout>
                <c:manualLayout>
                  <c:x val="9.7286226318484392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4-76C7-4A73-AE7E-20543628CD86}"/>
                </c:ext>
              </c:extLst>
            </c:dLbl>
            <c:dLbl>
              <c:idx val="4"/>
              <c:layout>
                <c:manualLayout>
                  <c:x val="-4.608294930875576E-3"/>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5-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Sheet1!$J$2:$J$6</c:f>
              <c:numCache>
                <c:formatCode>0.0%</c:formatCode>
                <c:ptCount val="5"/>
                <c:pt idx="0">
                  <c:v>1.2999999999999998E-2</c:v>
                </c:pt>
                <c:pt idx="1">
                  <c:v>1.4E-2</c:v>
                </c:pt>
                <c:pt idx="2">
                  <c:v>1.7999999999999999E-2</c:v>
                </c:pt>
                <c:pt idx="3">
                  <c:v>0.13100000000000001</c:v>
                </c:pt>
                <c:pt idx="4">
                  <c:v>0.44900000000000001</c:v>
                </c:pt>
              </c:numCache>
            </c:numRef>
          </c:val>
          <c:extLst xmlns:c16r2="http://schemas.microsoft.com/office/drawing/2015/06/chart">
            <c:ext xmlns:c16="http://schemas.microsoft.com/office/drawing/2014/chart" uri="{C3380CC4-5D6E-409C-BE32-E72D297353CC}">
              <c16:uniqueId val="{00000026-76C7-4A73-AE7E-20543628CD86}"/>
            </c:ext>
          </c:extLst>
        </c:ser>
        <c:ser>
          <c:idx val="9"/>
          <c:order val="9"/>
          <c:tx>
            <c:strRef>
              <c:f>Sheet1!$K$1</c:f>
              <c:strCache>
                <c:ptCount val="1"/>
                <c:pt idx="0">
                  <c:v>школе</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dLbls>
            <c:dLbl>
              <c:idx val="0"/>
              <c:layout>
                <c:manualLayout>
                  <c:x val="-4.6082949308756515E-3"/>
                  <c:y val="1.7849174475680506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7-76C7-4A73-AE7E-20543628CD86}"/>
                </c:ext>
              </c:extLst>
            </c:dLbl>
            <c:dLbl>
              <c:idx val="1"/>
              <c:layout>
                <c:manualLayout>
                  <c:x val="1.5360983102918591E-3"/>
                  <c:y val="1.591089896579157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8-76C7-4A73-AE7E-20543628CD86}"/>
                </c:ext>
              </c:extLst>
            </c:dLbl>
            <c:dLbl>
              <c:idx val="2"/>
              <c:layout>
                <c:manualLayout>
                  <c:x val="2.1341203317327279E-2"/>
                  <c:y val="0"/>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9-76C7-4A73-AE7E-20543628CD86}"/>
                </c:ext>
              </c:extLst>
            </c:dLbl>
            <c:dLbl>
              <c:idx val="3"/>
              <c:layout>
                <c:manualLayout>
                  <c:x val="1.5360983102918591E-3"/>
                  <c:y val="-3.2723108518605674E-17"/>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A-76C7-4A73-AE7E-20543628CD86}"/>
                </c:ext>
              </c:extLst>
            </c:dLbl>
            <c:dLbl>
              <c:idx val="4"/>
              <c:layout>
                <c:manualLayout>
                  <c:x val="1.5360983102918591E-3"/>
                  <c:y val="-5.3547523427041437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2B-76C7-4A73-AE7E-20543628CD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филм</c:v>
                </c:pt>
                <c:pt idx="1">
                  <c:v>позоришна представа</c:v>
                </c:pt>
                <c:pt idx="2">
                  <c:v>концерт</c:v>
                </c:pt>
                <c:pt idx="3">
                  <c:v>изложба</c:v>
                </c:pt>
                <c:pt idx="4">
                  <c:v>књижевно вече</c:v>
                </c:pt>
              </c:strCache>
            </c:strRef>
          </c:cat>
          <c:val>
            <c:numRef>
              <c:f>Sheet1!$K$2:$K$6</c:f>
              <c:numCache>
                <c:formatCode>0.0%</c:formatCode>
                <c:ptCount val="5"/>
                <c:pt idx="0">
                  <c:v>0.11799999999999998</c:v>
                </c:pt>
                <c:pt idx="1">
                  <c:v>0.31600000000000011</c:v>
                </c:pt>
                <c:pt idx="2">
                  <c:v>2.4E-2</c:v>
                </c:pt>
                <c:pt idx="3">
                  <c:v>0.14100000000000001</c:v>
                </c:pt>
                <c:pt idx="4">
                  <c:v>0.14500000000000005</c:v>
                </c:pt>
              </c:numCache>
            </c:numRef>
          </c:val>
          <c:extLst xmlns:c16r2="http://schemas.microsoft.com/office/drawing/2015/06/chart">
            <c:ext xmlns:c16="http://schemas.microsoft.com/office/drawing/2014/chart" uri="{C3380CC4-5D6E-409C-BE32-E72D297353CC}">
              <c16:uniqueId val="{0000002C-76C7-4A73-AE7E-20543628CD86}"/>
            </c:ext>
          </c:extLst>
        </c:ser>
        <c:dLbls>
          <c:showVal val="1"/>
        </c:dLbls>
        <c:gapWidth val="115"/>
        <c:overlap val="-20"/>
        <c:axId val="113025408"/>
        <c:axId val="113026944"/>
      </c:barChart>
      <c:catAx>
        <c:axId val="113025408"/>
        <c:scaling>
          <c:orientation val="minMax"/>
        </c:scaling>
        <c:axPos val="l"/>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026944"/>
        <c:crosses val="autoZero"/>
        <c:auto val="1"/>
        <c:lblAlgn val="ctr"/>
        <c:lblOffset val="100"/>
      </c:catAx>
      <c:valAx>
        <c:axId val="113026944"/>
        <c:scaling>
          <c:orientation val="minMax"/>
        </c:scaling>
        <c:delete val="1"/>
        <c:axPos val="b"/>
        <c:numFmt formatCode="0.0%" sourceLinked="1"/>
        <c:majorTickMark val="none"/>
        <c:tickLblPos val="none"/>
        <c:crossAx val="113025408"/>
        <c:crosses val="autoZero"/>
        <c:crossBetween val="between"/>
      </c:valAx>
      <c:spPr>
        <a:noFill/>
        <a:ln>
          <a:noFill/>
        </a:ln>
        <a:effectLst/>
      </c:spPr>
    </c:plotArea>
    <c:legend>
      <c:legendPos val="b"/>
      <c:layout>
        <c:manualLayout>
          <c:xMode val="edge"/>
          <c:yMode val="edge"/>
          <c:x val="0"/>
          <c:y val="0.92876844458046981"/>
          <c:w val="1"/>
          <c:h val="7.1231555419530149E-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7.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barChart>
        <c:barDir val="bar"/>
        <c:grouping val="clustered"/>
        <c:ser>
          <c:idx val="0"/>
          <c:order val="0"/>
          <c:tx>
            <c:strRef>
              <c:f>Sheet1!$B$1</c:f>
              <c:strCache>
                <c:ptCount val="1"/>
                <c:pt idx="0">
                  <c:v>Series 1</c:v>
                </c:pt>
              </c:strCache>
            </c:strRef>
          </c:tx>
          <c:spPr>
            <a:solidFill>
              <a:schemeClr val="accent1"/>
            </a:solidFill>
            <a:ln>
              <a:noFill/>
            </a:ln>
            <a:effectLst/>
          </c:spPr>
          <c:dLbls>
            <c:dLbl>
              <c:idx val="14"/>
              <c:layout>
                <c:manualLayout>
                  <c:x val="1.7049998379832159E-2"/>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BD0C-4ABF-822A-37C0C12417E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Sheet1!$A$2:$A$16</c:f>
              <c:strCache>
                <c:ptCount val="15"/>
                <c:pt idx="0">
                  <c:v>неговање традиције и заштите културног наслеђа</c:v>
                </c:pt>
                <c:pt idx="1">
                  <c:v>неговање савременог старалаштваи продукције</c:v>
                </c:pt>
                <c:pt idx="2">
                  <c:v>опремање/реновирање/реконструкција установа  и других простора културе</c:v>
                </c:pt>
                <c:pt idx="3">
                  <c:v>обезбеђивање других простора за потребе културе</c:v>
                </c:pt>
                <c:pt idx="4">
                  <c:v>оснивање нових установа културе</c:v>
                </c:pt>
                <c:pt idx="5">
                  <c:v>већи број културних програма</c:v>
                </c:pt>
                <c:pt idx="6">
                  <c:v>већа разноврсност културних програма према узрастима и групама публике</c:v>
                </c:pt>
                <c:pt idx="7">
                  <c:v>већа разноврсност културних програма према типу програма</c:v>
                </c:pt>
                <c:pt idx="8">
                  <c:v>развој културног образовања деце и младих у оквиру школског система</c:v>
                </c:pt>
                <c:pt idx="9">
                  <c:v>већи акценат на развоју културног туризма</c:v>
                </c:pt>
                <c:pt idx="10">
                  <c:v>усклађивање програма са потребама и укусом публике</c:v>
                </c:pt>
                <c:pt idx="11">
                  <c:v>боља промоција и подршка културно - уметничком аматеризму</c:v>
                </c:pt>
                <c:pt idx="12">
                  <c:v>боља промоција културних програма</c:v>
                </c:pt>
                <c:pt idx="13">
                  <c:v>промовисање мултикултуралности</c:v>
                </c:pt>
                <c:pt idx="14">
                  <c:v>тренутно стање је задовољавајуће</c:v>
                </c:pt>
              </c:strCache>
            </c:strRef>
          </c:cat>
          <c:val>
            <c:numRef>
              <c:f>Sheet1!$B$2:$B$16</c:f>
              <c:numCache>
                <c:formatCode>0.0%</c:formatCode>
                <c:ptCount val="15"/>
                <c:pt idx="0">
                  <c:v>0.17900000000000005</c:v>
                </c:pt>
                <c:pt idx="1">
                  <c:v>4.2000000000000016E-2</c:v>
                </c:pt>
                <c:pt idx="2">
                  <c:v>0.112</c:v>
                </c:pt>
                <c:pt idx="3">
                  <c:v>4.7000000000000014E-2</c:v>
                </c:pt>
                <c:pt idx="4">
                  <c:v>4.2000000000000016E-2</c:v>
                </c:pt>
                <c:pt idx="5">
                  <c:v>8.8000000000000037E-2</c:v>
                </c:pt>
                <c:pt idx="6">
                  <c:v>7.0999999999999994E-2</c:v>
                </c:pt>
                <c:pt idx="7">
                  <c:v>3.500000000000001E-2</c:v>
                </c:pt>
                <c:pt idx="8">
                  <c:v>8.2000000000000003E-2</c:v>
                </c:pt>
                <c:pt idx="9">
                  <c:v>4.9000000000000016E-2</c:v>
                </c:pt>
                <c:pt idx="10">
                  <c:v>4.2000000000000016E-2</c:v>
                </c:pt>
                <c:pt idx="11">
                  <c:v>4.3000000000000003E-2</c:v>
                </c:pt>
                <c:pt idx="12">
                  <c:v>4.9000000000000016E-2</c:v>
                </c:pt>
                <c:pt idx="13">
                  <c:v>2.8000000000000001E-2</c:v>
                </c:pt>
                <c:pt idx="14">
                  <c:v>1.2E-2</c:v>
                </c:pt>
              </c:numCache>
            </c:numRef>
          </c:val>
          <c:extLst xmlns:c16r2="http://schemas.microsoft.com/office/drawing/2015/06/chart">
            <c:ext xmlns:c16="http://schemas.microsoft.com/office/drawing/2014/chart" uri="{C3380CC4-5D6E-409C-BE32-E72D297353CC}">
              <c16:uniqueId val="{00000001-BD0C-4ABF-822A-37C0C12417EE}"/>
            </c:ext>
          </c:extLst>
        </c:ser>
        <c:dLbls>
          <c:showVal val="1"/>
        </c:dLbls>
        <c:gapWidth val="29"/>
        <c:overlap val="4"/>
        <c:axId val="171969152"/>
        <c:axId val="172011904"/>
      </c:barChart>
      <c:catAx>
        <c:axId val="17196915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011904"/>
        <c:crosses val="autoZero"/>
        <c:auto val="1"/>
        <c:lblAlgn val="ctr"/>
        <c:lblOffset val="100"/>
      </c:catAx>
      <c:valAx>
        <c:axId val="172011904"/>
        <c:scaling>
          <c:orientation val="minMax"/>
        </c:scaling>
        <c:delete val="1"/>
        <c:axPos val="b"/>
        <c:numFmt formatCode="0.0%" sourceLinked="1"/>
        <c:majorTickMark val="none"/>
        <c:tickLblPos val="none"/>
        <c:crossAx val="17196915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charts/chart38.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4504429133858281"/>
          <c:y val="4.3650793650793669E-2"/>
          <c:w val="0.52949274569845439"/>
          <c:h val="0.88144794400699888"/>
        </c:manualLayout>
      </c:layout>
      <c:barChart>
        <c:barDir val="bar"/>
        <c:grouping val="clustered"/>
        <c:ser>
          <c:idx val="0"/>
          <c:order val="0"/>
          <c:tx>
            <c:strRef>
              <c:f>Sheet1!$B$1</c:f>
              <c:strCache>
                <c:ptCount val="1"/>
                <c:pt idx="0">
                  <c:v>не знам</c:v>
                </c:pt>
              </c:strCache>
            </c:strRef>
          </c:tx>
          <c:spPr>
            <a:solidFill>
              <a:schemeClr val="accent6">
                <a:lumMod val="75000"/>
              </a:schemeClr>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Препознатљивост културне понуде у граду</c:v>
                </c:pt>
                <c:pt idx="1">
                  <c:v>Препознатљивост културне понуде у покрајини</c:v>
                </c:pt>
                <c:pt idx="2">
                  <c:v>Препознатљивост културне понуде у земљи</c:v>
                </c:pt>
                <c:pt idx="3">
                  <c:v>Препознатљивост културне понуде у околним земљама</c:v>
                </c:pt>
              </c:strCache>
            </c:strRef>
          </c:cat>
          <c:val>
            <c:numRef>
              <c:f>Sheet1!$B$2:$B$5</c:f>
              <c:numCache>
                <c:formatCode>0.0%</c:formatCode>
                <c:ptCount val="4"/>
                <c:pt idx="0">
                  <c:v>8.8000000000000037E-2</c:v>
                </c:pt>
                <c:pt idx="1">
                  <c:v>0.20600000000000004</c:v>
                </c:pt>
                <c:pt idx="2">
                  <c:v>0.26500000000000001</c:v>
                </c:pt>
                <c:pt idx="3">
                  <c:v>0.40800000000000008</c:v>
                </c:pt>
              </c:numCache>
            </c:numRef>
          </c:val>
          <c:extLst xmlns:c16r2="http://schemas.microsoft.com/office/drawing/2015/06/chart">
            <c:ext xmlns:c16="http://schemas.microsoft.com/office/drawing/2014/chart" uri="{C3380CC4-5D6E-409C-BE32-E72D297353CC}">
              <c16:uniqueId val="{00000000-A88E-4178-A0DD-8A15E9A7D768}"/>
            </c:ext>
          </c:extLst>
        </c:ser>
        <c:ser>
          <c:idx val="1"/>
          <c:order val="1"/>
          <c:tx>
            <c:strRef>
              <c:f>Sheet1!$C$1</c:f>
              <c:strCache>
                <c:ptCount val="1"/>
                <c:pt idx="0">
                  <c:v>не уопште</c:v>
                </c:pt>
              </c:strCache>
            </c:strRef>
          </c:tx>
          <c:spPr>
            <a:solidFill>
              <a:schemeClr val="accent2"/>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Препознатљивост културне понуде у граду</c:v>
                </c:pt>
                <c:pt idx="1">
                  <c:v>Препознатљивост културне понуде у покрајини</c:v>
                </c:pt>
                <c:pt idx="2">
                  <c:v>Препознатљивост културне понуде у земљи</c:v>
                </c:pt>
                <c:pt idx="3">
                  <c:v>Препознатљивост културне понуде у околним земљама</c:v>
                </c:pt>
              </c:strCache>
            </c:strRef>
          </c:cat>
          <c:val>
            <c:numRef>
              <c:f>Sheet1!$C$2:$C$5</c:f>
              <c:numCache>
                <c:formatCode>0.0%</c:formatCode>
                <c:ptCount val="4"/>
                <c:pt idx="0">
                  <c:v>4.0000000000000018E-3</c:v>
                </c:pt>
                <c:pt idx="1">
                  <c:v>2.8000000000000001E-2</c:v>
                </c:pt>
                <c:pt idx="2">
                  <c:v>0.128</c:v>
                </c:pt>
                <c:pt idx="3">
                  <c:v>0.15100000000000005</c:v>
                </c:pt>
              </c:numCache>
            </c:numRef>
          </c:val>
          <c:extLst xmlns:c16r2="http://schemas.microsoft.com/office/drawing/2015/06/chart">
            <c:ext xmlns:c16="http://schemas.microsoft.com/office/drawing/2014/chart" uri="{C3380CC4-5D6E-409C-BE32-E72D297353CC}">
              <c16:uniqueId val="{00000001-A88E-4178-A0DD-8A15E9A7D768}"/>
            </c:ext>
          </c:extLst>
        </c:ser>
        <c:ser>
          <c:idx val="2"/>
          <c:order val="2"/>
          <c:tx>
            <c:strRef>
              <c:f>Sheet1!$D$1</c:f>
              <c:strCache>
                <c:ptCount val="1"/>
                <c:pt idx="0">
                  <c:v>на ниском нивоу</c:v>
                </c:pt>
              </c:strCache>
            </c:strRef>
          </c:tx>
          <c:spPr>
            <a:solidFill>
              <a:schemeClr val="accent3"/>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Препознатљивост културне понуде у граду</c:v>
                </c:pt>
                <c:pt idx="1">
                  <c:v>Препознатљивост културне понуде у покрајини</c:v>
                </c:pt>
                <c:pt idx="2">
                  <c:v>Препознатљивост културне понуде у земљи</c:v>
                </c:pt>
                <c:pt idx="3">
                  <c:v>Препознатљивост културне понуде у околним земљама</c:v>
                </c:pt>
              </c:strCache>
            </c:strRef>
          </c:cat>
          <c:val>
            <c:numRef>
              <c:f>Sheet1!$D$2:$D$5</c:f>
              <c:numCache>
                <c:formatCode>0.0%</c:formatCode>
                <c:ptCount val="4"/>
                <c:pt idx="0">
                  <c:v>7.3000000000000009E-2</c:v>
                </c:pt>
                <c:pt idx="1">
                  <c:v>0.27300000000000002</c:v>
                </c:pt>
                <c:pt idx="2">
                  <c:v>0.34</c:v>
                </c:pt>
                <c:pt idx="3">
                  <c:v>0.23300000000000001</c:v>
                </c:pt>
              </c:numCache>
            </c:numRef>
          </c:val>
          <c:extLst xmlns:c16r2="http://schemas.microsoft.com/office/drawing/2015/06/chart">
            <c:ext xmlns:c16="http://schemas.microsoft.com/office/drawing/2014/chart" uri="{C3380CC4-5D6E-409C-BE32-E72D297353CC}">
              <c16:uniqueId val="{00000002-A88E-4178-A0DD-8A15E9A7D768}"/>
            </c:ext>
          </c:extLst>
        </c:ser>
        <c:ser>
          <c:idx val="3"/>
          <c:order val="3"/>
          <c:tx>
            <c:strRef>
              <c:f>Sheet1!$E$1</c:f>
              <c:strCache>
                <c:ptCount val="1"/>
                <c:pt idx="0">
                  <c:v>на средњем нивоу</c:v>
                </c:pt>
              </c:strCache>
            </c:strRef>
          </c:tx>
          <c:spPr>
            <a:solidFill>
              <a:schemeClr val="accent4"/>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Препознатљивост културне понуде у граду</c:v>
                </c:pt>
                <c:pt idx="1">
                  <c:v>Препознатљивост културне понуде у покрајини</c:v>
                </c:pt>
                <c:pt idx="2">
                  <c:v>Препознатљивост културне понуде у земљи</c:v>
                </c:pt>
                <c:pt idx="3">
                  <c:v>Препознатљивост културне понуде у околним земљама</c:v>
                </c:pt>
              </c:strCache>
            </c:strRef>
          </c:cat>
          <c:val>
            <c:numRef>
              <c:f>Sheet1!$E$2:$E$5</c:f>
              <c:numCache>
                <c:formatCode>0.0%</c:formatCode>
                <c:ptCount val="4"/>
                <c:pt idx="0">
                  <c:v>0.50800000000000001</c:v>
                </c:pt>
                <c:pt idx="1">
                  <c:v>0.42800000000000016</c:v>
                </c:pt>
                <c:pt idx="2">
                  <c:v>0.23</c:v>
                </c:pt>
                <c:pt idx="3">
                  <c:v>0.17600000000000005</c:v>
                </c:pt>
              </c:numCache>
            </c:numRef>
          </c:val>
          <c:extLst xmlns:c16r2="http://schemas.microsoft.com/office/drawing/2015/06/chart">
            <c:ext xmlns:c16="http://schemas.microsoft.com/office/drawing/2014/chart" uri="{C3380CC4-5D6E-409C-BE32-E72D297353CC}">
              <c16:uniqueId val="{00000003-A88E-4178-A0DD-8A15E9A7D768}"/>
            </c:ext>
          </c:extLst>
        </c:ser>
        <c:ser>
          <c:idx val="4"/>
          <c:order val="4"/>
          <c:tx>
            <c:strRef>
              <c:f>Sheet1!$F$1</c:f>
              <c:strCache>
                <c:ptCount val="1"/>
                <c:pt idx="0">
                  <c:v>на високом нивоу</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Препознатљивост културне понуде у граду</c:v>
                </c:pt>
                <c:pt idx="1">
                  <c:v>Препознатљивост културне понуде у покрајини</c:v>
                </c:pt>
                <c:pt idx="2">
                  <c:v>Препознатљивост културне понуде у земљи</c:v>
                </c:pt>
                <c:pt idx="3">
                  <c:v>Препознатљивост културне понуде у околним земљама</c:v>
                </c:pt>
              </c:strCache>
            </c:strRef>
          </c:cat>
          <c:val>
            <c:numRef>
              <c:f>Sheet1!$F$2:$F$5</c:f>
              <c:numCache>
                <c:formatCode>0.0%</c:formatCode>
                <c:ptCount val="4"/>
                <c:pt idx="0">
                  <c:v>0.32700000000000012</c:v>
                </c:pt>
                <c:pt idx="1">
                  <c:v>6.5000000000000002E-2</c:v>
                </c:pt>
                <c:pt idx="2">
                  <c:v>3.6999999999999998E-2</c:v>
                </c:pt>
                <c:pt idx="3">
                  <c:v>3.2000000000000015E-2</c:v>
                </c:pt>
              </c:numCache>
            </c:numRef>
          </c:val>
          <c:extLst xmlns:c16r2="http://schemas.microsoft.com/office/drawing/2015/06/chart">
            <c:ext xmlns:c16="http://schemas.microsoft.com/office/drawing/2014/chart" uri="{C3380CC4-5D6E-409C-BE32-E72D297353CC}">
              <c16:uniqueId val="{00000004-A88E-4178-A0DD-8A15E9A7D768}"/>
            </c:ext>
          </c:extLst>
        </c:ser>
        <c:gapWidth val="182"/>
        <c:axId val="172079360"/>
        <c:axId val="172109824"/>
      </c:barChart>
      <c:catAx>
        <c:axId val="1720793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09824"/>
        <c:crosses val="autoZero"/>
        <c:auto val="1"/>
        <c:lblAlgn val="ctr"/>
        <c:lblOffset val="100"/>
      </c:catAx>
      <c:valAx>
        <c:axId val="17210982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tickLblPos val="none"/>
        <c:crossAx val="172079360"/>
        <c:crosses val="autoZero"/>
        <c:crossBetween val="between"/>
      </c:valAx>
      <c:spPr>
        <a:noFill/>
        <a:ln>
          <a:noFill/>
        </a:ln>
        <a:effectLst/>
      </c:spPr>
    </c:plotArea>
    <c:legend>
      <c:legendPos val="b"/>
      <c:layout>
        <c:manualLayout>
          <c:xMode val="edge"/>
          <c:yMode val="edge"/>
          <c:x val="7.5674394867308273E-2"/>
          <c:y val="0.92906699162604656"/>
          <c:w val="0.89999991436633253"/>
          <c:h val="6.1800266769932444E-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59319489558187266"/>
          <c:y val="1.0843060959792495E-2"/>
          <c:w val="0.38717879366202845"/>
          <c:h val="0.9385696048694302"/>
        </c:manualLayout>
      </c:layout>
      <c:doughnutChart>
        <c:varyColors val="1"/>
        <c:ser>
          <c:idx val="0"/>
          <c:order val="0"/>
          <c:tx>
            <c:strRef>
              <c:f>Sheet1!$B$1</c:f>
              <c:strCache>
                <c:ptCount val="1"/>
                <c:pt idx="0">
                  <c:v>Sales</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134-4ADC-8C40-6CC609C2705A}"/>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134-4ADC-8C40-6CC609C2705A}"/>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134-4ADC-8C40-6CC609C2705A}"/>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134-4ADC-8C40-6CC609C2705A}"/>
              </c:ext>
            </c:extLst>
          </c:dPt>
          <c:dPt>
            <c:idx val="4"/>
            <c:spPr>
              <a:solidFill>
                <a:srgbClr val="9933FF"/>
              </a:solidFill>
              <a:ln w="19050">
                <a:solidFill>
                  <a:schemeClr val="lt1"/>
                </a:solidFill>
              </a:ln>
              <a:effectLst/>
            </c:spPr>
            <c:extLst xmlns:c16r2="http://schemas.microsoft.com/office/drawing/2015/06/chart">
              <c:ext xmlns:c16="http://schemas.microsoft.com/office/drawing/2014/chart" uri="{C3380CC4-5D6E-409C-BE32-E72D297353CC}">
                <c16:uniqueId val="{00000009-7134-4ADC-8C40-6CC609C2705A}"/>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134-4ADC-8C40-6CC609C2705A}"/>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134-4ADC-8C40-6CC609C2705A}"/>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Sheet1!$A$2:$A$8</c:f>
              <c:strCache>
                <c:ptCount val="7"/>
                <c:pt idx="0">
                  <c:v>Да, због филмске традиције</c:v>
                </c:pt>
                <c:pt idx="1">
                  <c:v>Да, зато што се у Сомбору снимају бројни филмови и серије</c:v>
                </c:pt>
                <c:pt idx="2">
                  <c:v>Да, због филмског фестивала</c:v>
                </c:pt>
                <c:pt idx="3">
                  <c:v>Да, због многих глумаца који су родом из Сомбора</c:v>
                </c:pt>
                <c:pt idx="4">
                  <c:v>Не</c:v>
                </c:pt>
                <c:pt idx="5">
                  <c:v>Не, као филмски град није препознат чак ни међу самим Сомборцима</c:v>
                </c:pt>
                <c:pt idx="6">
                  <c:v>Не знам</c:v>
                </c:pt>
              </c:strCache>
            </c:strRef>
          </c:cat>
          <c:val>
            <c:numRef>
              <c:f>Sheet1!$B$2:$B$8</c:f>
              <c:numCache>
                <c:formatCode>0.0%</c:formatCode>
                <c:ptCount val="7"/>
                <c:pt idx="0">
                  <c:v>0.13700000000000001</c:v>
                </c:pt>
                <c:pt idx="1">
                  <c:v>0.14500000000000005</c:v>
                </c:pt>
                <c:pt idx="2">
                  <c:v>7.5999999999999998E-2</c:v>
                </c:pt>
                <c:pt idx="3">
                  <c:v>0.16200000000000001</c:v>
                </c:pt>
                <c:pt idx="4">
                  <c:v>0.18600000000000005</c:v>
                </c:pt>
                <c:pt idx="5">
                  <c:v>0.14500000000000005</c:v>
                </c:pt>
                <c:pt idx="6">
                  <c:v>0.14900000000000005</c:v>
                </c:pt>
              </c:numCache>
            </c:numRef>
          </c:val>
          <c:extLst xmlns:c16r2="http://schemas.microsoft.com/office/drawing/2015/06/chart">
            <c:ext xmlns:c16="http://schemas.microsoft.com/office/drawing/2014/chart" uri="{C3380CC4-5D6E-409C-BE32-E72D297353CC}">
              <c16:uniqueId val="{0000000E-7134-4ADC-8C40-6CC609C2705A}"/>
            </c:ext>
          </c:extLst>
        </c:ser>
        <c:firstSliceAng val="0"/>
        <c:holeSize val="33"/>
      </c:doughnutChart>
      <c:spPr>
        <a:noFill/>
        <a:ln>
          <a:noFill/>
        </a:ln>
        <a:effectLst/>
      </c:spPr>
    </c:plotArea>
    <c:legend>
      <c:legendPos val="b"/>
      <c:layout>
        <c:manualLayout>
          <c:xMode val="edge"/>
          <c:yMode val="edge"/>
          <c:x val="2.2145669291338474E-3"/>
          <c:y val="0.55795091761389803"/>
          <c:w val="0.67082249550266881"/>
          <c:h val="0.44204908238610241"/>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spPr>
              <a:noFill/>
              <a:ln>
                <a:noFill/>
              </a:ln>
              <a:effectLst/>
            </c:spPr>
            <c:txPr>
              <a:bodyPr rot="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плате и доприноси</c:v>
                </c:pt>
                <c:pt idx="1">
                  <c:v>материјални трошкови</c:v>
                </c:pt>
                <c:pt idx="2">
                  <c:v>програми и пројекти</c:v>
                </c:pt>
                <c:pt idx="3">
                  <c:v>конкурс</c:v>
                </c:pt>
              </c:strCache>
            </c:strRef>
          </c:cat>
          <c:val>
            <c:numRef>
              <c:f>Sheet1!$B$2:$B$5</c:f>
              <c:numCache>
                <c:formatCode>0.0%</c:formatCode>
                <c:ptCount val="4"/>
                <c:pt idx="0">
                  <c:v>0.4900000000000001</c:v>
                </c:pt>
                <c:pt idx="1">
                  <c:v>0.24700000000000005</c:v>
                </c:pt>
                <c:pt idx="2">
                  <c:v>0.222</c:v>
                </c:pt>
                <c:pt idx="3">
                  <c:v>4.1000000000000002E-2</c:v>
                </c:pt>
              </c:numCache>
            </c:numRef>
          </c:val>
          <c:extLst xmlns:c16r2="http://schemas.microsoft.com/office/drawing/2015/06/chart">
            <c:ext xmlns:c16="http://schemas.microsoft.com/office/drawing/2014/chart" uri="{C3380CC4-5D6E-409C-BE32-E72D297353CC}">
              <c16:uniqueId val="{00000000-687B-4A93-8539-97E1534D7A94}"/>
            </c:ext>
          </c:extLst>
        </c:ser>
        <c:dLbls>
          <c:showVal val="1"/>
        </c:dLbls>
        <c:gapWidth val="100"/>
        <c:overlap val="-24"/>
        <c:axId val="112945024"/>
        <c:axId val="112946560"/>
      </c:barChart>
      <c:catAx>
        <c:axId val="11294502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2946560"/>
        <c:crosses val="autoZero"/>
        <c:auto val="1"/>
        <c:lblAlgn val="ctr"/>
        <c:lblOffset val="100"/>
      </c:catAx>
      <c:valAx>
        <c:axId val="112946560"/>
        <c:scaling>
          <c:orientation val="minMax"/>
        </c:scaling>
        <c:delete val="1"/>
        <c:axPos val="l"/>
        <c:numFmt formatCode="0.0%" sourceLinked="1"/>
        <c:majorTickMark val="none"/>
        <c:tickLblPos val="none"/>
        <c:crossAx val="11294502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45645377661125691"/>
          <c:y val="1.5873015873015879E-2"/>
          <c:w val="0.5361665208515598"/>
          <c:h val="0.91914260717410345"/>
        </c:manualLayout>
      </c:layout>
      <c:pieChart>
        <c:varyColors val="1"/>
        <c:ser>
          <c:idx val="0"/>
          <c:order val="0"/>
          <c:tx>
            <c:strRef>
              <c:f>Sheet1!$B$1</c:f>
              <c:strCache>
                <c:ptCount val="1"/>
                <c:pt idx="0">
                  <c:v>Column1</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EA97-46C5-84EF-A4C14AC5995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EA97-46C5-84EF-A4C14AC59953}"/>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EA97-46C5-84EF-A4C14AC59953}"/>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EA97-46C5-84EF-A4C14AC59953}"/>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EA97-46C5-84EF-A4C14AC59953}"/>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EA97-46C5-84EF-A4C14AC59953}"/>
              </c:ext>
            </c:extLst>
          </c:dPt>
          <c:dPt>
            <c:idx val="6"/>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EA97-46C5-84EF-A4C14AC59953}"/>
              </c:ext>
            </c:extLst>
          </c:dPt>
          <c:dPt>
            <c:idx val="7"/>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EA97-46C5-84EF-A4C14AC59953}"/>
              </c:ext>
            </c:extLst>
          </c:dPt>
          <c:dPt>
            <c:idx val="8"/>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EA97-46C5-84EF-A4C14AC59953}"/>
              </c:ext>
            </c:extLst>
          </c:dPt>
          <c:dPt>
            <c:idx val="9"/>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EA97-46C5-84EF-A4C14AC59953}"/>
              </c:ext>
            </c:extLst>
          </c:dPt>
          <c:dPt>
            <c:idx val="1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EA97-46C5-84EF-A4C14AC59953}"/>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Sheet1!$A$2:$A$12</c:f>
              <c:strCache>
                <c:ptCount val="11"/>
                <c:pt idx="0">
                  <c:v>Фестивали и манифестације</c:v>
                </c:pt>
                <c:pt idx="1">
                  <c:v>Позориште</c:v>
                </c:pt>
                <c:pt idx="2">
                  <c:v>Жупанија</c:v>
                </c:pt>
                <c:pt idx="3">
                  <c:v>Архитектура, споменици, делови града</c:v>
                </c:pt>
                <c:pt idx="4">
                  <c:v>Фијакер</c:v>
                </c:pt>
                <c:pt idx="5">
                  <c:v>Галерија "Милан Коњовић"</c:v>
                </c:pt>
                <c:pt idx="6">
                  <c:v>Градски музеј Сомбор</c:v>
                </c:pt>
                <c:pt idx="7">
                  <c:v>Стари занати, стапарски ћилим, бездански дамаст</c:v>
                </c:pt>
                <c:pt idx="8">
                  <c:v>Слика Битка код Сенте</c:v>
                </c:pt>
                <c:pt idx="9">
                  <c:v>Културни центар "Лаза Костић"</c:v>
                </c:pt>
                <c:pt idx="10">
                  <c:v>Остало (уметници, дух града, мултикултуралност, туристички производи…)</c:v>
                </c:pt>
              </c:strCache>
            </c:strRef>
          </c:cat>
          <c:val>
            <c:numRef>
              <c:f>Sheet1!$B$2:$B$12</c:f>
              <c:numCache>
                <c:formatCode>0.0%</c:formatCode>
                <c:ptCount val="11"/>
                <c:pt idx="0">
                  <c:v>0.23500000000000001</c:v>
                </c:pt>
                <c:pt idx="1">
                  <c:v>0.19500000000000001</c:v>
                </c:pt>
                <c:pt idx="2">
                  <c:v>0.14900000000000005</c:v>
                </c:pt>
                <c:pt idx="3">
                  <c:v>0.126</c:v>
                </c:pt>
                <c:pt idx="4">
                  <c:v>8.4000000000000047E-2</c:v>
                </c:pt>
                <c:pt idx="5" formatCode="0%">
                  <c:v>6.0000000000000019E-2</c:v>
                </c:pt>
                <c:pt idx="6">
                  <c:v>3.3000000000000002E-2</c:v>
                </c:pt>
                <c:pt idx="7">
                  <c:v>2.8000000000000001E-2</c:v>
                </c:pt>
                <c:pt idx="8">
                  <c:v>1.6000000000000007E-2</c:v>
                </c:pt>
                <c:pt idx="9">
                  <c:v>1.4999999999999998E-2</c:v>
                </c:pt>
                <c:pt idx="10">
                  <c:v>5.9000000000000011E-2</c:v>
                </c:pt>
              </c:numCache>
            </c:numRef>
          </c:val>
          <c:extLst xmlns:c16r2="http://schemas.microsoft.com/office/drawing/2015/06/chart">
            <c:ext xmlns:c16="http://schemas.microsoft.com/office/drawing/2014/chart" uri="{C3380CC4-5D6E-409C-BE32-E72D297353CC}">
              <c16:uniqueId val="{00000016-EA97-46C5-84EF-A4C14AC59953}"/>
            </c:ext>
          </c:extLst>
        </c:ser>
        <c:firstSliceAng val="0"/>
      </c:pieChart>
      <c:spPr>
        <a:noFill/>
        <a:ln>
          <a:noFill/>
        </a:ln>
        <a:effectLst/>
      </c:spPr>
    </c:plotArea>
    <c:legend>
      <c:legendPos val="b"/>
      <c:layout>
        <c:manualLayout>
          <c:xMode val="edge"/>
          <c:yMode val="edge"/>
          <c:x val="9.5526146751915408E-3"/>
          <c:y val="0.25594863142107233"/>
          <c:w val="0.75065889049120083"/>
          <c:h val="0.732146606674166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46507822885792"/>
          <c:y val="3.3794162826420907E-2"/>
          <c:w val="0.70937041960664038"/>
          <c:h val="0.93241167434715821"/>
        </c:manualLayout>
      </c:layout>
      <c:barChart>
        <c:barDir val="bar"/>
        <c:grouping val="clustered"/>
        <c:ser>
          <c:idx val="0"/>
          <c:order val="0"/>
          <c:tx>
            <c:strRef>
              <c:f>Sheet1!$B$1</c:f>
              <c:strCache>
                <c:ptCount val="1"/>
                <c:pt idx="0">
                  <c:v>Series 1</c:v>
                </c:pt>
              </c:strCache>
            </c:strRef>
          </c:tx>
          <c:spPr>
            <a:pattFill prst="pct70">
              <a:fgClr>
                <a:schemeClr val="accent1">
                  <a:lumMod val="75000"/>
                </a:schemeClr>
              </a:fgClr>
              <a:bgClr>
                <a:schemeClr val="bg1"/>
              </a:bgClr>
            </a:pattFill>
            <a:ln>
              <a:noFill/>
            </a:ln>
            <a:effectLst/>
          </c:spPr>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Позоришни маратон</c:v>
                </c:pt>
                <c:pt idx="1">
                  <c:v>Сомборско лето </c:v>
                </c:pt>
                <c:pt idx="2">
                  <c:v>Фестивал мултикултуралности</c:v>
                </c:pt>
                <c:pt idx="3">
                  <c:v>Дужионица</c:v>
                </c:pt>
                <c:pt idx="4">
                  <c:v>СОМУС</c:v>
                </c:pt>
                <c:pt idx="5">
                  <c:v>Сомборски котлић</c:v>
                </c:pt>
                <c:pt idx="6">
                  <c:v>Терминал фест</c:v>
                </c:pt>
                <c:pt idx="7">
                  <c:v>Ликовна језен </c:v>
                </c:pt>
                <c:pt idx="8">
                  <c:v>Филмски фестивал</c:v>
                </c:pt>
                <c:pt idx="9">
                  <c:v>Бодрог фест</c:v>
                </c:pt>
                <c:pt idx="10">
                  <c:v>Арт окупација </c:v>
                </c:pt>
                <c:pt idx="11">
                  <c:v>Џез фестивал</c:v>
                </c:pt>
                <c:pt idx="12">
                  <c:v>Ноћ музеја</c:v>
                </c:pt>
                <c:pt idx="13">
                  <c:v>Вељкови дани</c:v>
                </c:pt>
                <c:pt idx="14">
                  <c:v>Сеоске славе</c:v>
                </c:pt>
                <c:pt idx="15">
                  <c:v>Дани Лазе Костића</c:v>
                </c:pt>
                <c:pt idx="16">
                  <c:v>Дани младих</c:v>
                </c:pt>
                <c:pt idx="17">
                  <c:v>Ноћ уличних свирача</c:v>
                </c:pt>
              </c:strCache>
            </c:strRef>
          </c:cat>
          <c:val>
            <c:numRef>
              <c:f>Sheet1!$B$2:$B$19</c:f>
              <c:numCache>
                <c:formatCode>0.0%</c:formatCode>
                <c:ptCount val="18"/>
                <c:pt idx="0">
                  <c:v>0.26200000000000001</c:v>
                </c:pt>
                <c:pt idx="1">
                  <c:v>0.113</c:v>
                </c:pt>
                <c:pt idx="2">
                  <c:v>0.113</c:v>
                </c:pt>
                <c:pt idx="3">
                  <c:v>9.9000000000000046E-2</c:v>
                </c:pt>
                <c:pt idx="4">
                  <c:v>7.6999999999999999E-2</c:v>
                </c:pt>
                <c:pt idx="5">
                  <c:v>6.3E-2</c:v>
                </c:pt>
                <c:pt idx="6">
                  <c:v>4.9000000000000016E-2</c:v>
                </c:pt>
                <c:pt idx="7">
                  <c:v>4.9000000000000016E-2</c:v>
                </c:pt>
                <c:pt idx="8">
                  <c:v>3.500000000000001E-2</c:v>
                </c:pt>
                <c:pt idx="9">
                  <c:v>3.500000000000001E-2</c:v>
                </c:pt>
                <c:pt idx="10">
                  <c:v>2.8000000000000001E-2</c:v>
                </c:pt>
                <c:pt idx="11">
                  <c:v>1.4E-2</c:v>
                </c:pt>
                <c:pt idx="12">
                  <c:v>1.4E-2</c:v>
                </c:pt>
                <c:pt idx="13">
                  <c:v>1.4E-2</c:v>
                </c:pt>
                <c:pt idx="14">
                  <c:v>1.4E-2</c:v>
                </c:pt>
                <c:pt idx="15">
                  <c:v>7.0000000000000019E-3</c:v>
                </c:pt>
                <c:pt idx="16">
                  <c:v>7.0000000000000019E-3</c:v>
                </c:pt>
                <c:pt idx="17">
                  <c:v>7.0000000000000019E-3</c:v>
                </c:pt>
              </c:numCache>
            </c:numRef>
          </c:val>
          <c:extLst xmlns:c16r2="http://schemas.microsoft.com/office/drawing/2015/06/chart">
            <c:ext xmlns:c16="http://schemas.microsoft.com/office/drawing/2014/chart" uri="{C3380CC4-5D6E-409C-BE32-E72D297353CC}">
              <c16:uniqueId val="{00000000-43B1-4B67-B69A-FABC3220E222}"/>
            </c:ext>
          </c:extLst>
        </c:ser>
        <c:gapWidth val="36"/>
        <c:axId val="172506112"/>
        <c:axId val="172507904"/>
      </c:barChart>
      <c:catAx>
        <c:axId val="17250611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507904"/>
        <c:crosses val="autoZero"/>
        <c:auto val="1"/>
        <c:lblAlgn val="ctr"/>
        <c:lblOffset val="100"/>
      </c:catAx>
      <c:valAx>
        <c:axId val="172507904"/>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tickLblPos val="none"/>
        <c:crossAx val="17250611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8846507822885792"/>
          <c:y val="3.3794162826420907E-2"/>
          <c:w val="0.70937041960664038"/>
          <c:h val="0.93241167434715821"/>
        </c:manualLayout>
      </c:layout>
      <c:barChart>
        <c:barDir val="bar"/>
        <c:grouping val="clustered"/>
        <c:ser>
          <c:idx val="0"/>
          <c:order val="0"/>
          <c:tx>
            <c:strRef>
              <c:f>Sheet1!$B$1</c:f>
              <c:strCache>
                <c:ptCount val="1"/>
                <c:pt idx="0">
                  <c:v>Series 1</c:v>
                </c:pt>
              </c:strCache>
            </c:strRef>
          </c:tx>
          <c:spPr>
            <a:pattFill prst="pct70">
              <a:fgClr>
                <a:srgbClr val="00B050"/>
              </a:fgClr>
              <a:bgClr>
                <a:schemeClr val="bg1"/>
              </a:bgClr>
            </a:pattFill>
            <a:ln>
              <a:noFill/>
            </a:ln>
            <a:effectLst/>
          </c:spPr>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Лаза Костић</c:v>
                </c:pt>
                <c:pt idx="1">
                  <c:v>Милан Коњовић</c:v>
                </c:pt>
                <c:pt idx="2">
                  <c:v>Сава Стојков</c:v>
                </c:pt>
                <c:pt idx="3">
                  <c:v>Никола Јокић</c:v>
                </c:pt>
                <c:pt idx="4">
                  <c:v>Ернест Бошњак</c:v>
                </c:pt>
                <c:pt idx="5">
                  <c:v>Вељко Петровић</c:v>
                </c:pt>
                <c:pt idx="6">
                  <c:v>Аврам Мразовић</c:v>
                </c:pt>
                <c:pt idx="7">
                  <c:v>Звонко Богдан</c:v>
                </c:pt>
                <c:pt idx="8">
                  <c:v>Чикаш Бене</c:v>
                </c:pt>
                <c:pt idx="9">
                  <c:v>Остали</c:v>
                </c:pt>
              </c:strCache>
            </c:strRef>
          </c:cat>
          <c:val>
            <c:numRef>
              <c:f>Sheet1!$B$2:$B$11</c:f>
              <c:numCache>
                <c:formatCode>0.0%</c:formatCode>
                <c:ptCount val="10"/>
                <c:pt idx="0">
                  <c:v>0.34400000000000008</c:v>
                </c:pt>
                <c:pt idx="1">
                  <c:v>0.29700000000000015</c:v>
                </c:pt>
                <c:pt idx="2">
                  <c:v>0.10900000000000003</c:v>
                </c:pt>
                <c:pt idx="3">
                  <c:v>7.0000000000000021E-2</c:v>
                </c:pt>
                <c:pt idx="4">
                  <c:v>5.6000000000000001E-2</c:v>
                </c:pt>
                <c:pt idx="5">
                  <c:v>4.5999999999999999E-2</c:v>
                </c:pt>
                <c:pt idx="6">
                  <c:v>2.0000000000000007E-2</c:v>
                </c:pt>
                <c:pt idx="7">
                  <c:v>1.4999999999999998E-2</c:v>
                </c:pt>
                <c:pt idx="8">
                  <c:v>1.4999999999999998E-2</c:v>
                </c:pt>
                <c:pt idx="9">
                  <c:v>2.8000000000000001E-2</c:v>
                </c:pt>
              </c:numCache>
            </c:numRef>
          </c:val>
          <c:extLst xmlns:c16r2="http://schemas.microsoft.com/office/drawing/2015/06/chart">
            <c:ext xmlns:c16="http://schemas.microsoft.com/office/drawing/2014/chart" uri="{C3380CC4-5D6E-409C-BE32-E72D297353CC}">
              <c16:uniqueId val="{00000000-D5DF-4463-8C81-E9FC35DD31D1}"/>
            </c:ext>
          </c:extLst>
        </c:ser>
        <c:gapWidth val="77"/>
        <c:axId val="172552576"/>
        <c:axId val="172554112"/>
      </c:barChart>
      <c:catAx>
        <c:axId val="172552576"/>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554112"/>
        <c:crosses val="autoZero"/>
        <c:auto val="1"/>
        <c:lblAlgn val="ctr"/>
        <c:lblOffset val="100"/>
      </c:catAx>
      <c:valAx>
        <c:axId val="172554112"/>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tickLblPos val="none"/>
        <c:crossAx val="1725525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43.xml><?xml version="1.0" encoding="utf-8"?>
<c:chartSpace xmlns:c="http://schemas.openxmlformats.org/drawingml/2006/chart" xmlns:a="http://schemas.openxmlformats.org/drawingml/2006/main" xmlns:r="http://schemas.openxmlformats.org/officeDocument/2006/relationships">
  <c:lang val="en-US"/>
  <c:chart>
    <c:autoTitleDeleted val="1"/>
    <c:plotArea>
      <c:layout/>
      <c:pieChart>
        <c:varyColors val="1"/>
        <c:ser>
          <c:idx val="0"/>
          <c:order val="0"/>
          <c:tx>
            <c:strRef>
              <c:f>Sheet1!$B$1</c:f>
              <c:strCache>
                <c:ptCount val="1"/>
                <c:pt idx="0">
                  <c:v>Sales</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1CC-400F-8D61-619FD3500196}"/>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F1CC-400F-8D61-619FD3500196}"/>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F1CC-400F-8D61-619FD3500196}"/>
              </c:ext>
            </c:extLst>
          </c:dPt>
          <c:dPt>
            <c:idx val="3"/>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F1CC-400F-8D61-619FD3500196}"/>
              </c:ext>
            </c:extLst>
          </c:dPt>
          <c:dLbls>
            <c:dLbl>
              <c:idx val="0"/>
              <c:tx>
                <c:rich>
                  <a:bodyPr/>
                  <a:lstStyle/>
                  <a:p>
                    <a:r>
                      <a:rPr lang="en-US"/>
                      <a:t>13.95%</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CC-400F-8D61-619FD3500196}"/>
                </c:ext>
              </c:extLst>
            </c:dLbl>
            <c:dLbl>
              <c:idx val="1"/>
              <c:layout>
                <c:manualLayout>
                  <c:x val="-8.3623752807072474E-2"/>
                  <c:y val="-0.22349598032529419"/>
                </c:manualLayout>
              </c:layout>
              <c:tx>
                <c:rich>
                  <a:bodyPr/>
                  <a:lstStyle/>
                  <a:p>
                    <a:r>
                      <a:rPr lang="en-US"/>
                      <a:t>58.14%</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CC-400F-8D61-619FD3500196}"/>
                </c:ext>
              </c:extLst>
            </c:dLbl>
            <c:dLbl>
              <c:idx val="2"/>
              <c:tx>
                <c:rich>
                  <a:bodyPr/>
                  <a:lstStyle/>
                  <a:p>
                    <a:r>
                      <a:rPr lang="en-US"/>
                      <a:t>18.6%</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1CC-400F-8D61-619FD3500196}"/>
                </c:ext>
              </c:extLst>
            </c:dLbl>
            <c:dLbl>
              <c:idx val="3"/>
              <c:tx>
                <c:rich>
                  <a:bodyPr/>
                  <a:lstStyle/>
                  <a:p>
                    <a:r>
                      <a:rPr lang="en-US"/>
                      <a:t>9.3%</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F1CC-400F-8D61-619FD3500196}"/>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веома задовољан/а</c:v>
                </c:pt>
                <c:pt idx="1">
                  <c:v>задовољан/а</c:v>
                </c:pt>
                <c:pt idx="2">
                  <c:v>незадовољан/а</c:v>
                </c:pt>
                <c:pt idx="3">
                  <c:v>веома незадовољан/а</c:v>
                </c:pt>
              </c:strCache>
            </c:strRef>
          </c:cat>
          <c:val>
            <c:numRef>
              <c:f>Sheet1!$B$2:$B$5</c:f>
              <c:numCache>
                <c:formatCode>0.00%</c:formatCode>
                <c:ptCount val="4"/>
                <c:pt idx="0">
                  <c:v>0.13950000000000001</c:v>
                </c:pt>
                <c:pt idx="1">
                  <c:v>0.58139999999999981</c:v>
                </c:pt>
                <c:pt idx="2">
                  <c:v>0.18600000000000005</c:v>
                </c:pt>
                <c:pt idx="3">
                  <c:v>9.3000000000000055E-2</c:v>
                </c:pt>
              </c:numCache>
            </c:numRef>
          </c:val>
          <c:extLst xmlns:c16r2="http://schemas.microsoft.com/office/drawing/2015/06/chart">
            <c:ext xmlns:c16="http://schemas.microsoft.com/office/drawing/2014/chart" uri="{C3380CC4-5D6E-409C-BE32-E72D297353CC}">
              <c16:uniqueId val="{00000008-F1CC-400F-8D61-619FD3500196}"/>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41039804737783592"/>
          <c:y val="2.8520499108734387E-2"/>
          <c:w val="0.56624738786632556"/>
          <c:h val="0.96434937611408245"/>
        </c:manualLayout>
      </c:layout>
      <c:barChart>
        <c:barDir val="bar"/>
        <c:grouping val="clustered"/>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Sheet1!$A$2:$A$8</c:f>
              <c:strCache>
                <c:ptCount val="7"/>
                <c:pt idx="0">
                  <c:v>просторни/инфраструктурни услови рада</c:v>
                </c:pt>
                <c:pt idx="1">
                  <c:v>организација рада</c:v>
                </c:pt>
                <c:pt idx="2">
                  <c:v>технолошка опремљеност за рад</c:v>
                </c:pt>
                <c:pt idx="3">
                  <c:v>вредновање рада</c:v>
                </c:pt>
                <c:pt idx="4">
                  <c:v>могућност напредовања</c:v>
                </c:pt>
                <c:pt idx="5">
                  <c:v>могућност усавршавања знања и вештина</c:v>
                </c:pt>
                <c:pt idx="6">
                  <c:v>нешто друго, запошљавање нових људи</c:v>
                </c:pt>
              </c:strCache>
            </c:strRef>
          </c:cat>
          <c:val>
            <c:numRef>
              <c:f>Sheet1!$B$2:$B$8</c:f>
              <c:numCache>
                <c:formatCode>0.00%</c:formatCode>
                <c:ptCount val="7"/>
                <c:pt idx="0">
                  <c:v>0.27910000000000001</c:v>
                </c:pt>
                <c:pt idx="1">
                  <c:v>0.2326</c:v>
                </c:pt>
                <c:pt idx="2">
                  <c:v>0.1628</c:v>
                </c:pt>
                <c:pt idx="3">
                  <c:v>0.13950000000000001</c:v>
                </c:pt>
                <c:pt idx="4">
                  <c:v>6.9800000000000029E-2</c:v>
                </c:pt>
                <c:pt idx="5">
                  <c:v>4.65E-2</c:v>
                </c:pt>
                <c:pt idx="6">
                  <c:v>6.9800000000000029E-2</c:v>
                </c:pt>
              </c:numCache>
            </c:numRef>
          </c:val>
          <c:extLst xmlns:c16r2="http://schemas.microsoft.com/office/drawing/2015/06/chart">
            <c:ext xmlns:c16="http://schemas.microsoft.com/office/drawing/2014/chart" uri="{C3380CC4-5D6E-409C-BE32-E72D297353CC}">
              <c16:uniqueId val="{00000000-7D35-4BCF-9BBF-4167C01FC807}"/>
            </c:ext>
          </c:extLst>
        </c:ser>
        <c:dLbls>
          <c:showVal val="1"/>
        </c:dLbls>
        <c:gapWidth val="34"/>
        <c:axId val="172663552"/>
        <c:axId val="172665088"/>
      </c:barChart>
      <c:catAx>
        <c:axId val="172663552"/>
        <c:scaling>
          <c:orientation val="minMax"/>
        </c:scaling>
        <c:axPos val="l"/>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172665088"/>
        <c:crosses val="autoZero"/>
        <c:auto val="1"/>
        <c:lblAlgn val="ctr"/>
        <c:lblOffset val="100"/>
      </c:catAx>
      <c:valAx>
        <c:axId val="172665088"/>
        <c:scaling>
          <c:orientation val="minMax"/>
        </c:scaling>
        <c:delete val="1"/>
        <c:axPos val="b"/>
        <c:numFmt formatCode="0.00%" sourceLinked="1"/>
        <c:majorTickMark val="none"/>
        <c:tickLblPos val="none"/>
        <c:crossAx val="172663552"/>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2.342917997870075E-2"/>
          <c:y val="0.10945273631840796"/>
          <c:w val="0.95314164004259883"/>
          <c:h val="0.58766169154228853"/>
        </c:manualLayout>
      </c:layout>
      <c:barChart>
        <c:barDir val="col"/>
        <c:grouping val="clustered"/>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layout>
                <c:manualLayout>
                  <c:x val="-4.2598509052183195E-3"/>
                  <c:y val="1.30081300813008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layout>
                    <c:manualLayout>
                      <c:w val="8.200212992545261E-2"/>
                      <c:h val="0.10731707317073171"/>
                    </c:manualLayout>
                  </c15:layout>
                </c:ext>
                <c:ext xmlns:c16="http://schemas.microsoft.com/office/drawing/2014/chart" uri="{C3380CC4-5D6E-409C-BE32-E72D297353CC}">
                  <c16:uniqueId val="{00000000-FA32-4BD7-8FBB-9F786E50E4B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да, то је важно</c:v>
                </c:pt>
                <c:pt idx="1">
                  <c:v>нисам размишао/ла на ту тему, али бих пристао/ла</c:v>
                </c:pt>
                <c:pt idx="2">
                  <c:v>не, сасвим сам довољно образован/а</c:v>
                </c:pt>
              </c:strCache>
            </c:strRef>
          </c:cat>
          <c:val>
            <c:numRef>
              <c:f>Sheet1!$B$2:$B$4</c:f>
              <c:numCache>
                <c:formatCode>0.00%</c:formatCode>
                <c:ptCount val="3"/>
                <c:pt idx="0">
                  <c:v>0.60470000000000024</c:v>
                </c:pt>
                <c:pt idx="1">
                  <c:v>0.32560000000000011</c:v>
                </c:pt>
                <c:pt idx="2">
                  <c:v>6.9800000000000029E-2</c:v>
                </c:pt>
              </c:numCache>
            </c:numRef>
          </c:val>
          <c:extLst xmlns:c16r2="http://schemas.microsoft.com/office/drawing/2015/06/chart">
            <c:ext xmlns:c16="http://schemas.microsoft.com/office/drawing/2014/chart" uri="{C3380CC4-5D6E-409C-BE32-E72D297353CC}">
              <c16:uniqueId val="{00000001-FA32-4BD7-8FBB-9F786E50E4BE}"/>
            </c:ext>
          </c:extLst>
        </c:ser>
        <c:dLbls>
          <c:showVal val="1"/>
        </c:dLbls>
        <c:gapWidth val="100"/>
        <c:overlap val="-24"/>
        <c:axId val="172047360"/>
        <c:axId val="172200704"/>
      </c:barChart>
      <c:catAx>
        <c:axId val="172047360"/>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200704"/>
        <c:crosses val="autoZero"/>
        <c:auto val="1"/>
        <c:lblAlgn val="ctr"/>
        <c:lblOffset val="100"/>
      </c:catAx>
      <c:valAx>
        <c:axId val="172200704"/>
        <c:scaling>
          <c:orientation val="minMax"/>
        </c:scaling>
        <c:delete val="1"/>
        <c:axPos val="l"/>
        <c:numFmt formatCode="0.00%" sourceLinked="1"/>
        <c:majorTickMark val="none"/>
        <c:tickLblPos val="none"/>
        <c:crossAx val="1720473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2.3391812865497082E-2"/>
          <c:y val="0"/>
          <c:w val="0.95321637426900563"/>
          <c:h val="0.68076078518354211"/>
        </c:manualLayout>
      </c:layout>
      <c:barChart>
        <c:barDir val="col"/>
        <c:grouping val="clustered"/>
        <c:ser>
          <c:idx val="0"/>
          <c:order val="0"/>
          <c:tx>
            <c:strRef>
              <c:f>Sheet1!$B$1</c:f>
              <c:strCache>
                <c:ptCount val="1"/>
                <c:pt idx="0">
                  <c:v>Series 1</c:v>
                </c:pt>
              </c:strCache>
            </c:strRef>
          </c:tx>
          <c:spPr>
            <a:solidFill>
              <a:schemeClr val="accent1"/>
            </a:solidFill>
            <a:ln>
              <a:noFill/>
            </a:ln>
            <a:effectLst/>
          </c:spPr>
          <c:dLbls>
            <c:dLbl>
              <c:idx val="0"/>
              <c:layout>
                <c:manualLayout>
                  <c:x val="-1.9492952203667016E-17"/>
                  <c:y val="-9.2546723116896865E-3"/>
                </c:manualLayout>
              </c:layout>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25EB-4182-A4D9-4D350EA3EBE2}"/>
                </c:ext>
              </c:extLst>
            </c:dLbl>
            <c:dLbl>
              <c:idx val="4"/>
              <c:layout>
                <c:manualLayout>
                  <c:x val="-1.5594361762933608E-16"/>
                  <c:y val="3.6587135150818501E-3"/>
                </c:manualLayout>
              </c:layout>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5EB-4182-A4D9-4D350EA3EBE2}"/>
                </c:ext>
              </c:extLst>
            </c:dLbl>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веома задовољан/а</c:v>
                </c:pt>
                <c:pt idx="1">
                  <c:v>задовољан/а</c:v>
                </c:pt>
                <c:pt idx="2">
                  <c:v>нити задовољан/а - нити незадовољан/а</c:v>
                </c:pt>
                <c:pt idx="3">
                  <c:v>незадовољан/а</c:v>
                </c:pt>
                <c:pt idx="4">
                  <c:v>веома незадовољан/а</c:v>
                </c:pt>
              </c:strCache>
            </c:strRef>
          </c:cat>
          <c:val>
            <c:numRef>
              <c:f>Sheet1!$B$2:$B$6</c:f>
              <c:numCache>
                <c:formatCode>0.0%</c:formatCode>
                <c:ptCount val="5"/>
                <c:pt idx="0">
                  <c:v>6.9800000000000029E-2</c:v>
                </c:pt>
                <c:pt idx="1">
                  <c:v>0.48800000000000016</c:v>
                </c:pt>
                <c:pt idx="2">
                  <c:v>0.27910000000000001</c:v>
                </c:pt>
                <c:pt idx="3">
                  <c:v>0.13950000000000001</c:v>
                </c:pt>
                <c:pt idx="4">
                  <c:v>2.3299999999999998E-2</c:v>
                </c:pt>
              </c:numCache>
            </c:numRef>
          </c:val>
          <c:extLst xmlns:c16r2="http://schemas.microsoft.com/office/drawing/2015/06/chart">
            <c:ext xmlns:c16="http://schemas.microsoft.com/office/drawing/2014/chart" uri="{C3380CC4-5D6E-409C-BE32-E72D297353CC}">
              <c16:uniqueId val="{00000002-25EB-4182-A4D9-4D350EA3EBE2}"/>
            </c:ext>
          </c:extLst>
        </c:ser>
        <c:dLbls>
          <c:showVal val="1"/>
        </c:dLbls>
        <c:gapWidth val="96"/>
        <c:axId val="172566400"/>
        <c:axId val="172567936"/>
      </c:barChart>
      <c:catAx>
        <c:axId val="17256640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567936"/>
        <c:crosses val="autoZero"/>
        <c:auto val="1"/>
        <c:lblAlgn val="ctr"/>
        <c:lblOffset val="100"/>
      </c:catAx>
      <c:valAx>
        <c:axId val="172567936"/>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tickLblPos val="none"/>
        <c:crossAx val="1725664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7794751501472956"/>
          <c:y val="3.7922442793242389E-2"/>
          <c:w val="0.37613822426786042"/>
          <c:h val="0.94567545453579505"/>
        </c:manualLayout>
      </c:layout>
      <c:pieChart>
        <c:varyColors val="1"/>
        <c:ser>
          <c:idx val="0"/>
          <c:order val="0"/>
          <c:tx>
            <c:strRef>
              <c:f>Sheet1!$B$1</c:f>
              <c:strCache>
                <c:ptCount val="1"/>
                <c:pt idx="0">
                  <c:v>Sales</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76C-4BBF-923C-DF90C6686253}"/>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76C-4BBF-923C-DF90C6686253}"/>
              </c:ext>
            </c:extLst>
          </c:dPt>
          <c:dLbls>
            <c:dLbl>
              <c:idx val="0"/>
              <c:tx>
                <c:rich>
                  <a:bodyPr/>
                  <a:lstStyle/>
                  <a:p>
                    <a:fld id="{A725A9A5-C8CB-4E57-87CB-247DAAC77C49}" type="VALUE">
                      <a:rPr lang="en-US"/>
                      <a:pPr/>
                      <a:t>[VALUE]</a:t>
                    </a:fld>
                    <a:endParaRPr lang="en-US"/>
                  </a:p>
                </c:rich>
              </c:tx>
              <c:dLblPos val="inEnd"/>
              <c:showPercent val="1"/>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076C-4BBF-923C-DF90C6686253}"/>
                </c:ext>
              </c:extLst>
            </c:dLbl>
            <c:dLbl>
              <c:idx val="1"/>
              <c:tx>
                <c:rich>
                  <a:bodyPr/>
                  <a:lstStyle/>
                  <a:p>
                    <a:r>
                      <a:rPr lang="en-US"/>
                      <a:t>44.19%</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76C-4BBF-923C-DF90C6686253}"/>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да</c:v>
                </c:pt>
                <c:pt idx="1">
                  <c:v>не</c:v>
                </c:pt>
              </c:strCache>
            </c:strRef>
          </c:cat>
          <c:val>
            <c:numRef>
              <c:f>Sheet1!$B$2:$B$3</c:f>
              <c:numCache>
                <c:formatCode>0.00%</c:formatCode>
                <c:ptCount val="2"/>
                <c:pt idx="0">
                  <c:v>0.55810000000000004</c:v>
                </c:pt>
                <c:pt idx="1">
                  <c:v>0.44190000000000002</c:v>
                </c:pt>
              </c:numCache>
            </c:numRef>
          </c:val>
          <c:extLst xmlns:c16r2="http://schemas.microsoft.com/office/drawing/2015/06/chart">
            <c:ext xmlns:c16="http://schemas.microsoft.com/office/drawing/2014/chart" uri="{C3380CC4-5D6E-409C-BE32-E72D297353CC}">
              <c16:uniqueId val="{00000004-076C-4BBF-923C-DF90C6686253}"/>
            </c:ext>
          </c:extLst>
        </c:ser>
        <c:dLbls>
          <c:showPercent val="1"/>
        </c:dLbls>
        <c:firstSliceAng val="0"/>
      </c:pieChart>
      <c:spPr>
        <a:noFill/>
        <a:ln>
          <a:noFill/>
        </a:ln>
        <a:effectLst/>
      </c:spPr>
    </c:plotArea>
    <c:legend>
      <c:legendPos val="t"/>
      <c:layout>
        <c:manualLayout>
          <c:xMode val="edge"/>
          <c:yMode val="edge"/>
          <c:x val="8.3685698707951367E-2"/>
          <c:y val="0.42566510172143984"/>
          <c:w val="0.11121153334094108"/>
          <c:h val="0.11303981368526114"/>
        </c:manualLayout>
      </c:layout>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1670984400855884"/>
          <c:y val="4.3137254901960784E-2"/>
          <c:w val="0.63628309022150209"/>
          <c:h val="0.95686250757116897"/>
        </c:manualLayout>
      </c:layout>
      <c:barChart>
        <c:barDir val="bar"/>
        <c:grouping val="percentStacked"/>
        <c:ser>
          <c:idx val="0"/>
          <c:order val="0"/>
          <c:tx>
            <c:strRef>
              <c:f>Sheet1!$B$1</c:f>
              <c:strCache>
                <c:ptCount val="1"/>
                <c:pt idx="0">
                  <c:v>веома </c:v>
                </c:pt>
              </c:strCache>
            </c:strRef>
          </c:tx>
          <c:spPr>
            <a:solidFill>
              <a:schemeClr val="accent1"/>
            </a:solidFill>
            <a:ln>
              <a:noFill/>
            </a:ln>
            <a:effectLst/>
          </c:spPr>
          <c:dLbls>
            <c:dLbl>
              <c:idx val="0"/>
              <c:tx>
                <c:rich>
                  <a:bodyPr/>
                  <a:lstStyle/>
                  <a:p>
                    <a:r>
                      <a:rPr lang="en-US"/>
                      <a:t>27.9%</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2DD-443E-BDC6-42499763D878}"/>
                </c:ext>
              </c:extLst>
            </c:dLbl>
            <c:dLbl>
              <c:idx val="1"/>
              <c:layout>
                <c:manualLayout>
                  <c:x val="-6.482982171799029E-3"/>
                  <c:y val="-7.5992039456606444E-2"/>
                </c:manualLayout>
              </c:layout>
              <c:tx>
                <c:rich>
                  <a:bodyPr/>
                  <a:lstStyle/>
                  <a:p>
                    <a:r>
                      <a:rPr lang="en-US"/>
                      <a:t>2.3%</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2DD-443E-BDC6-42499763D878}"/>
                </c:ext>
              </c:extLst>
            </c:dLbl>
            <c:dLbl>
              <c:idx val="2"/>
              <c:layout>
                <c:manualLayout>
                  <c:x val="1.0804970286331721E-3"/>
                  <c:y val="-8.6856450635978244E-2"/>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b="1"/>
                      <a:t>2.3%</a:t>
                    </a:r>
                  </a:p>
                </c:rich>
              </c:tx>
              <c:spPr>
                <a:noFill/>
                <a:ln>
                  <a:noFill/>
                </a:ln>
                <a:effectLst/>
              </c:spPr>
              <c:dLblPos val="ctr"/>
              <c:showVal val="1"/>
              <c:extLst xmlns:c16r2="http://schemas.microsoft.com/office/drawing/2015/06/chart">
                <c:ext xmlns:c15="http://schemas.microsoft.com/office/drawing/2012/chart" uri="{CE6537A1-D6FC-4f65-9D91-7224C49458BB}">
                  <c15:layout>
                    <c:manualLayout>
                      <c:w val="9.0210781999089662E-2"/>
                      <c:h val="9.933200657610107E-2"/>
                    </c:manualLayout>
                  </c15:layout>
                </c:ext>
                <c:ext xmlns:c16="http://schemas.microsoft.com/office/drawing/2014/chart" uri="{C3380CC4-5D6E-409C-BE32-E72D297353CC}">
                  <c16:uniqueId val="{00000002-D2DD-443E-BDC6-42499763D878}"/>
                </c:ext>
              </c:extLst>
            </c:dLbl>
            <c:dLbl>
              <c:idx val="3"/>
              <c:layout>
                <c:manualLayout>
                  <c:x val="0"/>
                  <c:y val="-7.2763404574428245E-2"/>
                </c:manualLayout>
              </c:layout>
              <c:tx>
                <c:rich>
                  <a:bodyPr/>
                  <a:lstStyle/>
                  <a:p>
                    <a:r>
                      <a:rPr lang="en-US"/>
                      <a:t>4.7%</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D2DD-443E-BDC6-42499763D8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У граду</c:v>
                </c:pt>
                <c:pt idx="1">
                  <c:v>У покрајини</c:v>
                </c:pt>
                <c:pt idx="2">
                  <c:v>У земљи</c:v>
                </c:pt>
                <c:pt idx="3">
                  <c:v>У региону (околне земље)</c:v>
                </c:pt>
              </c:strCache>
            </c:strRef>
          </c:cat>
          <c:val>
            <c:numRef>
              <c:f>Sheet1!$B$2:$B$5</c:f>
              <c:numCache>
                <c:formatCode>0.00%</c:formatCode>
                <c:ptCount val="4"/>
                <c:pt idx="0">
                  <c:v>0.27900000000000008</c:v>
                </c:pt>
                <c:pt idx="1">
                  <c:v>2.3E-2</c:v>
                </c:pt>
                <c:pt idx="2">
                  <c:v>2.3E-2</c:v>
                </c:pt>
                <c:pt idx="3">
                  <c:v>4.7000000000000014E-2</c:v>
                </c:pt>
              </c:numCache>
            </c:numRef>
          </c:val>
          <c:extLst xmlns:c16r2="http://schemas.microsoft.com/office/drawing/2015/06/chart">
            <c:ext xmlns:c16="http://schemas.microsoft.com/office/drawing/2014/chart" uri="{C3380CC4-5D6E-409C-BE32-E72D297353CC}">
              <c16:uniqueId val="{00000004-D2DD-443E-BDC6-42499763D878}"/>
            </c:ext>
          </c:extLst>
        </c:ser>
        <c:ser>
          <c:idx val="1"/>
          <c:order val="1"/>
          <c:tx>
            <c:strRef>
              <c:f>Sheet1!$C$1</c:f>
              <c:strCache>
                <c:ptCount val="1"/>
                <c:pt idx="0">
                  <c:v>осредње</c:v>
                </c:pt>
              </c:strCache>
            </c:strRef>
          </c:tx>
          <c:spPr>
            <a:solidFill>
              <a:schemeClr val="accent2"/>
            </a:solidFill>
            <a:ln>
              <a:noFill/>
            </a:ln>
            <a:effectLst/>
          </c:spPr>
          <c:dLbls>
            <c:dLbl>
              <c:idx val="0"/>
              <c:tx>
                <c:rich>
                  <a:bodyPr/>
                  <a:lstStyle/>
                  <a:p>
                    <a:r>
                      <a:rPr lang="en-US"/>
                      <a:t>60.5%</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D2DD-443E-BDC6-42499763D878}"/>
                </c:ext>
              </c:extLst>
            </c:dLbl>
            <c:dLbl>
              <c:idx val="1"/>
              <c:tx>
                <c:rich>
                  <a:bodyPr/>
                  <a:lstStyle/>
                  <a:p>
                    <a:r>
                      <a:rPr lang="en-US"/>
                      <a:t>51.2%</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D2DD-443E-BDC6-42499763D878}"/>
                </c:ext>
              </c:extLst>
            </c:dLbl>
            <c:dLbl>
              <c:idx val="2"/>
              <c:tx>
                <c:rich>
                  <a:bodyPr/>
                  <a:lstStyle/>
                  <a:p>
                    <a:r>
                      <a:rPr lang="en-US"/>
                      <a:t>27.9%</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D2DD-443E-BDC6-42499763D878}"/>
                </c:ext>
              </c:extLst>
            </c:dLbl>
            <c:dLbl>
              <c:idx val="3"/>
              <c:tx>
                <c:rich>
                  <a:bodyPr/>
                  <a:lstStyle/>
                  <a:p>
                    <a:r>
                      <a:rPr lang="en-US"/>
                      <a:t>20.9%</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D2DD-443E-BDC6-42499763D8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У граду</c:v>
                </c:pt>
                <c:pt idx="1">
                  <c:v>У покрајини</c:v>
                </c:pt>
                <c:pt idx="2">
                  <c:v>У земљи</c:v>
                </c:pt>
                <c:pt idx="3">
                  <c:v>У региону (околне земље)</c:v>
                </c:pt>
              </c:strCache>
            </c:strRef>
          </c:cat>
          <c:val>
            <c:numRef>
              <c:f>Sheet1!$C$2:$C$5</c:f>
              <c:numCache>
                <c:formatCode>0.00%</c:formatCode>
                <c:ptCount val="4"/>
                <c:pt idx="0">
                  <c:v>0.6050000000000002</c:v>
                </c:pt>
                <c:pt idx="1">
                  <c:v>0.51200000000000001</c:v>
                </c:pt>
                <c:pt idx="2">
                  <c:v>0.27900000000000008</c:v>
                </c:pt>
                <c:pt idx="3">
                  <c:v>0.20900000000000005</c:v>
                </c:pt>
              </c:numCache>
            </c:numRef>
          </c:val>
          <c:extLst xmlns:c16r2="http://schemas.microsoft.com/office/drawing/2015/06/chart">
            <c:ext xmlns:c16="http://schemas.microsoft.com/office/drawing/2014/chart" uri="{C3380CC4-5D6E-409C-BE32-E72D297353CC}">
              <c16:uniqueId val="{00000009-D2DD-443E-BDC6-42499763D878}"/>
            </c:ext>
          </c:extLst>
        </c:ser>
        <c:ser>
          <c:idx val="2"/>
          <c:order val="2"/>
          <c:tx>
            <c:strRef>
              <c:f>Sheet1!$D$1</c:f>
              <c:strCache>
                <c:ptCount val="1"/>
                <c:pt idx="0">
                  <c:v>слабо</c:v>
                </c:pt>
              </c:strCache>
            </c:strRef>
          </c:tx>
          <c:spPr>
            <a:solidFill>
              <a:schemeClr val="accent3"/>
            </a:solidFill>
            <a:ln>
              <a:noFill/>
            </a:ln>
            <a:effectLst/>
          </c:spPr>
          <c:dLbls>
            <c:dLbl>
              <c:idx val="0"/>
              <c:tx>
                <c:rich>
                  <a:bodyPr/>
                  <a:lstStyle/>
                  <a:p>
                    <a:r>
                      <a:rPr lang="en-US"/>
                      <a:t>9.3%</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D2DD-443E-BDC6-42499763D878}"/>
                </c:ext>
              </c:extLst>
            </c:dLbl>
            <c:dLbl>
              <c:idx val="1"/>
              <c:tx>
                <c:rich>
                  <a:bodyPr/>
                  <a:lstStyle/>
                  <a:p>
                    <a:r>
                      <a:rPr lang="en-US"/>
                      <a:t>41.9%</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D2DD-443E-BDC6-42499763D878}"/>
                </c:ext>
              </c:extLst>
            </c:dLbl>
            <c:dLbl>
              <c:idx val="2"/>
              <c:tx>
                <c:rich>
                  <a:bodyPr/>
                  <a:lstStyle/>
                  <a:p>
                    <a:r>
                      <a:rPr lang="en-US"/>
                      <a:t>46.5%</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D2DD-443E-BDC6-42499763D878}"/>
                </c:ext>
              </c:extLst>
            </c:dLbl>
            <c:dLbl>
              <c:idx val="3"/>
              <c:tx>
                <c:rich>
                  <a:bodyPr/>
                  <a:lstStyle/>
                  <a:p>
                    <a:r>
                      <a:rPr lang="en-US"/>
                      <a:t>32.6%</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D2DD-443E-BDC6-42499763D8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У граду</c:v>
                </c:pt>
                <c:pt idx="1">
                  <c:v>У покрајини</c:v>
                </c:pt>
                <c:pt idx="2">
                  <c:v>У земљи</c:v>
                </c:pt>
                <c:pt idx="3">
                  <c:v>У региону (околне земље)</c:v>
                </c:pt>
              </c:strCache>
            </c:strRef>
          </c:cat>
          <c:val>
            <c:numRef>
              <c:f>Sheet1!$D$2:$D$5</c:f>
              <c:numCache>
                <c:formatCode>0.00%</c:formatCode>
                <c:ptCount val="4"/>
                <c:pt idx="0">
                  <c:v>9.3000000000000055E-2</c:v>
                </c:pt>
                <c:pt idx="1">
                  <c:v>0.41900000000000009</c:v>
                </c:pt>
                <c:pt idx="2">
                  <c:v>0.46500000000000002</c:v>
                </c:pt>
                <c:pt idx="3">
                  <c:v>0.32600000000000012</c:v>
                </c:pt>
              </c:numCache>
            </c:numRef>
          </c:val>
          <c:extLst xmlns:c16r2="http://schemas.microsoft.com/office/drawing/2015/06/chart">
            <c:ext xmlns:c16="http://schemas.microsoft.com/office/drawing/2014/chart" uri="{C3380CC4-5D6E-409C-BE32-E72D297353CC}">
              <c16:uniqueId val="{0000000E-D2DD-443E-BDC6-42499763D878}"/>
            </c:ext>
          </c:extLst>
        </c:ser>
        <c:ser>
          <c:idx val="3"/>
          <c:order val="3"/>
          <c:tx>
            <c:strRef>
              <c:f>Sheet1!$E$1</c:f>
              <c:strCache>
                <c:ptCount val="1"/>
                <c:pt idx="0">
                  <c:v>не уопште</c:v>
                </c:pt>
              </c:strCache>
            </c:strRef>
          </c:tx>
          <c:spPr>
            <a:solidFill>
              <a:schemeClr val="accent4"/>
            </a:solidFill>
            <a:ln>
              <a:noFill/>
            </a:ln>
            <a:effectLst/>
          </c:spPr>
          <c:dLbls>
            <c:dLbl>
              <c:idx val="0"/>
              <c:layout>
                <c:manualLayout>
                  <c:x val="8.6439762290653737E-3"/>
                  <c:y val="-8.5056098756886245E-2"/>
                </c:manualLayout>
              </c:layout>
              <c:tx>
                <c:rich>
                  <a:bodyPr/>
                  <a:lstStyle/>
                  <a:p>
                    <a:r>
                      <a:rPr lang="en-US"/>
                      <a:t>2.3%</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D2DD-443E-BDC6-42499763D878}"/>
                </c:ext>
              </c:extLst>
            </c:dLbl>
            <c:dLbl>
              <c:idx val="1"/>
              <c:layout>
                <c:manualLayout>
                  <c:x val="2.160994057266346E-3"/>
                  <c:y val="-8.5676790401199868E-2"/>
                </c:manualLayout>
              </c:layout>
              <c:tx>
                <c:rich>
                  <a:bodyPr/>
                  <a:lstStyle/>
                  <a:p>
                    <a:r>
                      <a:rPr lang="en-US"/>
                      <a:t>4.7%</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D2DD-443E-BDC6-42499763D878}"/>
                </c:ext>
              </c:extLst>
            </c:dLbl>
            <c:dLbl>
              <c:idx val="2"/>
              <c:tx>
                <c:rich>
                  <a:bodyPr/>
                  <a:lstStyle/>
                  <a:p>
                    <a:r>
                      <a:rPr lang="en-US"/>
                      <a:t>18.6%</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D2DD-443E-BDC6-42499763D878}"/>
                </c:ext>
              </c:extLst>
            </c:dLbl>
            <c:dLbl>
              <c:idx val="3"/>
              <c:tx>
                <c:rich>
                  <a:bodyPr/>
                  <a:lstStyle/>
                  <a:p>
                    <a:r>
                      <a:rPr lang="en-US"/>
                      <a:t>32.6%</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D2DD-443E-BDC6-42499763D87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У граду</c:v>
                </c:pt>
                <c:pt idx="1">
                  <c:v>У покрајини</c:v>
                </c:pt>
                <c:pt idx="2">
                  <c:v>У земљи</c:v>
                </c:pt>
                <c:pt idx="3">
                  <c:v>У региону (околне земље)</c:v>
                </c:pt>
              </c:strCache>
            </c:strRef>
          </c:cat>
          <c:val>
            <c:numRef>
              <c:f>Sheet1!$E$2:$E$5</c:f>
              <c:numCache>
                <c:formatCode>0.00%</c:formatCode>
                <c:ptCount val="4"/>
                <c:pt idx="0">
                  <c:v>2.3E-2</c:v>
                </c:pt>
                <c:pt idx="1">
                  <c:v>4.7000000000000014E-2</c:v>
                </c:pt>
                <c:pt idx="2">
                  <c:v>0.18600000000000005</c:v>
                </c:pt>
                <c:pt idx="3">
                  <c:v>0.32600000000000012</c:v>
                </c:pt>
              </c:numCache>
            </c:numRef>
          </c:val>
          <c:extLst xmlns:c16r2="http://schemas.microsoft.com/office/drawing/2015/06/chart">
            <c:ext xmlns:c16="http://schemas.microsoft.com/office/drawing/2014/chart" uri="{C3380CC4-5D6E-409C-BE32-E72D297353CC}">
              <c16:uniqueId val="{00000013-D2DD-443E-BDC6-42499763D878}"/>
            </c:ext>
          </c:extLst>
        </c:ser>
        <c:ser>
          <c:idx val="4"/>
          <c:order val="4"/>
          <c:tx>
            <c:strRef>
              <c:f>Sheet1!$F$1</c:f>
              <c:strCache>
                <c:ptCount val="1"/>
                <c:pt idx="0">
                  <c:v>не знам</c:v>
                </c:pt>
              </c:strCache>
            </c:strRef>
          </c:tx>
          <c:spPr>
            <a:solidFill>
              <a:schemeClr val="accent5"/>
            </a:solidFill>
            <a:ln>
              <a:noFill/>
            </a:ln>
            <a:effectLst/>
          </c:spPr>
          <c:dLbls>
            <c:dLbl>
              <c:idx val="2"/>
              <c:layout>
                <c:manualLayout>
                  <c:x val="6.4829821717988711E-3"/>
                  <c:y val="-9.561074096507173E-2"/>
                </c:manualLayout>
              </c:layout>
              <c:tx>
                <c:rich>
                  <a:bodyPr/>
                  <a:lstStyle/>
                  <a:p>
                    <a:r>
                      <a:rPr lang="en-US"/>
                      <a:t>4.7%</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D2DD-443E-BDC6-42499763D878}"/>
                </c:ext>
              </c:extLst>
            </c:dLbl>
            <c:dLbl>
              <c:idx val="3"/>
              <c:tx>
                <c:rich>
                  <a:bodyPr/>
                  <a:lstStyle/>
                  <a:p>
                    <a:r>
                      <a:rPr lang="en-US"/>
                      <a:t>9.3%</a:t>
                    </a:r>
                  </a:p>
                </c:rich>
              </c:tx>
              <c:dLblPos val="ct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D2DD-443E-BDC6-42499763D87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У граду</c:v>
                </c:pt>
                <c:pt idx="1">
                  <c:v>У покрајини</c:v>
                </c:pt>
                <c:pt idx="2">
                  <c:v>У земљи</c:v>
                </c:pt>
                <c:pt idx="3">
                  <c:v>У региону (околне земље)</c:v>
                </c:pt>
              </c:strCache>
            </c:strRef>
          </c:cat>
          <c:val>
            <c:numRef>
              <c:f>Sheet1!$F$2:$F$5</c:f>
              <c:numCache>
                <c:formatCode>General</c:formatCode>
                <c:ptCount val="4"/>
                <c:pt idx="2" formatCode="0.00%">
                  <c:v>4.7000000000000014E-2</c:v>
                </c:pt>
                <c:pt idx="3" formatCode="0.00%">
                  <c:v>9.3000000000000055E-2</c:v>
                </c:pt>
              </c:numCache>
            </c:numRef>
          </c:val>
          <c:extLst xmlns:c16r2="http://schemas.microsoft.com/office/drawing/2015/06/chart">
            <c:ext xmlns:c16="http://schemas.microsoft.com/office/drawing/2014/chart" uri="{C3380CC4-5D6E-409C-BE32-E72D297353CC}">
              <c16:uniqueId val="{00000016-D2DD-443E-BDC6-42499763D878}"/>
            </c:ext>
          </c:extLst>
        </c:ser>
        <c:dLbls>
          <c:showVal val="1"/>
        </c:dLbls>
        <c:overlap val="100"/>
        <c:axId val="172693760"/>
        <c:axId val="172720128"/>
      </c:barChart>
      <c:catAx>
        <c:axId val="17269376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720128"/>
        <c:crosses val="autoZero"/>
        <c:auto val="1"/>
        <c:lblAlgn val="ctr"/>
        <c:lblOffset val="100"/>
      </c:catAx>
      <c:valAx>
        <c:axId val="172720128"/>
        <c:scaling>
          <c:orientation val="minMax"/>
        </c:scaling>
        <c:delete val="1"/>
        <c:axPos val="b"/>
        <c:majorGridlines>
          <c:spPr>
            <a:ln w="9525" cap="flat" cmpd="sng" algn="ctr">
              <a:solidFill>
                <a:schemeClr val="tx1">
                  <a:lumMod val="15000"/>
                  <a:lumOff val="85000"/>
                </a:schemeClr>
              </a:solidFill>
              <a:round/>
            </a:ln>
            <a:effectLst/>
          </c:spPr>
        </c:majorGridlines>
        <c:numFmt formatCode="0%" sourceLinked="1"/>
        <c:majorTickMark val="none"/>
        <c:tickLblPos val="none"/>
        <c:crossAx val="172693760"/>
        <c:crosses val="autoZero"/>
        <c:crossBetween val="between"/>
      </c:valAx>
      <c:spPr>
        <a:noFill/>
        <a:ln>
          <a:noFill/>
        </a:ln>
        <a:effectLst/>
      </c:spPr>
    </c:plotArea>
    <c:legend>
      <c:legendPos val="b"/>
      <c:layout>
        <c:manualLayout>
          <c:xMode val="edge"/>
          <c:yMode val="edge"/>
          <c:x val="7.4664897033739023E-4"/>
          <c:y val="0.25300971993885396"/>
          <c:w val="0.12546493276671053"/>
          <c:h val="0.7250122580831244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ser>
          <c:idx val="0"/>
          <c:order val="0"/>
          <c:tx>
            <c:strRef>
              <c:f>Sheet1!$B$1</c:f>
              <c:strCache>
                <c:ptCount val="1"/>
                <c:pt idx="0">
                  <c:v>Sales</c:v>
                </c:pt>
              </c:strCache>
            </c:strRef>
          </c:tx>
          <c:dPt>
            <c:idx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1B0D-4A22-B6BC-FF74A20D8210}"/>
              </c:ext>
            </c:extLst>
          </c:dPt>
          <c:dPt>
            <c:idx val="1"/>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1B0D-4A22-B6BC-FF74A20D8210}"/>
              </c:ext>
            </c:extLst>
          </c:dPt>
          <c:dPt>
            <c:idx val="2"/>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1B0D-4A22-B6BC-FF74A20D8210}"/>
              </c:ext>
            </c:extLst>
          </c:dPt>
          <c:dLbls>
            <c:dLbl>
              <c:idx val="0"/>
              <c:layout>
                <c:manualLayout>
                  <c:x val="-9.0698506948926547E-2"/>
                  <c:y val="-0.15314647397470391"/>
                </c:manualLayout>
              </c:layout>
              <c:tx>
                <c:rich>
                  <a:bodyPr/>
                  <a:lstStyle/>
                  <a:p>
                    <a:r>
                      <a:rPr lang="en-US"/>
                      <a:t>74.42%</a:t>
                    </a:r>
                  </a:p>
                </c:rich>
              </c:tx>
              <c:dLblPos val="bestFit"/>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B0D-4A22-B6BC-FF74A20D8210}"/>
                </c:ext>
              </c:extLst>
            </c:dLbl>
            <c:dLbl>
              <c:idx val="1"/>
              <c:tx>
                <c:rich>
                  <a:bodyPr/>
                  <a:lstStyle/>
                  <a:p>
                    <a:r>
                      <a:rPr lang="en-US"/>
                      <a:t>18.6%</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B0D-4A22-B6BC-FF74A20D8210}"/>
                </c:ext>
              </c:extLst>
            </c:dLbl>
            <c:dLbl>
              <c:idx val="2"/>
              <c:tx>
                <c:rich>
                  <a:bodyPr/>
                  <a:lstStyle/>
                  <a:p>
                    <a:r>
                      <a:rPr lang="en-US"/>
                      <a:t>6.98%</a:t>
                    </a:r>
                  </a:p>
                </c:rich>
              </c:tx>
              <c:dLblPos val="inEnd"/>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B0D-4A22-B6BC-FF74A20D8210}"/>
                </c:ext>
              </c:extLst>
            </c:dLbl>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веома важан</c:v>
                </c:pt>
                <c:pt idx="1">
                  <c:v>важан</c:v>
                </c:pt>
                <c:pt idx="2">
                  <c:v>нити важан, нити неважан</c:v>
                </c:pt>
              </c:strCache>
            </c:strRef>
          </c:cat>
          <c:val>
            <c:numRef>
              <c:f>Sheet1!$B$2:$B$4</c:f>
              <c:numCache>
                <c:formatCode>0.00%</c:formatCode>
                <c:ptCount val="3"/>
                <c:pt idx="0">
                  <c:v>0.74420000000000019</c:v>
                </c:pt>
                <c:pt idx="1">
                  <c:v>0.18600000000000005</c:v>
                </c:pt>
                <c:pt idx="2">
                  <c:v>6.9800000000000029E-2</c:v>
                </c:pt>
              </c:numCache>
            </c:numRef>
          </c:val>
          <c:extLst xmlns:c16r2="http://schemas.microsoft.com/office/drawing/2015/06/chart">
            <c:ext xmlns:c16="http://schemas.microsoft.com/office/drawing/2014/chart" uri="{C3380CC4-5D6E-409C-BE32-E72D297353CC}">
              <c16:uniqueId val="{00000006-1B0D-4A22-B6BC-FF74A20D8210}"/>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0557869782406241"/>
          <c:y val="1.6878231130199633E-2"/>
          <c:w val="0.77076538819744311"/>
          <c:h val="0.9296316048143386"/>
        </c:manualLayout>
      </c:layout>
      <c:barChart>
        <c:barDir val="bar"/>
        <c:grouping val="clustered"/>
        <c:ser>
          <c:idx val="0"/>
          <c:order val="0"/>
          <c:tx>
            <c:strRef>
              <c:f>Sheet1!$B$1</c:f>
              <c:strCache>
                <c:ptCount val="1"/>
                <c:pt idx="0">
                  <c:v>% средстава у односу на буџет намењен конкурсима</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Lbls>
            <c:spPr>
              <a:noFill/>
              <a:ln>
                <a:noFill/>
              </a:ln>
              <a:effectLst/>
            </c:spPr>
            <c:txPr>
              <a:bodyPr/>
              <a:lstStyle/>
              <a:p>
                <a:pPr>
                  <a:defRPr b="1"/>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књижевност</c:v>
                </c:pt>
                <c:pt idx="1">
                  <c:v>музика</c:v>
                </c:pt>
                <c:pt idx="2">
                  <c:v>визуелне уметности</c:v>
                </c:pt>
                <c:pt idx="3">
                  <c:v>фолклор и традиција</c:v>
                </c:pt>
                <c:pt idx="4">
                  <c:v>позориште</c:v>
                </c:pt>
                <c:pt idx="5">
                  <c:v>остали програми</c:v>
                </c:pt>
              </c:strCache>
            </c:strRef>
          </c:cat>
          <c:val>
            <c:numRef>
              <c:f>Sheet1!$B$2:$B$7</c:f>
              <c:numCache>
                <c:formatCode>0.0%</c:formatCode>
                <c:ptCount val="6"/>
                <c:pt idx="0">
                  <c:v>0.1</c:v>
                </c:pt>
                <c:pt idx="1">
                  <c:v>0.15000000000000005</c:v>
                </c:pt>
                <c:pt idx="2">
                  <c:v>2.5999999999999999E-2</c:v>
                </c:pt>
                <c:pt idx="3">
                  <c:v>0.69000000000000017</c:v>
                </c:pt>
                <c:pt idx="4">
                  <c:v>2.0000000000000007E-2</c:v>
                </c:pt>
                <c:pt idx="5">
                  <c:v>1.4E-2</c:v>
                </c:pt>
              </c:numCache>
            </c:numRef>
          </c:val>
          <c:extLst xmlns:c16r2="http://schemas.microsoft.com/office/drawing/2015/06/chart">
            <c:ext xmlns:c16="http://schemas.microsoft.com/office/drawing/2014/chart" uri="{C3380CC4-5D6E-409C-BE32-E72D297353CC}">
              <c16:uniqueId val="{00000000-3C4B-4929-931A-FCA999E2A02E}"/>
            </c:ext>
          </c:extLst>
        </c:ser>
        <c:ser>
          <c:idx val="1"/>
          <c:order val="1"/>
          <c:tx>
            <c:strRef>
              <c:f>Sheet1!$C$1</c:f>
              <c:strCache>
                <c:ptCount val="1"/>
                <c:pt idx="0">
                  <c:v>%одобрених пројеката према областима у односу на укупан број одобрених пројеката</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Lbls>
            <c:spPr>
              <a:noFill/>
              <a:ln>
                <a:noFill/>
              </a:ln>
              <a:effectLst/>
            </c:spPr>
            <c:txPr>
              <a:bodyPr/>
              <a:lstStyle/>
              <a:p>
                <a:pPr>
                  <a:defRPr b="1"/>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књижевност</c:v>
                </c:pt>
                <c:pt idx="1">
                  <c:v>музика</c:v>
                </c:pt>
                <c:pt idx="2">
                  <c:v>визуелне уметности</c:v>
                </c:pt>
                <c:pt idx="3">
                  <c:v>фолклор и традиција</c:v>
                </c:pt>
                <c:pt idx="4">
                  <c:v>позориште</c:v>
                </c:pt>
                <c:pt idx="5">
                  <c:v>остали програми</c:v>
                </c:pt>
              </c:strCache>
            </c:strRef>
          </c:cat>
          <c:val>
            <c:numRef>
              <c:f>Sheet1!$C$2:$C$7</c:f>
              <c:numCache>
                <c:formatCode>0.0%</c:formatCode>
                <c:ptCount val="6"/>
                <c:pt idx="0">
                  <c:v>1.7999999999999999E-2</c:v>
                </c:pt>
                <c:pt idx="1">
                  <c:v>0.128</c:v>
                </c:pt>
                <c:pt idx="2">
                  <c:v>7.3000000000000009E-2</c:v>
                </c:pt>
                <c:pt idx="3">
                  <c:v>0.7270000000000002</c:v>
                </c:pt>
                <c:pt idx="4">
                  <c:v>3.5999999999999997E-2</c:v>
                </c:pt>
                <c:pt idx="5">
                  <c:v>1.7999999999999999E-2</c:v>
                </c:pt>
              </c:numCache>
            </c:numRef>
          </c:val>
          <c:extLst xmlns:c16r2="http://schemas.microsoft.com/office/drawing/2015/06/chart">
            <c:ext xmlns:c16="http://schemas.microsoft.com/office/drawing/2014/chart" uri="{C3380CC4-5D6E-409C-BE32-E72D297353CC}">
              <c16:uniqueId val="{00000001-3C4B-4929-931A-FCA999E2A02E}"/>
            </c:ext>
          </c:extLst>
        </c:ser>
        <c:gapWidth val="100"/>
        <c:axId val="113230592"/>
        <c:axId val="113232128"/>
      </c:barChart>
      <c:catAx>
        <c:axId val="113230592"/>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3232128"/>
        <c:crosses val="autoZero"/>
        <c:auto val="1"/>
        <c:lblAlgn val="ctr"/>
        <c:lblOffset val="100"/>
      </c:catAx>
      <c:valAx>
        <c:axId val="113232128"/>
        <c:scaling>
          <c:orientation val="minMax"/>
        </c:scaling>
        <c:delete val="1"/>
        <c:axPos val="b"/>
        <c:numFmt formatCode="0.0%" sourceLinked="1"/>
        <c:majorTickMark val="none"/>
        <c:tickLblPos val="none"/>
        <c:crossAx val="113230592"/>
        <c:crosses val="autoZero"/>
        <c:crossBetween val="between"/>
      </c:valAx>
      <c:spPr>
        <a:noFill/>
        <a:ln>
          <a:noFill/>
        </a:ln>
        <a:effectLst/>
      </c:spPr>
    </c:plotArea>
    <c:legend>
      <c:legendPos val="b"/>
      <c:layout>
        <c:manualLayout>
          <c:xMode val="edge"/>
          <c:yMode val="edge"/>
          <c:x val="0.42580645161290487"/>
          <c:y val="0.62022535555148939"/>
          <c:w val="0.5741935483870968"/>
          <c:h val="0.37977464444851372"/>
        </c:manualLayout>
      </c:layout>
      <c:spPr>
        <a:noFill/>
        <a:ln>
          <a:noFill/>
        </a:ln>
        <a:effectLst/>
      </c:spPr>
      <c:txPr>
        <a:bodyPr rot="0" vert="horz"/>
        <a:lstStyle/>
        <a:p>
          <a:pPr>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027373982098394"/>
          <c:y val="3.7070750771538201E-2"/>
          <c:w val="0.81697405612759988"/>
          <c:h val="0.94024804591733713"/>
        </c:manualLayout>
      </c:layout>
      <c:barChart>
        <c:barDir val="bar"/>
        <c:grouping val="clustered"/>
        <c:ser>
          <c:idx val="0"/>
          <c:order val="0"/>
          <c:tx>
            <c:strRef>
              <c:f>Sheet1!$B$1</c:f>
              <c:strCache>
                <c:ptCount val="1"/>
                <c:pt idx="0">
                  <c:v>Sales</c:v>
                </c:pt>
              </c:strCache>
            </c:strRef>
          </c:tx>
          <c:spPr>
            <a:solidFill>
              <a:schemeClr val="accent1">
                <a:lumMod val="60000"/>
                <a:lumOff val="40000"/>
              </a:schemeClr>
            </a:solidFill>
            <a:ln w="3175">
              <a:noFill/>
            </a:ln>
            <a:effectLst/>
            <a:scene3d>
              <a:camera prst="orthographicFront"/>
              <a:lightRig rig="brightRoom" dir="t"/>
            </a:scene3d>
            <a:sp3d prstMaterial="flat">
              <a:bevelT w="50800" h="101600" prst="angle"/>
              <a:contourClr>
                <a:srgbClr val="000000"/>
              </a:contourClr>
            </a:sp3d>
          </c:spPr>
          <c:dLbls>
            <c:dLbl>
              <c:idx val="0"/>
              <c:tx>
                <c:rich>
                  <a:bodyPr/>
                  <a:lstStyle/>
                  <a:p>
                    <a:r>
                      <a:rPr lang="en-US"/>
                      <a:t>9.3%</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AA5-4342-8D8A-B6CBD3CA638D}"/>
                </c:ext>
              </c:extLst>
            </c:dLbl>
            <c:dLbl>
              <c:idx val="1"/>
              <c:tx>
                <c:rich>
                  <a:bodyPr/>
                  <a:lstStyle/>
                  <a:p>
                    <a:r>
                      <a:rPr lang="en-US"/>
                      <a:t>27.91%</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AA5-4342-8D8A-B6CBD3CA638D}"/>
                </c:ext>
              </c:extLst>
            </c:dLbl>
            <c:dLbl>
              <c:idx val="2"/>
              <c:tx>
                <c:rich>
                  <a:bodyPr/>
                  <a:lstStyle/>
                  <a:p>
                    <a:r>
                      <a:rPr lang="en-US"/>
                      <a:t>62.79%</a:t>
                    </a:r>
                  </a:p>
                </c:rich>
              </c:tx>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AA5-4342-8D8A-B6CBD3CA638D}"/>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да</c:v>
                </c:pt>
                <c:pt idx="1">
                  <c:v>недовољно</c:v>
                </c:pt>
                <c:pt idx="2">
                  <c:v>немам став</c:v>
                </c:pt>
              </c:strCache>
            </c:strRef>
          </c:cat>
          <c:val>
            <c:numRef>
              <c:f>Sheet1!$B$2:$B$4</c:f>
              <c:numCache>
                <c:formatCode>0.00%</c:formatCode>
                <c:ptCount val="3"/>
                <c:pt idx="0">
                  <c:v>0.27910000000000001</c:v>
                </c:pt>
                <c:pt idx="1">
                  <c:v>0.62790000000000024</c:v>
                </c:pt>
                <c:pt idx="2" formatCode="General">
                  <c:v>1.4</c:v>
                </c:pt>
              </c:numCache>
            </c:numRef>
          </c:val>
          <c:extLst xmlns:c16r2="http://schemas.microsoft.com/office/drawing/2015/06/chart">
            <c:ext xmlns:c16="http://schemas.microsoft.com/office/drawing/2014/chart" uri="{C3380CC4-5D6E-409C-BE32-E72D297353CC}">
              <c16:uniqueId val="{00000006-0AA5-4342-8D8A-B6CBD3CA638D}"/>
            </c:ext>
          </c:extLst>
        </c:ser>
        <c:gapWidth val="100"/>
        <c:axId val="172464000"/>
        <c:axId val="172462464"/>
      </c:barChart>
      <c:valAx>
        <c:axId val="172462464"/>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tickLblPos val="none"/>
        <c:crossAx val="172464000"/>
        <c:crosses val="autoZero"/>
        <c:crossBetween val="between"/>
      </c:valAx>
      <c:catAx>
        <c:axId val="172464000"/>
        <c:scaling>
          <c:orientation val="minMax"/>
        </c:scaling>
        <c:axPos val="l"/>
        <c:numFmt formatCode="General" sourceLinked="1"/>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462464"/>
        <c:crosses val="autoZero"/>
        <c:auto val="1"/>
        <c:lblAlgn val="ctr"/>
        <c:lblOffset val="100"/>
      </c:cat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US"/>
  <c:chart>
    <c:autoTitleDeleted val="1"/>
    <c:plotArea>
      <c:layout>
        <c:manualLayout>
          <c:layoutTarget val="inner"/>
          <c:xMode val="edge"/>
          <c:yMode val="edge"/>
          <c:x val="2.342917997870075E-2"/>
          <c:y val="0"/>
          <c:w val="0.95314164004259883"/>
          <c:h val="0.62388405797101465"/>
        </c:manualLayout>
      </c:layout>
      <c:barChart>
        <c:barDir val="col"/>
        <c:grouping val="clustered"/>
        <c:ser>
          <c:idx val="0"/>
          <c:order val="0"/>
          <c:tx>
            <c:strRef>
              <c:f>Sheet1!$B$1</c:f>
              <c:strCache>
                <c:ptCount val="1"/>
                <c:pt idx="0">
                  <c:v>Series 1</c:v>
                </c:pt>
              </c:strCache>
            </c:strRef>
          </c:tx>
          <c:spPr>
            <a:solidFill>
              <a:schemeClr val="accent6">
                <a:lumMod val="60000"/>
                <a:lumOff val="40000"/>
              </a:schemeClr>
            </a:solidFill>
            <a:ln>
              <a:noFill/>
            </a:ln>
            <a:effectLst>
              <a:outerShdw blurRad="40000" dist="23000" dir="5400000" rotWithShape="0">
                <a:srgbClr val="000000">
                  <a:alpha val="35000"/>
                </a:srgbClr>
              </a:outerShdw>
            </a:effectLst>
          </c:spPr>
          <c:dLbls>
            <c:dLbl>
              <c:idx val="3"/>
              <c:layout>
                <c:manualLayout>
                  <c:x val="2.1299254526091597E-3"/>
                  <c:y val="1.97133631677331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CB7-4217-826C-73B7AC769C4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Sheet1!$A$2:$A$6</c:f>
              <c:strCache>
                <c:ptCount val="5"/>
                <c:pt idx="0">
                  <c:v>веома задовољан/а</c:v>
                </c:pt>
                <c:pt idx="1">
                  <c:v>задовољан/а</c:v>
                </c:pt>
                <c:pt idx="2">
                  <c:v>нити задовољан/а/ нити незадовољан/а</c:v>
                </c:pt>
                <c:pt idx="3">
                  <c:v>незадовољан/а</c:v>
                </c:pt>
                <c:pt idx="4">
                  <c:v>веома незадовољан/а</c:v>
                </c:pt>
              </c:strCache>
            </c:strRef>
          </c:cat>
          <c:val>
            <c:numRef>
              <c:f>Sheet1!$B$2:$B$6</c:f>
              <c:numCache>
                <c:formatCode>0.00%</c:formatCode>
                <c:ptCount val="5"/>
                <c:pt idx="0">
                  <c:v>2.3299999999999998E-2</c:v>
                </c:pt>
                <c:pt idx="1">
                  <c:v>0.55810000000000004</c:v>
                </c:pt>
                <c:pt idx="2">
                  <c:v>0.2326</c:v>
                </c:pt>
                <c:pt idx="3">
                  <c:v>0.1163</c:v>
                </c:pt>
                <c:pt idx="4">
                  <c:v>2.3299999999999998E-2</c:v>
                </c:pt>
              </c:numCache>
            </c:numRef>
          </c:val>
          <c:extLst xmlns:c16r2="http://schemas.microsoft.com/office/drawing/2015/06/chart">
            <c:ext xmlns:c16="http://schemas.microsoft.com/office/drawing/2014/chart" uri="{C3380CC4-5D6E-409C-BE32-E72D297353CC}">
              <c16:uniqueId val="{00000001-3CB7-4217-826C-73B7AC769C4B}"/>
            </c:ext>
          </c:extLst>
        </c:ser>
        <c:dLbls>
          <c:showVal val="1"/>
        </c:dLbls>
        <c:gapWidth val="100"/>
        <c:overlap val="-24"/>
        <c:axId val="114575232"/>
        <c:axId val="114576768"/>
      </c:barChart>
      <c:catAx>
        <c:axId val="114575232"/>
        <c:scaling>
          <c:orientation val="minMax"/>
        </c:scaling>
        <c:axPos val="b"/>
        <c:numFmt formatCode="General" sourceLinked="1"/>
        <c:maj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4576768"/>
        <c:crosses val="autoZero"/>
        <c:auto val="1"/>
        <c:lblAlgn val="ctr"/>
        <c:lblOffset val="100"/>
      </c:catAx>
      <c:valAx>
        <c:axId val="114576768"/>
        <c:scaling>
          <c:orientation val="minMax"/>
        </c:scaling>
        <c:delete val="1"/>
        <c:axPos val="l"/>
        <c:numFmt formatCode="0.00%" sourceLinked="1"/>
        <c:majorTickMark val="none"/>
        <c:tickLblPos val="none"/>
        <c:crossAx val="114575232"/>
        <c:crosses val="autoZero"/>
        <c:crossBetween val="between"/>
      </c:valAx>
      <c:spPr>
        <a:noFill/>
        <a:ln>
          <a:noFill/>
        </a:ln>
        <a:effectLst/>
      </c:spPr>
    </c:plotArea>
    <c:plotVisOnly val="1"/>
    <c:dispBlanksAs val="gap"/>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date1904 val="1"/>
  <c:lang val="en-US"/>
  <c:style val="7"/>
  <c:chart>
    <c:autoTitleDeleted val="1"/>
    <c:plotArea>
      <c:layout>
        <c:manualLayout>
          <c:layoutTarget val="inner"/>
          <c:xMode val="edge"/>
          <c:yMode val="edge"/>
          <c:x val="2.3170089520800422E-2"/>
          <c:y val="9.1324200913242039E-3"/>
          <c:w val="0.95365982095839963"/>
          <c:h val="0.56219178082191756"/>
        </c:manualLayout>
      </c:layout>
      <c:barChart>
        <c:barDir val="col"/>
        <c:grouping val="clustered"/>
        <c:ser>
          <c:idx val="0"/>
          <c:order val="0"/>
          <c:tx>
            <c:strRef>
              <c:f>Sheet1!$B$1</c:f>
              <c:strCache>
                <c:ptCount val="1"/>
                <c:pt idx="0">
                  <c:v>Series 1</c:v>
                </c:pt>
              </c:strCache>
            </c:strRef>
          </c:tx>
          <c:spPr>
            <a:solidFill>
              <a:schemeClr val="accent5">
                <a:lumMod val="60000"/>
                <a:lumOff val="40000"/>
              </a:schemeClr>
            </a:solidFill>
            <a:ln>
              <a:noFill/>
            </a:ln>
            <a:effectLst/>
          </c:spPr>
          <c:dLbls>
            <c:dLbl>
              <c:idx val="2"/>
              <c:layout>
                <c:manualLayout>
                  <c:x val="0"/>
                  <c:y val="2.5172401395031085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AE4-4EDE-8CE2-AD2C1A1A26A6}"/>
                </c:ext>
              </c:extLst>
            </c:dLbl>
            <c:dLbl>
              <c:idx val="3"/>
              <c:layout>
                <c:manualLayout>
                  <c:x val="7.7232739536803913E-17"/>
                  <c:y val="1.8190055010246967E-2"/>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AE4-4EDE-8CE2-AD2C1A1A26A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понекад се нешто организује, али недовољно</c:v>
                </c:pt>
                <c:pt idx="1">
                  <c:v>врло ретко се организује нешто</c:v>
                </c:pt>
                <c:pt idx="2">
                  <c:v>не постоји никаква културна понуда</c:v>
                </c:pt>
                <c:pt idx="3">
                  <c:v>културна понуда је једнолична и намењена деци</c:v>
                </c:pt>
                <c:pt idx="4">
                  <c:v>без одговора</c:v>
                </c:pt>
              </c:strCache>
            </c:strRef>
          </c:cat>
          <c:val>
            <c:numRef>
              <c:f>Sheet1!$B$2:$B$6</c:f>
              <c:numCache>
                <c:formatCode>0.0%</c:formatCode>
                <c:ptCount val="5"/>
                <c:pt idx="0">
                  <c:v>0.48840000000000011</c:v>
                </c:pt>
                <c:pt idx="1">
                  <c:v>0.34880000000000011</c:v>
                </c:pt>
                <c:pt idx="2">
                  <c:v>4.65E-2</c:v>
                </c:pt>
                <c:pt idx="3">
                  <c:v>9.3000000000000055E-2</c:v>
                </c:pt>
                <c:pt idx="4">
                  <c:v>2.3E-2</c:v>
                </c:pt>
              </c:numCache>
            </c:numRef>
          </c:val>
          <c:extLst xmlns:c16r2="http://schemas.microsoft.com/office/drawing/2015/06/chart">
            <c:ext xmlns:c16="http://schemas.microsoft.com/office/drawing/2014/chart" uri="{C3380CC4-5D6E-409C-BE32-E72D297353CC}">
              <c16:uniqueId val="{00000002-3AE4-4EDE-8CE2-AD2C1A1A26A6}"/>
            </c:ext>
          </c:extLst>
        </c:ser>
        <c:dLbls>
          <c:showVal val="1"/>
        </c:dLbls>
        <c:gapWidth val="112"/>
        <c:overlap val="-27"/>
        <c:axId val="173109248"/>
        <c:axId val="173110784"/>
      </c:barChart>
      <c:catAx>
        <c:axId val="1731092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3110784"/>
        <c:crosses val="autoZero"/>
        <c:auto val="1"/>
        <c:lblAlgn val="ctr"/>
        <c:lblOffset val="100"/>
      </c:catAx>
      <c:valAx>
        <c:axId val="173110784"/>
        <c:scaling>
          <c:orientation val="minMax"/>
        </c:scaling>
        <c:delete val="1"/>
        <c:axPos val="l"/>
        <c:numFmt formatCode="0.0%" sourceLinked="1"/>
        <c:majorTickMark val="none"/>
        <c:tickLblPos val="none"/>
        <c:crossAx val="1731092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2.3809523809523812E-2"/>
          <c:y val="0.28053928041603365"/>
          <c:w val="0.78571428571428559"/>
          <c:h val="0.54271759508322326"/>
        </c:manualLayout>
      </c:layout>
      <c:barChart>
        <c:barDir val="col"/>
        <c:grouping val="clustered"/>
        <c:ser>
          <c:idx val="0"/>
          <c:order val="0"/>
          <c:tx>
            <c:strRef>
              <c:f>Sheet1!$B$1</c:f>
              <c:strCache>
                <c:ptCount val="1"/>
                <c:pt idx="0">
                  <c:v>14 - 30 година</c:v>
                </c:pt>
              </c:strCache>
            </c:strRef>
          </c:tx>
          <c:spPr>
            <a:solidFill>
              <a:schemeClr val="accent1"/>
            </a:solidFill>
            <a:ln>
              <a:noFill/>
            </a:ln>
            <a:effectLst/>
          </c:spPr>
          <c:dLbls>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задовољни</c:v>
                </c:pt>
                <c:pt idx="1">
                  <c:v>незадовољни</c:v>
                </c:pt>
                <c:pt idx="2">
                  <c:v> не знају</c:v>
                </c:pt>
              </c:strCache>
            </c:strRef>
          </c:cat>
          <c:val>
            <c:numRef>
              <c:f>Sheet1!$B$2:$B$4</c:f>
              <c:numCache>
                <c:formatCode>0.0%</c:formatCode>
                <c:ptCount val="3"/>
                <c:pt idx="0">
                  <c:v>0.19400000000000001</c:v>
                </c:pt>
                <c:pt idx="1">
                  <c:v>0.20200000000000001</c:v>
                </c:pt>
                <c:pt idx="2" formatCode="0%">
                  <c:v>0.32000000000000123</c:v>
                </c:pt>
              </c:numCache>
            </c:numRef>
          </c:val>
          <c:extLst xmlns:c16r2="http://schemas.microsoft.com/office/drawing/2015/06/chart">
            <c:ext xmlns:c16="http://schemas.microsoft.com/office/drawing/2014/chart" uri="{C3380CC4-5D6E-409C-BE32-E72D297353CC}">
              <c16:uniqueId val="{00000000-C7A3-44F9-BC0E-F597885BC09D}"/>
            </c:ext>
          </c:extLst>
        </c:ser>
        <c:ser>
          <c:idx val="1"/>
          <c:order val="1"/>
          <c:tx>
            <c:strRef>
              <c:f>Sheet1!$C$1</c:f>
              <c:strCache>
                <c:ptCount val="1"/>
                <c:pt idx="0">
                  <c:v>31 - 49 година</c:v>
                </c:pt>
              </c:strCache>
            </c:strRef>
          </c:tx>
          <c:spPr>
            <a:solidFill>
              <a:schemeClr val="accent2"/>
            </a:solidFill>
            <a:ln>
              <a:noFill/>
            </a:ln>
            <a:effectLst/>
          </c:spPr>
          <c:dLbls>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задовољни</c:v>
                </c:pt>
                <c:pt idx="1">
                  <c:v>незадовољни</c:v>
                </c:pt>
                <c:pt idx="2">
                  <c:v> не знају</c:v>
                </c:pt>
              </c:strCache>
            </c:strRef>
          </c:cat>
          <c:val>
            <c:numRef>
              <c:f>Sheet1!$C$2:$C$4</c:f>
              <c:numCache>
                <c:formatCode>0.0%</c:formatCode>
                <c:ptCount val="3"/>
                <c:pt idx="0">
                  <c:v>0.41700000000000031</c:v>
                </c:pt>
                <c:pt idx="1">
                  <c:v>0.44900000000000001</c:v>
                </c:pt>
                <c:pt idx="2">
                  <c:v>0.37500000000000111</c:v>
                </c:pt>
              </c:numCache>
            </c:numRef>
          </c:val>
          <c:extLst xmlns:c16r2="http://schemas.microsoft.com/office/drawing/2015/06/chart">
            <c:ext xmlns:c16="http://schemas.microsoft.com/office/drawing/2014/chart" uri="{C3380CC4-5D6E-409C-BE32-E72D297353CC}">
              <c16:uniqueId val="{00000001-C7A3-44F9-BC0E-F597885BC09D}"/>
            </c:ext>
          </c:extLst>
        </c:ser>
        <c:ser>
          <c:idx val="2"/>
          <c:order val="2"/>
          <c:tx>
            <c:strRef>
              <c:f>Sheet1!$D$1</c:f>
              <c:strCache>
                <c:ptCount val="1"/>
                <c:pt idx="0">
                  <c:v>50 и више година</c:v>
                </c:pt>
              </c:strCache>
            </c:strRef>
          </c:tx>
          <c:spPr>
            <a:solidFill>
              <a:schemeClr val="accent3"/>
            </a:solidFill>
            <a:ln>
              <a:noFill/>
            </a:ln>
            <a:effectLst/>
          </c:spPr>
          <c:dLbls>
            <c:spPr>
              <a:noFill/>
              <a:ln>
                <a:noFill/>
              </a:ln>
              <a:effectLst/>
            </c:spPr>
            <c:txPr>
              <a:bodyPr rot="-5400000" vert="horz"/>
              <a:lstStyle/>
              <a:p>
                <a:pPr>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Sheet1!$A$2:$A$4</c:f>
              <c:strCache>
                <c:ptCount val="3"/>
                <c:pt idx="0">
                  <c:v>задовољни</c:v>
                </c:pt>
                <c:pt idx="1">
                  <c:v>незадовољни</c:v>
                </c:pt>
                <c:pt idx="2">
                  <c:v> не знају</c:v>
                </c:pt>
              </c:strCache>
            </c:strRef>
          </c:cat>
          <c:val>
            <c:numRef>
              <c:f>Sheet1!$D$2:$D$4</c:f>
              <c:numCache>
                <c:formatCode>0.0%</c:formatCode>
                <c:ptCount val="3"/>
                <c:pt idx="0" formatCode="0%">
                  <c:v>0.37000000000000038</c:v>
                </c:pt>
                <c:pt idx="1">
                  <c:v>0.30900000000000111</c:v>
                </c:pt>
                <c:pt idx="2">
                  <c:v>0.28900000000000031</c:v>
                </c:pt>
              </c:numCache>
            </c:numRef>
          </c:val>
          <c:extLst xmlns:c16r2="http://schemas.microsoft.com/office/drawing/2015/06/chart">
            <c:ext xmlns:c16="http://schemas.microsoft.com/office/drawing/2014/chart" uri="{C3380CC4-5D6E-409C-BE32-E72D297353CC}">
              <c16:uniqueId val="{00000002-C7A3-44F9-BC0E-F597885BC09D}"/>
            </c:ext>
          </c:extLst>
        </c:ser>
        <c:dLbls>
          <c:showVal val="1"/>
        </c:dLbls>
        <c:gapWidth val="444"/>
        <c:overlap val="-90"/>
        <c:axId val="113206784"/>
        <c:axId val="113208320"/>
      </c:barChart>
      <c:catAx>
        <c:axId val="11320678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113208320"/>
        <c:crosses val="autoZero"/>
        <c:auto val="1"/>
        <c:lblAlgn val="ctr"/>
        <c:lblOffset val="100"/>
      </c:catAx>
      <c:valAx>
        <c:axId val="113208320"/>
        <c:scaling>
          <c:orientation val="minMax"/>
        </c:scaling>
        <c:delete val="1"/>
        <c:axPos val="l"/>
        <c:numFmt formatCode="0.0%" sourceLinked="1"/>
        <c:majorTickMark val="none"/>
        <c:tickLblPos val="none"/>
        <c:crossAx val="113206784"/>
        <c:crosses val="autoZero"/>
        <c:crossBetween val="between"/>
      </c:valAx>
      <c:spPr>
        <a:noFill/>
        <a:ln>
          <a:noFill/>
        </a:ln>
        <a:effectLst/>
      </c:spPr>
    </c:plotArea>
    <c:legend>
      <c:legendPos val="t"/>
      <c:layout>
        <c:manualLayout>
          <c:xMode val="edge"/>
          <c:yMode val="edge"/>
          <c:x val="0.80487353853495591"/>
          <c:y val="0.16114507425702221"/>
          <c:w val="0.19416811534921768"/>
          <c:h val="0.6069708677719633"/>
        </c:manualLayout>
      </c:layout>
      <c:spPr>
        <a:noFill/>
        <a:ln>
          <a:noFill/>
        </a:ln>
        <a:effectLst/>
      </c:spPr>
      <c:txPr>
        <a:bodyPr rot="0" vert="horz"/>
        <a:lstStyle/>
        <a:p>
          <a:pPr>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manualLayout>
          <c:xMode val="edge"/>
          <c:yMode val="edge"/>
          <c:x val="0.112548439977426"/>
          <c:y val="0"/>
        </c:manualLayout>
      </c:layout>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plotArea>
      <c:layout>
        <c:manualLayout>
          <c:layoutTarget val="inner"/>
          <c:xMode val="edge"/>
          <c:yMode val="edge"/>
          <c:x val="0.1608040633146112"/>
          <c:y val="0.17058716450766243"/>
          <c:w val="0.68867449589279162"/>
          <c:h val="0.81363559393785467"/>
        </c:manualLayout>
      </c:layout>
      <c:doughnutChart>
        <c:varyColors val="1"/>
        <c:ser>
          <c:idx val="0"/>
          <c:order val="0"/>
          <c:tx>
            <c:strRef>
              <c:f>Sheet1!$B$1</c:f>
              <c:strCache>
                <c:ptCount val="1"/>
                <c:pt idx="0">
                  <c:v>Да ли културних догађаја има довољно у Сомбору?</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FC6-4BDD-A7C0-C5014D77A03E}"/>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FC6-4BDD-A7C0-C5014D77A03E}"/>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FC6-4BDD-A7C0-C5014D77A03E}"/>
              </c:ext>
            </c:extLst>
          </c:dPt>
          <c:dLbls>
            <c:dLbl>
              <c:idx val="1"/>
              <c:layout>
                <c:manualLayout>
                  <c:x val="-2.2752949396683812E-2"/>
                  <c:y val="1.6129032258064523E-2"/>
                </c:manualLayout>
              </c:layout>
              <c:showCatName val="1"/>
              <c:showPercent val="1"/>
              <c:extLst xmlns:c16r2="http://schemas.microsoft.com/office/drawing/2015/06/chart">
                <c:ext xmlns:c15="http://schemas.microsoft.com/office/drawing/2012/chart" uri="{CE6537A1-D6FC-4f65-9D91-7224C49458BB}">
                  <c15:layout>
                    <c:manualLayout>
                      <c:w val="0.29258265924950505"/>
                      <c:h val="0.44892473118279569"/>
                    </c:manualLayout>
                  </c15:layout>
                </c:ext>
                <c:ext xmlns:c16="http://schemas.microsoft.com/office/drawing/2014/chart" uri="{C3380CC4-5D6E-409C-BE32-E72D297353CC}">
                  <c16:uniqueId val="{00000003-DFC6-4BDD-A7C0-C5014D77A03E}"/>
                </c:ext>
              </c:extLst>
            </c:dLbl>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Понуда задовољава моје потребе</c:v>
                </c:pt>
                <c:pt idx="1">
                  <c:v>Требало би да има више одређених садржаја</c:v>
                </c:pt>
                <c:pt idx="2">
                  <c:v>Не знам</c:v>
                </c:pt>
              </c:strCache>
            </c:strRef>
          </c:cat>
          <c:val>
            <c:numRef>
              <c:f>Sheet1!$B$2:$B$4</c:f>
              <c:numCache>
                <c:formatCode>0.0%</c:formatCode>
                <c:ptCount val="3"/>
                <c:pt idx="0" formatCode="0%">
                  <c:v>0.51</c:v>
                </c:pt>
                <c:pt idx="1">
                  <c:v>0.28400000000000009</c:v>
                </c:pt>
                <c:pt idx="2">
                  <c:v>0.20600000000000004</c:v>
                </c:pt>
              </c:numCache>
            </c:numRef>
          </c:val>
          <c:extLst xmlns:c16r2="http://schemas.microsoft.com/office/drawing/2015/06/chart">
            <c:ext xmlns:c16="http://schemas.microsoft.com/office/drawing/2014/chart" uri="{C3380CC4-5D6E-409C-BE32-E72D297353CC}">
              <c16:uniqueId val="{00000006-DFC6-4BDD-A7C0-C5014D77A03E}"/>
            </c:ext>
          </c:extLst>
        </c:ser>
        <c:dLbls>
          <c:showCatName val="1"/>
          <c:showPercent val="1"/>
        </c:dLbls>
        <c:firstSliceAng val="0"/>
        <c:holeSize val="12"/>
      </c:doughnut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layout>
        <c:manualLayout>
          <c:xMode val="edge"/>
          <c:yMode val="edge"/>
          <c:x val="0.20974095629350678"/>
          <c:y val="5.3547523427041515E-3"/>
        </c:manualLayout>
      </c:layout>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plotArea>
      <c:layout>
        <c:manualLayout>
          <c:layoutTarget val="inner"/>
          <c:xMode val="edge"/>
          <c:yMode val="edge"/>
          <c:x val="0.40997897002005207"/>
          <c:y val="0.16699517399034799"/>
          <c:w val="0.57217195676627375"/>
          <c:h val="0.7429006858013717"/>
        </c:manualLayout>
      </c:layout>
      <c:pieChart>
        <c:varyColors val="1"/>
        <c:ser>
          <c:idx val="0"/>
          <c:order val="0"/>
          <c:tx>
            <c:strRef>
              <c:f>Sheet1!$B$1</c:f>
              <c:strCache>
                <c:ptCount val="1"/>
                <c:pt idx="0">
                  <c:v>Садржаји који недостају сомборској публици</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1A2-40D4-A7B8-9A5E8568089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1A2-40D4-A7B8-9A5E8568089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1A2-40D4-A7B8-9A5E8568089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1A2-40D4-A7B8-9A5E85680892}"/>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C1A2-40D4-A7B8-9A5E85680892}"/>
              </c:ext>
            </c:extLst>
          </c:dPt>
          <c:dPt>
            <c:idx val="5"/>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C1A2-40D4-A7B8-9A5E85680892}"/>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Sheet1!$A$2:$A$7</c:f>
              <c:strCache>
                <c:ptCount val="6"/>
                <c:pt idx="0">
                  <c:v>Концерти</c:v>
                </c:pt>
                <c:pt idx="1">
                  <c:v>Позоришне представе</c:v>
                </c:pt>
                <c:pt idx="2">
                  <c:v>Програми за децу и младе</c:v>
                </c:pt>
                <c:pt idx="3">
                  <c:v>Изложбе</c:v>
                </c:pt>
                <c:pt idx="4">
                  <c:v>Филмски садржаји </c:v>
                </c:pt>
                <c:pt idx="5">
                  <c:v>Остало </c:v>
                </c:pt>
              </c:strCache>
            </c:strRef>
          </c:cat>
          <c:val>
            <c:numRef>
              <c:f>Sheet1!$B$2:$B$7</c:f>
              <c:numCache>
                <c:formatCode>0.0%</c:formatCode>
                <c:ptCount val="6"/>
                <c:pt idx="0">
                  <c:v>0.47700000000000009</c:v>
                </c:pt>
                <c:pt idx="1">
                  <c:v>0.15400000000000005</c:v>
                </c:pt>
                <c:pt idx="2">
                  <c:v>9.2000000000000026E-2</c:v>
                </c:pt>
                <c:pt idx="3">
                  <c:v>0.10800000000000003</c:v>
                </c:pt>
                <c:pt idx="4">
                  <c:v>7.6999999999999999E-2</c:v>
                </c:pt>
                <c:pt idx="5">
                  <c:v>9.2000000000000026E-2</c:v>
                </c:pt>
              </c:numCache>
            </c:numRef>
          </c:val>
          <c:extLst xmlns:c16r2="http://schemas.microsoft.com/office/drawing/2015/06/chart">
            <c:ext xmlns:c16="http://schemas.microsoft.com/office/drawing/2014/chart" uri="{C3380CC4-5D6E-409C-BE32-E72D297353CC}">
              <c16:uniqueId val="{0000000C-C1A2-40D4-A7B8-9A5E85680892}"/>
            </c:ext>
          </c:extLst>
        </c:ser>
        <c:firstSliceAng val="0"/>
      </c:pieChart>
      <c:spPr>
        <a:noFill/>
        <a:ln>
          <a:noFill/>
        </a:ln>
        <a:effectLst/>
      </c:spPr>
    </c:plotArea>
    <c:legend>
      <c:legendPos val="b"/>
      <c:layout>
        <c:manualLayout>
          <c:xMode val="edge"/>
          <c:yMode val="edge"/>
          <c:x val="0"/>
          <c:y val="0.73299593599187252"/>
          <c:w val="0.51774408633703395"/>
          <c:h val="0.26303587051618527"/>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tx>
            <c:strRef>
              <c:f>Sheet1!$B$1</c:f>
              <c:strCache>
                <c:ptCount val="1"/>
                <c:pt idx="0">
                  <c:v>не посећује</c:v>
                </c:pt>
              </c:strCache>
            </c:strRef>
          </c:tx>
          <c:spPr>
            <a:solidFill>
              <a:schemeClr val="accent6"/>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Музеј</c:v>
                </c:pt>
                <c:pt idx="1">
                  <c:v>Галерија</c:v>
                </c:pt>
                <c:pt idx="2">
                  <c:v>Културни центар</c:v>
                </c:pt>
                <c:pt idx="3">
                  <c:v>Архив</c:v>
                </c:pt>
                <c:pt idx="4">
                  <c:v>Позориште</c:v>
                </c:pt>
                <c:pt idx="5">
                  <c:v>Библиотека</c:v>
                </c:pt>
              </c:strCache>
            </c:strRef>
          </c:cat>
          <c:val>
            <c:numRef>
              <c:f>Sheet1!$B$2:$B$7</c:f>
              <c:numCache>
                <c:formatCode>0.00%</c:formatCode>
                <c:ptCount val="6"/>
                <c:pt idx="0">
                  <c:v>0.38700000000000012</c:v>
                </c:pt>
                <c:pt idx="1">
                  <c:v>0.39500000000000013</c:v>
                </c:pt>
                <c:pt idx="2">
                  <c:v>0.32900000000000013</c:v>
                </c:pt>
                <c:pt idx="3">
                  <c:v>0.76800000000000024</c:v>
                </c:pt>
                <c:pt idx="4">
                  <c:v>0.13300000000000001</c:v>
                </c:pt>
                <c:pt idx="5">
                  <c:v>0.43100000000000016</c:v>
                </c:pt>
              </c:numCache>
            </c:numRef>
          </c:val>
          <c:extLst xmlns:c16r2="http://schemas.microsoft.com/office/drawing/2015/06/chart">
            <c:ext xmlns:c16="http://schemas.microsoft.com/office/drawing/2014/chart" uri="{C3380CC4-5D6E-409C-BE32-E72D297353CC}">
              <c16:uniqueId val="{00000000-50F3-410E-A0B1-FBF2FA8105B7}"/>
            </c:ext>
          </c:extLst>
        </c:ser>
        <c:ser>
          <c:idx val="1"/>
          <c:order val="1"/>
          <c:tx>
            <c:strRef>
              <c:f>Sheet1!$C$1</c:f>
              <c:strCache>
                <c:ptCount val="1"/>
                <c:pt idx="0">
                  <c:v>1 - 2 пута годишње</c:v>
                </c:pt>
              </c:strCache>
            </c:strRef>
          </c:tx>
          <c:spPr>
            <a:solidFill>
              <a:schemeClr val="accent5"/>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Музеј</c:v>
                </c:pt>
                <c:pt idx="1">
                  <c:v>Галерија</c:v>
                </c:pt>
                <c:pt idx="2">
                  <c:v>Културни центар</c:v>
                </c:pt>
                <c:pt idx="3">
                  <c:v>Архив</c:v>
                </c:pt>
                <c:pt idx="4">
                  <c:v>Позориште</c:v>
                </c:pt>
                <c:pt idx="5">
                  <c:v>Библиотека</c:v>
                </c:pt>
              </c:strCache>
            </c:strRef>
          </c:cat>
          <c:val>
            <c:numRef>
              <c:f>Sheet1!$C$2:$C$7</c:f>
              <c:numCache>
                <c:formatCode>0.00%</c:formatCode>
                <c:ptCount val="6"/>
                <c:pt idx="0">
                  <c:v>0.48400000000000015</c:v>
                </c:pt>
                <c:pt idx="1">
                  <c:v>0.48100000000000009</c:v>
                </c:pt>
                <c:pt idx="2">
                  <c:v>0.38200000000000012</c:v>
                </c:pt>
                <c:pt idx="3">
                  <c:v>0.13600000000000001</c:v>
                </c:pt>
                <c:pt idx="4">
                  <c:v>0.32300000000000012</c:v>
                </c:pt>
                <c:pt idx="5">
                  <c:v>0.20400000000000001</c:v>
                </c:pt>
              </c:numCache>
            </c:numRef>
          </c:val>
          <c:extLst xmlns:c16r2="http://schemas.microsoft.com/office/drawing/2015/06/chart">
            <c:ext xmlns:c16="http://schemas.microsoft.com/office/drawing/2014/chart" uri="{C3380CC4-5D6E-409C-BE32-E72D297353CC}">
              <c16:uniqueId val="{00000001-50F3-410E-A0B1-FBF2FA8105B7}"/>
            </c:ext>
          </c:extLst>
        </c:ser>
        <c:ser>
          <c:idx val="2"/>
          <c:order val="2"/>
          <c:tx>
            <c:strRef>
              <c:f>Sheet1!$D$1</c:f>
              <c:strCache>
                <c:ptCount val="1"/>
                <c:pt idx="0">
                  <c:v>3 - 5 пута годишње</c:v>
                </c:pt>
              </c:strCache>
            </c:strRef>
          </c:tx>
          <c:spPr>
            <a:solidFill>
              <a:schemeClr val="accent4"/>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Музеј</c:v>
                </c:pt>
                <c:pt idx="1">
                  <c:v>Галерија</c:v>
                </c:pt>
                <c:pt idx="2">
                  <c:v>Културни центар</c:v>
                </c:pt>
                <c:pt idx="3">
                  <c:v>Архив</c:v>
                </c:pt>
                <c:pt idx="4">
                  <c:v>Позориште</c:v>
                </c:pt>
                <c:pt idx="5">
                  <c:v>Библиотека</c:v>
                </c:pt>
              </c:strCache>
            </c:strRef>
          </c:cat>
          <c:val>
            <c:numRef>
              <c:f>Sheet1!$D$2:$D$7</c:f>
              <c:numCache>
                <c:formatCode>0.00%</c:formatCode>
                <c:ptCount val="6"/>
                <c:pt idx="0">
                  <c:v>6.1000000000000013E-2</c:v>
                </c:pt>
                <c:pt idx="1">
                  <c:v>7.1999999999999995E-2</c:v>
                </c:pt>
                <c:pt idx="2">
                  <c:v>0.126</c:v>
                </c:pt>
                <c:pt idx="3" formatCode="0%">
                  <c:v>3.0000000000000002E-2</c:v>
                </c:pt>
                <c:pt idx="4">
                  <c:v>0.29100000000000009</c:v>
                </c:pt>
                <c:pt idx="5">
                  <c:v>0.11700000000000002</c:v>
                </c:pt>
              </c:numCache>
            </c:numRef>
          </c:val>
          <c:extLst xmlns:c16r2="http://schemas.microsoft.com/office/drawing/2015/06/chart">
            <c:ext xmlns:c16="http://schemas.microsoft.com/office/drawing/2014/chart" uri="{C3380CC4-5D6E-409C-BE32-E72D297353CC}">
              <c16:uniqueId val="{00000002-50F3-410E-A0B1-FBF2FA8105B7}"/>
            </c:ext>
          </c:extLst>
        </c:ser>
        <c:ser>
          <c:idx val="3"/>
          <c:order val="3"/>
          <c:tx>
            <c:strRef>
              <c:f>Sheet1!$E$1</c:f>
              <c:strCache>
                <c:ptCount val="1"/>
                <c:pt idx="0">
                  <c:v>6 - 12 пута годишње</c:v>
                </c:pt>
              </c:strCache>
            </c:strRef>
          </c:tx>
          <c:spPr>
            <a:solidFill>
              <a:schemeClr val="accent6">
                <a:lumMod val="60000"/>
              </a:schemeClr>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Музеј</c:v>
                </c:pt>
                <c:pt idx="1">
                  <c:v>Галерија</c:v>
                </c:pt>
                <c:pt idx="2">
                  <c:v>Културни центар</c:v>
                </c:pt>
                <c:pt idx="3">
                  <c:v>Архив</c:v>
                </c:pt>
                <c:pt idx="4">
                  <c:v>Позориште</c:v>
                </c:pt>
                <c:pt idx="5">
                  <c:v>Библиотека</c:v>
                </c:pt>
              </c:strCache>
            </c:strRef>
          </c:cat>
          <c:val>
            <c:numRef>
              <c:f>Sheet1!$E$2:$E$7</c:f>
              <c:numCache>
                <c:formatCode>0.00%</c:formatCode>
                <c:ptCount val="6"/>
                <c:pt idx="0">
                  <c:v>3.2000000000000015E-2</c:v>
                </c:pt>
                <c:pt idx="1">
                  <c:v>1.0999999999999998E-2</c:v>
                </c:pt>
                <c:pt idx="2">
                  <c:v>6.200000000000002E-2</c:v>
                </c:pt>
                <c:pt idx="3">
                  <c:v>8.0000000000000054E-3</c:v>
                </c:pt>
                <c:pt idx="4">
                  <c:v>0.16500000000000001</c:v>
                </c:pt>
                <c:pt idx="5">
                  <c:v>0.14400000000000004</c:v>
                </c:pt>
              </c:numCache>
            </c:numRef>
          </c:val>
          <c:extLst xmlns:c16r2="http://schemas.microsoft.com/office/drawing/2015/06/chart">
            <c:ext xmlns:c16="http://schemas.microsoft.com/office/drawing/2014/chart" uri="{C3380CC4-5D6E-409C-BE32-E72D297353CC}">
              <c16:uniqueId val="{00000003-50F3-410E-A0B1-FBF2FA8105B7}"/>
            </c:ext>
          </c:extLst>
        </c:ser>
        <c:ser>
          <c:idx val="4"/>
          <c:order val="4"/>
          <c:tx>
            <c:strRef>
              <c:f>Sheet1!$F$1</c:f>
              <c:strCache>
                <c:ptCount val="1"/>
                <c:pt idx="0">
                  <c:v>више од 12 пута годишње</c:v>
                </c:pt>
              </c:strCache>
            </c:strRef>
          </c:tx>
          <c:spPr>
            <a:solidFill>
              <a:schemeClr val="accent5">
                <a:lumMod val="60000"/>
              </a:schemeClr>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Sheet1!$A$2:$A$7</c:f>
              <c:strCache>
                <c:ptCount val="6"/>
                <c:pt idx="0">
                  <c:v>Музеј</c:v>
                </c:pt>
                <c:pt idx="1">
                  <c:v>Галерија</c:v>
                </c:pt>
                <c:pt idx="2">
                  <c:v>Културни центар</c:v>
                </c:pt>
                <c:pt idx="3">
                  <c:v>Архив</c:v>
                </c:pt>
                <c:pt idx="4">
                  <c:v>Позориште</c:v>
                </c:pt>
                <c:pt idx="5">
                  <c:v>Библиотека</c:v>
                </c:pt>
              </c:strCache>
            </c:strRef>
          </c:cat>
          <c:val>
            <c:numRef>
              <c:f>Sheet1!$F$2:$F$7</c:f>
              <c:numCache>
                <c:formatCode>0.00%</c:formatCode>
                <c:ptCount val="6"/>
                <c:pt idx="0">
                  <c:v>1.0999999999999998E-2</c:v>
                </c:pt>
                <c:pt idx="1">
                  <c:v>1.0999999999999998E-2</c:v>
                </c:pt>
                <c:pt idx="2">
                  <c:v>5.6000000000000001E-2</c:v>
                </c:pt>
                <c:pt idx="3">
                  <c:v>8.0000000000000054E-3</c:v>
                </c:pt>
                <c:pt idx="4">
                  <c:v>5.8000000000000003E-2</c:v>
                </c:pt>
                <c:pt idx="5">
                  <c:v>6.200000000000002E-2</c:v>
                </c:pt>
              </c:numCache>
            </c:numRef>
          </c:val>
          <c:extLst xmlns:c16r2="http://schemas.microsoft.com/office/drawing/2015/06/chart">
            <c:ext xmlns:c16="http://schemas.microsoft.com/office/drawing/2014/chart" uri="{C3380CC4-5D6E-409C-BE32-E72D297353CC}">
              <c16:uniqueId val="{00000004-50F3-410E-A0B1-FBF2FA8105B7}"/>
            </c:ext>
          </c:extLst>
        </c:ser>
        <c:dLbls>
          <c:showVal val="1"/>
        </c:dLbls>
        <c:gapWidth val="444"/>
        <c:overlap val="-90"/>
        <c:axId val="113699456"/>
        <c:axId val="113324416"/>
      </c:barChart>
      <c:catAx>
        <c:axId val="11369945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324416"/>
        <c:crosses val="autoZero"/>
        <c:auto val="1"/>
        <c:lblAlgn val="ctr"/>
        <c:lblOffset val="100"/>
      </c:catAx>
      <c:valAx>
        <c:axId val="113324416"/>
        <c:scaling>
          <c:orientation val="minMax"/>
        </c:scaling>
        <c:delete val="1"/>
        <c:axPos val="l"/>
        <c:numFmt formatCode="0.00%" sourceLinked="1"/>
        <c:majorTickMark val="none"/>
        <c:tickLblPos val="none"/>
        <c:crossAx val="113699456"/>
        <c:crosses val="autoZero"/>
        <c:crossBetween val="between"/>
      </c:valAx>
      <c:spPr>
        <a:noFill/>
        <a:ln>
          <a:noFill/>
        </a:ln>
        <a:effectLst/>
      </c:spPr>
    </c:plotArea>
    <c:legend>
      <c:legendPos val="t"/>
      <c:layout>
        <c:manualLayout>
          <c:xMode val="edge"/>
          <c:yMode val="edge"/>
          <c:x val="2.9771400923987346E-3"/>
          <c:y val="2.8673835125448039E-2"/>
          <c:w val="0.99622064370828067"/>
          <c:h val="0.10718445140593992"/>
        </c:manualLayout>
      </c:layout>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0.44097</cdr:x>
      <cdr:y>0.07743</cdr:y>
    </cdr:from>
    <cdr:to>
      <cdr:x>0.69094</cdr:x>
      <cdr:y>0.28758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419350" y="66675"/>
          <a:ext cx="1371429" cy="180952"/>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A0820-77C0-4A97-82A6-23EDB1753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129</Pages>
  <Words>33470</Words>
  <Characters>190783</Characters>
  <Application>Microsoft Office Word</Application>
  <DocSecurity>0</DocSecurity>
  <Lines>1589</Lines>
  <Paragraphs>447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Bogdana Opacic</dc:creator>
  <cp:lastModifiedBy>mivankovic</cp:lastModifiedBy>
  <cp:revision>5</cp:revision>
  <cp:lastPrinted>2021-01-22T14:07:00Z</cp:lastPrinted>
  <dcterms:created xsi:type="dcterms:W3CDTF">2021-03-01T09:53:00Z</dcterms:created>
  <dcterms:modified xsi:type="dcterms:W3CDTF">2021-04-14T06:09:00Z</dcterms:modified>
</cp:coreProperties>
</file>