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Pr="00CD4884" w:rsidRDefault="00003539" w:rsidP="00CB39DD">
      <w:pPr>
        <w:spacing w:after="240"/>
        <w:jc w:val="center"/>
        <w:rPr>
          <w:rStyle w:val="Strong"/>
          <w:rFonts w:ascii="Times New Roman" w:hAnsi="Times New Roman"/>
          <w:sz w:val="24"/>
          <w:szCs w:val="24"/>
        </w:rPr>
      </w:pPr>
      <w:r w:rsidRPr="00003539">
        <w:rPr>
          <w:rFonts w:ascii="Times New Roman" w:hAnsi="Times New Roman"/>
          <w:b/>
          <w:sz w:val="22"/>
          <w:szCs w:val="22"/>
        </w:rPr>
        <w:t>Supply of minibus for the project BAJA-SOMBOR TOURISM4ALL</w:t>
      </w:r>
      <w:r w:rsidR="00E30FFA" w:rsidRPr="00CD4884">
        <w:rPr>
          <w:rStyle w:val="Strong"/>
          <w:rFonts w:ascii="Times New Roman" w:hAnsi="Times New Roman"/>
          <w:sz w:val="24"/>
          <w:szCs w:val="24"/>
        </w:rPr>
        <w:t xml:space="preserve"> </w:t>
      </w:r>
    </w:p>
    <w:p w:rsidR="00CB39DD" w:rsidRPr="008E5115" w:rsidRDefault="00CB39DD" w:rsidP="00CB39DD">
      <w:pPr>
        <w:spacing w:after="240"/>
        <w:jc w:val="center"/>
        <w:rPr>
          <w:rStyle w:val="Strong"/>
          <w:rFonts w:ascii="Times New Roman" w:hAnsi="Times New Roman"/>
          <w:sz w:val="22"/>
          <w:szCs w:val="22"/>
        </w:rPr>
      </w:pPr>
      <w:r w:rsidRPr="008E5115">
        <w:rPr>
          <w:rStyle w:val="Strong"/>
          <w:rFonts w:ascii="Times New Roman" w:hAnsi="Times New Roman"/>
          <w:sz w:val="22"/>
          <w:szCs w:val="22"/>
        </w:rPr>
        <w:t>Ref.</w:t>
      </w:r>
      <w:r w:rsidR="008E5115">
        <w:rPr>
          <w:rStyle w:val="Strong"/>
          <w:rFonts w:ascii="Times New Roman" w:hAnsi="Times New Roman"/>
          <w:sz w:val="22"/>
          <w:szCs w:val="22"/>
        </w:rPr>
        <w:t>no.</w:t>
      </w:r>
      <w:r w:rsidR="008E5115" w:rsidRPr="008E5115">
        <w:rPr>
          <w:rFonts w:ascii="Times New Roman" w:hAnsi="Times New Roman"/>
          <w:b/>
          <w:sz w:val="22"/>
          <w:szCs w:val="22"/>
        </w:rPr>
        <w:t xml:space="preserve"> </w:t>
      </w:r>
      <w:r w:rsidR="00003539" w:rsidRPr="00003539">
        <w:rPr>
          <w:rFonts w:ascii="Times New Roman" w:hAnsi="Times New Roman"/>
          <w:b/>
        </w:rPr>
        <w:t>HUSRB/1903/31/0075-6/minibus 6.1.1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9427F4" w:rsidRPr="00003539" w:rsidRDefault="0047783A" w:rsidP="00003539">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Pr="007038D3">
        <w:rPr>
          <w:rFonts w:ascii="Times New Roman" w:hAnsi="Times New Roman"/>
          <w:b/>
          <w:sz w:val="22"/>
          <w:lang w:val="en-GB"/>
        </w:rPr>
        <w:t>supply</w:t>
      </w:r>
      <w:r w:rsidR="00B75031">
        <w:rPr>
          <w:rFonts w:ascii="Times New Roman" w:hAnsi="Times New Roman"/>
          <w:b/>
          <w:sz w:val="22"/>
          <w:lang w:val="en-GB"/>
        </w:rPr>
        <w:t>, manufacture</w:t>
      </w:r>
      <w:r w:rsidR="0062188A">
        <w:rPr>
          <w:rFonts w:ascii="Times New Roman" w:hAnsi="Times New Roman"/>
          <w:b/>
          <w:sz w:val="22"/>
          <w:lang w:val="en-GB"/>
        </w:rPr>
        <w:t>, installation</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tbl>
      <w:tblPr>
        <w:tblStyle w:val="TableGrid"/>
        <w:tblW w:w="0" w:type="auto"/>
        <w:tblInd w:w="567" w:type="dxa"/>
        <w:tblLook w:val="04A0" w:firstRow="1" w:lastRow="0" w:firstColumn="1" w:lastColumn="0" w:noHBand="0" w:noVBand="1"/>
      </w:tblPr>
      <w:tblGrid>
        <w:gridCol w:w="1048"/>
        <w:gridCol w:w="5940"/>
        <w:gridCol w:w="1222"/>
      </w:tblGrid>
      <w:tr w:rsidR="003637BA" w:rsidTr="0062188A">
        <w:tc>
          <w:tcPr>
            <w:tcW w:w="1048" w:type="dxa"/>
          </w:tcPr>
          <w:p w:rsidR="003637BA" w:rsidRDefault="003637BA" w:rsidP="003637BA">
            <w:pPr>
              <w:jc w:val="center"/>
              <w:rPr>
                <w:rFonts w:ascii="Times New Roman" w:hAnsi="Times New Roman"/>
                <w:b/>
                <w:sz w:val="22"/>
              </w:rPr>
            </w:pPr>
            <w:r>
              <w:rPr>
                <w:rFonts w:ascii="Times New Roman" w:hAnsi="Times New Roman"/>
                <w:b/>
                <w:sz w:val="22"/>
              </w:rPr>
              <w:t>Item no.</w:t>
            </w:r>
          </w:p>
        </w:tc>
        <w:tc>
          <w:tcPr>
            <w:tcW w:w="5940" w:type="dxa"/>
          </w:tcPr>
          <w:p w:rsidR="003637BA" w:rsidRDefault="003637BA" w:rsidP="003637BA">
            <w:pPr>
              <w:jc w:val="center"/>
              <w:rPr>
                <w:rFonts w:ascii="Times New Roman" w:hAnsi="Times New Roman"/>
                <w:b/>
                <w:sz w:val="22"/>
              </w:rPr>
            </w:pPr>
            <w:r>
              <w:rPr>
                <w:rFonts w:ascii="Times New Roman" w:hAnsi="Times New Roman"/>
                <w:b/>
                <w:sz w:val="22"/>
              </w:rPr>
              <w:t>Product specification</w:t>
            </w:r>
          </w:p>
        </w:tc>
        <w:tc>
          <w:tcPr>
            <w:tcW w:w="1222" w:type="dxa"/>
          </w:tcPr>
          <w:p w:rsidR="003637BA" w:rsidRDefault="003637BA" w:rsidP="003637BA">
            <w:pPr>
              <w:jc w:val="center"/>
              <w:rPr>
                <w:rFonts w:ascii="Times New Roman" w:hAnsi="Times New Roman"/>
                <w:b/>
                <w:sz w:val="22"/>
              </w:rPr>
            </w:pPr>
            <w:r>
              <w:rPr>
                <w:rFonts w:ascii="Times New Roman" w:hAnsi="Times New Roman"/>
                <w:b/>
                <w:sz w:val="22"/>
              </w:rPr>
              <w:t>Quantity</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1</w:t>
            </w:r>
          </w:p>
        </w:tc>
        <w:tc>
          <w:tcPr>
            <w:tcW w:w="5940" w:type="dxa"/>
            <w:vAlign w:val="center"/>
          </w:tcPr>
          <w:p w:rsidR="00391328" w:rsidRPr="002A7C79" w:rsidRDefault="00003539" w:rsidP="00391328">
            <w:pPr>
              <w:spacing w:before="0" w:after="0"/>
              <w:rPr>
                <w:rFonts w:ascii="Times New Roman" w:hAnsi="Times New Roman"/>
                <w:sz w:val="22"/>
              </w:rPr>
            </w:pPr>
            <w:r>
              <w:rPr>
                <w:rFonts w:ascii="Times New Roman" w:hAnsi="Times New Roman"/>
                <w:sz w:val="22"/>
              </w:rPr>
              <w:t>Minibus with min. 13 seats and ramp-</w:t>
            </w:r>
            <w:r w:rsidRPr="00196A55">
              <w:rPr>
                <w:rFonts w:ascii="Times New Roman" w:hAnsi="Times New Roman"/>
              </w:rPr>
              <w:t>platform for the disabled passengers</w:t>
            </w:r>
          </w:p>
        </w:tc>
        <w:tc>
          <w:tcPr>
            <w:tcW w:w="1222" w:type="dxa"/>
            <w:vAlign w:val="center"/>
          </w:tcPr>
          <w:p w:rsidR="00391328" w:rsidRPr="00E55480" w:rsidRDefault="00003539" w:rsidP="00391328">
            <w:pPr>
              <w:jc w:val="center"/>
              <w:rPr>
                <w:rFonts w:ascii="Times New Roman" w:hAnsi="Times New Roman"/>
                <w:sz w:val="22"/>
              </w:rPr>
            </w:pPr>
            <w:r>
              <w:rPr>
                <w:rFonts w:ascii="Times New Roman" w:hAnsi="Times New Roman"/>
                <w:sz w:val="22"/>
              </w:rPr>
              <w:t>1</w:t>
            </w:r>
            <w:r w:rsidR="00391328">
              <w:rPr>
                <w:rFonts w:ascii="Times New Roman" w:hAnsi="Times New Roman"/>
                <w:sz w:val="22"/>
              </w:rPr>
              <w:t xml:space="preserve"> pc</w:t>
            </w:r>
          </w:p>
        </w:tc>
      </w:tr>
    </w:tbl>
    <w:p w:rsidR="00CB39DD" w:rsidRPr="00E82141" w:rsidRDefault="0047783A" w:rsidP="0062188A">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proofErr w:type="spellStart"/>
      <w:r w:rsidR="00003539">
        <w:rPr>
          <w:rFonts w:ascii="Times New Roman" w:hAnsi="Times New Roman"/>
          <w:b/>
          <w:sz w:val="22"/>
        </w:rPr>
        <w:t>Sombor</w:t>
      </w:r>
      <w:proofErr w:type="spellEnd"/>
      <w:r w:rsidR="0062188A">
        <w:rPr>
          <w:rFonts w:ascii="Times New Roman" w:hAnsi="Times New Roman"/>
          <w:b/>
          <w:sz w:val="22"/>
        </w:rPr>
        <w:t xml:space="preserve">, </w:t>
      </w:r>
      <w:proofErr w:type="spellStart"/>
      <w:r w:rsidR="00003539">
        <w:rPr>
          <w:rFonts w:ascii="Times New Roman" w:hAnsi="Times New Roman"/>
          <w:b/>
          <w:sz w:val="22"/>
        </w:rPr>
        <w:t>Trg</w:t>
      </w:r>
      <w:proofErr w:type="spellEnd"/>
      <w:r w:rsidR="00003539">
        <w:rPr>
          <w:rFonts w:ascii="Times New Roman" w:hAnsi="Times New Roman"/>
          <w:b/>
          <w:sz w:val="22"/>
        </w:rPr>
        <w:t xml:space="preserve"> </w:t>
      </w:r>
      <w:proofErr w:type="spellStart"/>
      <w:r w:rsidR="00003539">
        <w:rPr>
          <w:rFonts w:ascii="Times New Roman" w:hAnsi="Times New Roman"/>
          <w:b/>
          <w:sz w:val="22"/>
        </w:rPr>
        <w:t>cara</w:t>
      </w:r>
      <w:proofErr w:type="spellEnd"/>
      <w:r w:rsidR="00003539">
        <w:rPr>
          <w:rFonts w:ascii="Times New Roman" w:hAnsi="Times New Roman"/>
          <w:b/>
          <w:sz w:val="22"/>
        </w:rPr>
        <w:t xml:space="preserve"> </w:t>
      </w:r>
      <w:proofErr w:type="spellStart"/>
      <w:r w:rsidR="00003539">
        <w:rPr>
          <w:rFonts w:ascii="Times New Roman" w:hAnsi="Times New Roman"/>
          <w:b/>
          <w:sz w:val="22"/>
        </w:rPr>
        <w:t>Uroša</w:t>
      </w:r>
      <w:proofErr w:type="spellEnd"/>
      <w:r w:rsidR="00003539">
        <w:rPr>
          <w:rFonts w:ascii="Times New Roman" w:hAnsi="Times New Roman"/>
          <w:b/>
          <w:sz w:val="22"/>
        </w:rPr>
        <w:t xml:space="preserve"> no. </w:t>
      </w:r>
      <w:r w:rsidR="00391328">
        <w:rPr>
          <w:rFonts w:ascii="Times New Roman" w:hAnsi="Times New Roman"/>
          <w:b/>
          <w:sz w:val="22"/>
        </w:rPr>
        <w:t>1</w:t>
      </w:r>
      <w:r w:rsidR="0062188A" w:rsidRPr="0062188A">
        <w:rPr>
          <w:rFonts w:ascii="Times New Roman" w:hAnsi="Times New Roman"/>
          <w:b/>
          <w:sz w:val="22"/>
        </w:rPr>
        <w:t xml:space="preserve">, </w:t>
      </w:r>
      <w:r w:rsidR="00021C28">
        <w:rPr>
          <w:rFonts w:ascii="Times New Roman" w:hAnsi="Times New Roman"/>
          <w:b/>
          <w:sz w:val="22"/>
          <w:szCs w:val="22"/>
        </w:rPr>
        <w:t xml:space="preserve">25101 </w:t>
      </w:r>
      <w:proofErr w:type="spellStart"/>
      <w:r w:rsidR="00021C28">
        <w:rPr>
          <w:rFonts w:ascii="Times New Roman" w:hAnsi="Times New Roman"/>
          <w:b/>
          <w:sz w:val="22"/>
          <w:szCs w:val="22"/>
        </w:rPr>
        <w:t>Sombor</w:t>
      </w:r>
      <w:proofErr w:type="spellEnd"/>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and the implementation period</w:t>
      </w:r>
      <w:r w:rsidR="009427F4">
        <w:rPr>
          <w:rFonts w:ascii="Times New Roman" w:hAnsi="Times New Roman"/>
          <w:sz w:val="22"/>
          <w:szCs w:val="22"/>
        </w:rPr>
        <w:t xml:space="preserve"> will be </w:t>
      </w:r>
      <w:r w:rsidR="0017099F">
        <w:rPr>
          <w:rFonts w:ascii="Times New Roman" w:hAnsi="Times New Roman"/>
          <w:b/>
          <w:sz w:val="22"/>
          <w:szCs w:val="22"/>
        </w:rPr>
        <w:t>5</w:t>
      </w:r>
      <w:r w:rsidR="00003539">
        <w:rPr>
          <w:rFonts w:ascii="Times New Roman" w:hAnsi="Times New Roman"/>
          <w:b/>
          <w:sz w:val="22"/>
          <w:szCs w:val="22"/>
        </w:rPr>
        <w:t>0</w:t>
      </w:r>
      <w:r w:rsidR="00D167C6">
        <w:rPr>
          <w:rFonts w:ascii="Times New Roman" w:hAnsi="Times New Roman"/>
          <w:b/>
          <w:sz w:val="22"/>
          <w:szCs w:val="22"/>
        </w:rPr>
        <w:t xml:space="preserve"> </w:t>
      </w:r>
      <w:r w:rsidR="00003539">
        <w:rPr>
          <w:rFonts w:ascii="Times New Roman" w:hAnsi="Times New Roman"/>
          <w:b/>
          <w:sz w:val="22"/>
          <w:szCs w:val="22"/>
        </w:rPr>
        <w:t>days</w:t>
      </w:r>
      <w:r w:rsidR="009427F4">
        <w:rPr>
          <w:rFonts w:ascii="Times New Roman" w:hAnsi="Times New Roman"/>
          <w:sz w:val="22"/>
          <w:szCs w:val="22"/>
        </w:rPr>
        <w:t xml:space="preserve"> from the contract signing</w:t>
      </w:r>
      <w:r w:rsidR="00003539">
        <w:rPr>
          <w:rFonts w:ascii="Times New Roman" w:hAnsi="Times New Roman"/>
          <w:sz w:val="22"/>
          <w:szCs w:val="22"/>
        </w:rPr>
        <w:t>.</w:t>
      </w:r>
      <w:r w:rsidR="009427F4">
        <w:rPr>
          <w:rFonts w:ascii="Times New Roman" w:hAnsi="Times New Roman"/>
          <w:sz w:val="22"/>
          <w:szCs w:val="22"/>
        </w:rPr>
        <w:t xml:space="preserve"> </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4" w:name="_Toc42488071"/>
      <w:proofErr w:type="spellStart"/>
      <w:r w:rsidRPr="00E82463">
        <w:t>Timetable</w:t>
      </w:r>
      <w:bookmarkEnd w:id="4"/>
      <w:proofErr w:type="spellEnd"/>
    </w:p>
    <w:tbl>
      <w:tblPr>
        <w:tblW w:w="8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8"/>
        <w:gridCol w:w="2379"/>
        <w:gridCol w:w="2239"/>
      </w:tblGrid>
      <w:tr w:rsidR="0047783A" w:rsidRPr="00E82463" w:rsidTr="00D167C6">
        <w:trPr>
          <w:trHeight w:val="451"/>
        </w:trPr>
        <w:tc>
          <w:tcPr>
            <w:tcW w:w="3918" w:type="dxa"/>
            <w:tcBorders>
              <w:bottom w:val="nil"/>
            </w:tcBorders>
          </w:tcPr>
          <w:p w:rsidR="0047783A" w:rsidRPr="00E82463" w:rsidRDefault="0047783A">
            <w:pPr>
              <w:keepNext/>
              <w:jc w:val="both"/>
              <w:rPr>
                <w:rFonts w:ascii="Times New Roman" w:hAnsi="Times New Roman"/>
              </w:rPr>
            </w:pPr>
          </w:p>
        </w:tc>
        <w:tc>
          <w:tcPr>
            <w:tcW w:w="2379"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39"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D167C6">
        <w:trPr>
          <w:trHeight w:val="466"/>
        </w:trPr>
        <w:tc>
          <w:tcPr>
            <w:tcW w:w="3918"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379"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39"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D167C6">
        <w:trPr>
          <w:trHeight w:val="707"/>
        </w:trPr>
        <w:tc>
          <w:tcPr>
            <w:tcW w:w="3918"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lastRenderedPageBreak/>
              <w:t xml:space="preserve">Deadline for requesting clarifications from the </w:t>
            </w:r>
            <w:r>
              <w:rPr>
                <w:rFonts w:ascii="Times New Roman" w:hAnsi="Times New Roman"/>
                <w:b/>
                <w:sz w:val="22"/>
              </w:rPr>
              <w:t>Project partner</w:t>
            </w:r>
          </w:p>
        </w:tc>
        <w:tc>
          <w:tcPr>
            <w:tcW w:w="2379" w:type="dxa"/>
            <w:vAlign w:val="center"/>
          </w:tcPr>
          <w:p w:rsidR="008E5115" w:rsidRPr="008E5115" w:rsidRDefault="00021C28" w:rsidP="001D59E8">
            <w:pPr>
              <w:jc w:val="center"/>
              <w:rPr>
                <w:rFonts w:ascii="Times New Roman" w:hAnsi="Times New Roman"/>
                <w:b/>
                <w:sz w:val="22"/>
              </w:rPr>
            </w:pPr>
            <w:r>
              <w:rPr>
                <w:rFonts w:ascii="Times New Roman" w:hAnsi="Times New Roman"/>
                <w:b/>
                <w:sz w:val="22"/>
              </w:rPr>
              <w:t>April</w:t>
            </w:r>
            <w:r w:rsidR="009427F4" w:rsidRPr="009427F4">
              <w:rPr>
                <w:rFonts w:ascii="Times New Roman" w:hAnsi="Times New Roman"/>
                <w:b/>
                <w:sz w:val="22"/>
              </w:rPr>
              <w:t xml:space="preserve"> </w:t>
            </w:r>
            <w:r w:rsidR="001D59E8">
              <w:rPr>
                <w:rFonts w:ascii="Times New Roman" w:hAnsi="Times New Roman"/>
                <w:b/>
                <w:sz w:val="22"/>
              </w:rPr>
              <w:t>18</w:t>
            </w:r>
            <w:r w:rsidR="00D167C6">
              <w:rPr>
                <w:rFonts w:ascii="Times New Roman" w:hAnsi="Times New Roman"/>
                <w:b/>
                <w:sz w:val="22"/>
                <w:vertAlign w:val="superscript"/>
              </w:rPr>
              <w:t>th</w:t>
            </w:r>
            <w:r w:rsidR="009427F4" w:rsidRPr="009427F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9427F4" w:rsidRDefault="009427F4" w:rsidP="008E5115">
            <w:pPr>
              <w:jc w:val="center"/>
              <w:rPr>
                <w:rFonts w:ascii="Times New Roman" w:hAnsi="Times New Roman"/>
                <w:b/>
                <w:sz w:val="22"/>
              </w:rPr>
            </w:pPr>
            <w:r w:rsidRPr="009427F4">
              <w:rPr>
                <w:rFonts w:ascii="Times New Roman" w:hAnsi="Times New Roman"/>
                <w:b/>
                <w:sz w:val="22"/>
              </w:rPr>
              <w:t>20:00 local time</w:t>
            </w:r>
          </w:p>
        </w:tc>
      </w:tr>
      <w:tr w:rsidR="008E5115" w:rsidRPr="00E82463" w:rsidTr="00D167C6">
        <w:trPr>
          <w:trHeight w:val="707"/>
        </w:trPr>
        <w:tc>
          <w:tcPr>
            <w:tcW w:w="3918"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379" w:type="dxa"/>
            <w:vAlign w:val="center"/>
          </w:tcPr>
          <w:p w:rsidR="008E5115" w:rsidRPr="009427F4" w:rsidRDefault="00021C28" w:rsidP="003637BA">
            <w:pPr>
              <w:jc w:val="center"/>
              <w:rPr>
                <w:rFonts w:ascii="Times New Roman" w:hAnsi="Times New Roman"/>
                <w:b/>
                <w:sz w:val="22"/>
                <w:lang w:val="en-US"/>
              </w:rPr>
            </w:pPr>
            <w:r>
              <w:rPr>
                <w:rFonts w:ascii="Times New Roman" w:hAnsi="Times New Roman"/>
                <w:b/>
                <w:sz w:val="22"/>
              </w:rPr>
              <w:t>April</w:t>
            </w:r>
            <w:r w:rsidR="001D59E8">
              <w:rPr>
                <w:rFonts w:ascii="Times New Roman" w:hAnsi="Times New Roman"/>
                <w:b/>
                <w:sz w:val="22"/>
              </w:rPr>
              <w:t xml:space="preserve"> 28</w:t>
            </w:r>
            <w:r w:rsidR="005B39D2">
              <w:rPr>
                <w:rFonts w:ascii="Times New Roman" w:hAnsi="Times New Roman"/>
                <w:b/>
                <w:sz w:val="22"/>
                <w:vertAlign w:val="superscript"/>
              </w:rPr>
              <w:t>th</w:t>
            </w:r>
            <w:r w:rsidR="009427F4" w:rsidRPr="009427F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D167C6">
        <w:trPr>
          <w:trHeight w:val="481"/>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379" w:type="dxa"/>
            <w:vAlign w:val="center"/>
          </w:tcPr>
          <w:p w:rsidR="008E5115" w:rsidRPr="008E5115" w:rsidRDefault="00021C28" w:rsidP="009427F4">
            <w:pPr>
              <w:jc w:val="center"/>
              <w:rPr>
                <w:rFonts w:ascii="Times New Roman" w:hAnsi="Times New Roman"/>
                <w:b/>
                <w:sz w:val="22"/>
                <w:lang w:val="en-US"/>
              </w:rPr>
            </w:pPr>
            <w:r>
              <w:rPr>
                <w:rFonts w:ascii="Times New Roman" w:hAnsi="Times New Roman"/>
                <w:b/>
                <w:sz w:val="22"/>
              </w:rPr>
              <w:t>May 09</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8E5115" w:rsidRDefault="008E5115" w:rsidP="001D59E8">
            <w:pPr>
              <w:jc w:val="center"/>
              <w:rPr>
                <w:rFonts w:ascii="Times New Roman" w:hAnsi="Times New Roman"/>
                <w:b/>
                <w:sz w:val="22"/>
              </w:rPr>
            </w:pPr>
            <w:r>
              <w:rPr>
                <w:rFonts w:ascii="Times New Roman" w:hAnsi="Times New Roman"/>
                <w:b/>
                <w:sz w:val="22"/>
              </w:rPr>
              <w:t>1</w:t>
            </w:r>
            <w:r w:rsidR="001D59E8">
              <w:rPr>
                <w:rFonts w:ascii="Times New Roman" w:hAnsi="Times New Roman"/>
                <w:b/>
                <w:sz w:val="22"/>
              </w:rPr>
              <w:t>2</w:t>
            </w:r>
            <w:r w:rsidRPr="008E5115">
              <w:rPr>
                <w:rFonts w:ascii="Times New Roman" w:hAnsi="Times New Roman"/>
                <w:b/>
                <w:sz w:val="22"/>
              </w:rPr>
              <w:t>:00 local time</w:t>
            </w:r>
          </w:p>
        </w:tc>
      </w:tr>
      <w:tr w:rsidR="008E5115" w:rsidRPr="00E82463" w:rsidTr="00D167C6">
        <w:trPr>
          <w:trHeight w:val="466"/>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379" w:type="dxa"/>
            <w:vAlign w:val="center"/>
          </w:tcPr>
          <w:p w:rsidR="008E5115" w:rsidRPr="008E5115" w:rsidRDefault="00003539" w:rsidP="009427F4">
            <w:pPr>
              <w:jc w:val="center"/>
              <w:rPr>
                <w:rFonts w:ascii="Times New Roman" w:hAnsi="Times New Roman"/>
                <w:b/>
                <w:sz w:val="22"/>
                <w:lang w:val="en-US"/>
              </w:rPr>
            </w:pPr>
            <w:r>
              <w:rPr>
                <w:rFonts w:ascii="Times New Roman" w:hAnsi="Times New Roman"/>
                <w:b/>
                <w:sz w:val="22"/>
              </w:rPr>
              <w:t>May</w:t>
            </w:r>
            <w:r w:rsidR="001D59E8">
              <w:rPr>
                <w:rFonts w:ascii="Times New Roman" w:hAnsi="Times New Roman"/>
                <w:b/>
                <w:sz w:val="22"/>
              </w:rPr>
              <w:t xml:space="preserve"> </w:t>
            </w:r>
            <w:r>
              <w:rPr>
                <w:rFonts w:ascii="Times New Roman" w:hAnsi="Times New Roman"/>
                <w:b/>
                <w:sz w:val="22"/>
              </w:rPr>
              <w:t>09</w:t>
            </w:r>
            <w:r w:rsidR="00845CF7">
              <w:rPr>
                <w:rFonts w:ascii="Times New Roman" w:hAnsi="Times New Roman"/>
                <w:b/>
                <w:sz w:val="22"/>
                <w:vertAlign w:val="superscript"/>
              </w:rPr>
              <w:t>th</w:t>
            </w:r>
            <w:r w:rsidR="00845CF7"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8E5115" w:rsidRDefault="008E5115" w:rsidP="00845CF7">
            <w:pPr>
              <w:jc w:val="center"/>
              <w:rPr>
                <w:rFonts w:ascii="Times New Roman" w:hAnsi="Times New Roman"/>
                <w:b/>
                <w:sz w:val="22"/>
              </w:rPr>
            </w:pPr>
            <w:r w:rsidRPr="008E5115">
              <w:rPr>
                <w:rFonts w:ascii="Times New Roman" w:hAnsi="Times New Roman"/>
                <w:b/>
                <w:sz w:val="22"/>
              </w:rPr>
              <w:t>1</w:t>
            </w:r>
            <w:r w:rsidR="00003539">
              <w:rPr>
                <w:rFonts w:ascii="Times New Roman" w:hAnsi="Times New Roman"/>
                <w:b/>
                <w:sz w:val="22"/>
              </w:rPr>
              <w:t>4</w:t>
            </w:r>
            <w:r w:rsidRPr="008E5115">
              <w:rPr>
                <w:rFonts w:ascii="Times New Roman" w:hAnsi="Times New Roman"/>
                <w:b/>
                <w:sz w:val="22"/>
              </w:rPr>
              <w:t>:00 local time</w:t>
            </w:r>
          </w:p>
        </w:tc>
      </w:tr>
      <w:tr w:rsidR="008E5115" w:rsidRPr="00E82463" w:rsidTr="00D167C6">
        <w:trPr>
          <w:trHeight w:val="707"/>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379" w:type="dxa"/>
            <w:vAlign w:val="center"/>
          </w:tcPr>
          <w:p w:rsidR="008E5115" w:rsidRPr="008E5115" w:rsidRDefault="00021C28" w:rsidP="00D167C6">
            <w:pPr>
              <w:jc w:val="center"/>
              <w:rPr>
                <w:rFonts w:ascii="Times New Roman" w:hAnsi="Times New Roman"/>
                <w:b/>
                <w:sz w:val="22"/>
                <w:lang w:val="en-US"/>
              </w:rPr>
            </w:pPr>
            <w:r>
              <w:rPr>
                <w:rFonts w:ascii="Times New Roman" w:hAnsi="Times New Roman"/>
                <w:b/>
                <w:sz w:val="22"/>
              </w:rPr>
              <w:t>May 10</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D167C6">
        <w:trPr>
          <w:trHeight w:val="466"/>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379" w:type="dxa"/>
            <w:vAlign w:val="center"/>
          </w:tcPr>
          <w:p w:rsidR="008E5115" w:rsidRPr="008E5115" w:rsidRDefault="00021C28" w:rsidP="00021C28">
            <w:pPr>
              <w:jc w:val="center"/>
              <w:rPr>
                <w:rFonts w:ascii="Times New Roman" w:hAnsi="Times New Roman"/>
                <w:b/>
                <w:sz w:val="22"/>
                <w:lang w:val="en-US"/>
              </w:rPr>
            </w:pPr>
            <w:r>
              <w:rPr>
                <w:rFonts w:ascii="Times New Roman" w:hAnsi="Times New Roman"/>
                <w:b/>
                <w:sz w:val="22"/>
              </w:rPr>
              <w:t>May 11</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6" w:name="_Toc42488072"/>
      <w:bookmarkEnd w:id="5"/>
      <w:r w:rsidRPr="00E82463">
        <w:t>Participation</w:t>
      </w:r>
      <w:bookmarkEnd w:id="6"/>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7" w:name="_Toc42488073"/>
      <w:proofErr w:type="spellStart"/>
      <w:r w:rsidRPr="00E82463">
        <w:t>Origi</w:t>
      </w:r>
      <w:r w:rsidR="007609B6">
        <w:t>n</w:t>
      </w:r>
      <w:bookmarkEnd w:id="7"/>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8" w:name="_Toc42488074"/>
      <w:r w:rsidRPr="00E82463">
        <w:t xml:space="preserve">Type of </w:t>
      </w:r>
      <w:proofErr w:type="spellStart"/>
      <w:r w:rsidRPr="00E82463">
        <w:t>contract</w:t>
      </w:r>
      <w:bookmarkEnd w:id="8"/>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9" w:name="_Toc42488075"/>
      <w:proofErr w:type="spellStart"/>
      <w:r w:rsidRPr="00E82463">
        <w:t>Currency</w:t>
      </w:r>
      <w:bookmarkEnd w:id="9"/>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0" w:name="_Toc42488076"/>
      <w:r w:rsidRPr="00E82463">
        <w:t>Lots</w:t>
      </w:r>
      <w:bookmarkEnd w:id="10"/>
    </w:p>
    <w:p w:rsidR="0047783A" w:rsidRPr="00B75031" w:rsidRDefault="00003539" w:rsidP="00003539">
      <w:pPr>
        <w:pStyle w:val="Heading2"/>
        <w:keepNext w:val="0"/>
        <w:ind w:left="567"/>
        <w:jc w:val="both"/>
        <w:rPr>
          <w:rFonts w:ascii="Times New Roman" w:hAnsi="Times New Roman"/>
          <w:sz w:val="22"/>
          <w:szCs w:val="22"/>
          <w:lang w:val="en-GB"/>
        </w:rPr>
      </w:pPr>
      <w:r w:rsidRPr="005A2535">
        <w:rPr>
          <w:rFonts w:ascii="Times New Roman" w:hAnsi="Times New Roman"/>
          <w:sz w:val="22"/>
          <w:szCs w:val="22"/>
          <w:lang w:val="en-GB"/>
        </w:rPr>
        <w:t>This tender procedure is not divided into lots.</w:t>
      </w:r>
    </w:p>
    <w:p w:rsidR="0047783A" w:rsidRPr="00E82463" w:rsidRDefault="0047783A" w:rsidP="00A4424B">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4" w:name="_Toc42488079"/>
      <w:proofErr w:type="spellStart"/>
      <w:r w:rsidRPr="00E82463">
        <w:lastRenderedPageBreak/>
        <w:t>Submission</w:t>
      </w:r>
      <w:proofErr w:type="spellEnd"/>
      <w:r w:rsidRPr="00E82463">
        <w:t xml:space="preserve"> of tenders</w:t>
      </w:r>
      <w:bookmarkEnd w:id="14"/>
    </w:p>
    <w:p w:rsidR="001D59E8" w:rsidRPr="00003539" w:rsidRDefault="0047783A" w:rsidP="00003539">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bookmarkEnd w:id="15"/>
    </w:p>
    <w:p w:rsidR="00003539" w:rsidRPr="00391328" w:rsidRDefault="00003539" w:rsidP="00003539">
      <w:pPr>
        <w:pStyle w:val="Blockquote"/>
        <w:ind w:right="26"/>
        <w:jc w:val="center"/>
        <w:rPr>
          <w:rFonts w:ascii="Times New Roman" w:hAnsi="Times New Roman"/>
          <w:b/>
          <w:sz w:val="22"/>
          <w:szCs w:val="22"/>
          <w:lang w:val="en-GB"/>
        </w:rPr>
      </w:pPr>
      <w:r>
        <w:rPr>
          <w:rFonts w:ascii="Times New Roman" w:hAnsi="Times New Roman"/>
          <w:b/>
          <w:sz w:val="22"/>
          <w:szCs w:val="22"/>
          <w:lang w:val="en-GB"/>
        </w:rPr>
        <w:t xml:space="preserve">City of </w:t>
      </w:r>
      <w:proofErr w:type="spellStart"/>
      <w:r>
        <w:rPr>
          <w:rFonts w:ascii="Times New Roman" w:hAnsi="Times New Roman"/>
          <w:b/>
          <w:sz w:val="22"/>
          <w:szCs w:val="22"/>
          <w:lang w:val="en-GB"/>
        </w:rPr>
        <w:t>Sombor</w:t>
      </w:r>
      <w:proofErr w:type="spellEnd"/>
    </w:p>
    <w:p w:rsidR="00003539" w:rsidRDefault="00003539" w:rsidP="00003539">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Trg</w:t>
      </w:r>
      <w:proofErr w:type="spellEnd"/>
      <w:r>
        <w:rPr>
          <w:rFonts w:ascii="Times New Roman" w:hAnsi="Times New Roman"/>
          <w:b/>
          <w:sz w:val="22"/>
          <w:szCs w:val="22"/>
          <w:lang w:val="en-GB"/>
        </w:rPr>
        <w:t xml:space="preserve"> </w:t>
      </w:r>
      <w:proofErr w:type="spellStart"/>
      <w:proofErr w:type="gramStart"/>
      <w:r>
        <w:rPr>
          <w:rFonts w:ascii="Times New Roman" w:hAnsi="Times New Roman"/>
          <w:b/>
          <w:sz w:val="22"/>
          <w:szCs w:val="22"/>
          <w:lang w:val="en-GB"/>
        </w:rPr>
        <w:t>cara</w:t>
      </w:r>
      <w:proofErr w:type="spellEnd"/>
      <w:proofErr w:type="gramEnd"/>
      <w:r>
        <w:rPr>
          <w:rFonts w:ascii="Times New Roman" w:hAnsi="Times New Roman"/>
          <w:b/>
          <w:sz w:val="22"/>
          <w:szCs w:val="22"/>
          <w:lang w:val="en-GB"/>
        </w:rPr>
        <w:t xml:space="preserve"> </w:t>
      </w:r>
      <w:proofErr w:type="spellStart"/>
      <w:r>
        <w:rPr>
          <w:rFonts w:ascii="Times New Roman" w:hAnsi="Times New Roman"/>
          <w:b/>
          <w:sz w:val="22"/>
          <w:szCs w:val="22"/>
          <w:lang w:val="en-GB"/>
        </w:rPr>
        <w:t>Uroša</w:t>
      </w:r>
      <w:proofErr w:type="spellEnd"/>
      <w:r>
        <w:rPr>
          <w:rFonts w:ascii="Times New Roman" w:hAnsi="Times New Roman"/>
          <w:b/>
          <w:sz w:val="22"/>
          <w:szCs w:val="22"/>
          <w:lang w:val="en-GB"/>
        </w:rPr>
        <w:t xml:space="preserve"> no. 1</w:t>
      </w:r>
    </w:p>
    <w:p w:rsidR="0047783A" w:rsidRPr="003637BA" w:rsidRDefault="00021C28" w:rsidP="00003539">
      <w:pPr>
        <w:pStyle w:val="Blockquote"/>
        <w:ind w:right="26"/>
        <w:jc w:val="center"/>
        <w:rPr>
          <w:rFonts w:ascii="Times New Roman" w:hAnsi="Times New Roman"/>
          <w:sz w:val="22"/>
          <w:szCs w:val="22"/>
          <w:lang w:val="en-GB"/>
        </w:rPr>
      </w:pPr>
      <w:r>
        <w:rPr>
          <w:rFonts w:ascii="Times New Roman" w:hAnsi="Times New Roman"/>
          <w:b/>
          <w:sz w:val="22"/>
          <w:szCs w:val="22"/>
          <w:lang w:val="en-GB"/>
        </w:rPr>
        <w:t xml:space="preserve">25101 </w:t>
      </w:r>
      <w:proofErr w:type="spellStart"/>
      <w:r>
        <w:rPr>
          <w:rFonts w:ascii="Times New Roman" w:hAnsi="Times New Roman"/>
          <w:b/>
          <w:sz w:val="22"/>
          <w:szCs w:val="22"/>
          <w:lang w:val="en-GB"/>
        </w:rPr>
        <w:t>Sombor</w:t>
      </w:r>
      <w:proofErr w:type="spellEnd"/>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391328" w:rsidRPr="00391328" w:rsidRDefault="00003539" w:rsidP="00391328">
      <w:pPr>
        <w:pStyle w:val="Blockquote"/>
        <w:ind w:right="26"/>
        <w:jc w:val="center"/>
        <w:rPr>
          <w:rFonts w:ascii="Times New Roman" w:hAnsi="Times New Roman"/>
          <w:b/>
          <w:sz w:val="22"/>
          <w:szCs w:val="22"/>
          <w:lang w:val="en-GB"/>
        </w:rPr>
      </w:pPr>
      <w:r>
        <w:rPr>
          <w:rFonts w:ascii="Times New Roman" w:hAnsi="Times New Roman"/>
          <w:b/>
          <w:sz w:val="22"/>
          <w:szCs w:val="22"/>
          <w:lang w:val="en-GB"/>
        </w:rPr>
        <w:t xml:space="preserve">City of </w:t>
      </w:r>
      <w:proofErr w:type="spellStart"/>
      <w:r>
        <w:rPr>
          <w:rFonts w:ascii="Times New Roman" w:hAnsi="Times New Roman"/>
          <w:b/>
          <w:sz w:val="22"/>
          <w:szCs w:val="22"/>
          <w:lang w:val="en-GB"/>
        </w:rPr>
        <w:t>Sombor</w:t>
      </w:r>
      <w:proofErr w:type="spellEnd"/>
    </w:p>
    <w:p w:rsidR="00391328" w:rsidRDefault="00003539" w:rsidP="00391328">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Trg</w:t>
      </w:r>
      <w:proofErr w:type="spellEnd"/>
      <w:r>
        <w:rPr>
          <w:rFonts w:ascii="Times New Roman" w:hAnsi="Times New Roman"/>
          <w:b/>
          <w:sz w:val="22"/>
          <w:szCs w:val="22"/>
          <w:lang w:val="en-GB"/>
        </w:rPr>
        <w:t xml:space="preserve"> </w:t>
      </w:r>
      <w:proofErr w:type="spellStart"/>
      <w:proofErr w:type="gramStart"/>
      <w:r>
        <w:rPr>
          <w:rFonts w:ascii="Times New Roman" w:hAnsi="Times New Roman"/>
          <w:b/>
          <w:sz w:val="22"/>
          <w:szCs w:val="22"/>
          <w:lang w:val="en-GB"/>
        </w:rPr>
        <w:t>cara</w:t>
      </w:r>
      <w:proofErr w:type="spellEnd"/>
      <w:proofErr w:type="gramEnd"/>
      <w:r>
        <w:rPr>
          <w:rFonts w:ascii="Times New Roman" w:hAnsi="Times New Roman"/>
          <w:b/>
          <w:sz w:val="22"/>
          <w:szCs w:val="22"/>
          <w:lang w:val="en-GB"/>
        </w:rPr>
        <w:t xml:space="preserve"> </w:t>
      </w:r>
      <w:proofErr w:type="spellStart"/>
      <w:r>
        <w:rPr>
          <w:rFonts w:ascii="Times New Roman" w:hAnsi="Times New Roman"/>
          <w:b/>
          <w:sz w:val="22"/>
          <w:szCs w:val="22"/>
          <w:lang w:val="en-GB"/>
        </w:rPr>
        <w:t>Uroša</w:t>
      </w:r>
      <w:proofErr w:type="spellEnd"/>
      <w:r>
        <w:rPr>
          <w:rFonts w:ascii="Times New Roman" w:hAnsi="Times New Roman"/>
          <w:b/>
          <w:sz w:val="22"/>
          <w:szCs w:val="22"/>
          <w:lang w:val="en-GB"/>
        </w:rPr>
        <w:t xml:space="preserve"> no. 1</w:t>
      </w:r>
    </w:p>
    <w:p w:rsidR="00F35B9E" w:rsidRPr="003637BA" w:rsidRDefault="00021C28" w:rsidP="00391328">
      <w:pPr>
        <w:pStyle w:val="Blockquote"/>
        <w:ind w:right="26"/>
        <w:jc w:val="center"/>
        <w:rPr>
          <w:rFonts w:ascii="Times New Roman" w:hAnsi="Times New Roman"/>
          <w:sz w:val="22"/>
          <w:szCs w:val="22"/>
          <w:lang w:val="en-GB"/>
        </w:rPr>
      </w:pPr>
      <w:r>
        <w:rPr>
          <w:rFonts w:ascii="Times New Roman" w:hAnsi="Times New Roman"/>
          <w:b/>
          <w:sz w:val="22"/>
          <w:szCs w:val="22"/>
          <w:lang w:val="en-GB"/>
        </w:rPr>
        <w:t xml:space="preserve">25101 </w:t>
      </w:r>
      <w:proofErr w:type="spellStart"/>
      <w:r>
        <w:rPr>
          <w:rFonts w:ascii="Times New Roman" w:hAnsi="Times New Roman"/>
          <w:b/>
          <w:sz w:val="22"/>
          <w:szCs w:val="22"/>
          <w:lang w:val="en-GB"/>
        </w:rPr>
        <w:t>Sombor</w:t>
      </w:r>
      <w:proofErr w:type="spellEnd"/>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r w:rsidR="00003539">
        <w:rPr>
          <w:rFonts w:ascii="Times New Roman" w:hAnsi="Times New Roman"/>
          <w:b/>
          <w:sz w:val="22"/>
          <w:szCs w:val="22"/>
          <w:lang w:val="en-GB"/>
        </w:rPr>
        <w:t xml:space="preserve">City of </w:t>
      </w:r>
      <w:proofErr w:type="spellStart"/>
      <w:r w:rsidR="00003539">
        <w:rPr>
          <w:rFonts w:ascii="Times New Roman" w:hAnsi="Times New Roman"/>
          <w:b/>
          <w:sz w:val="22"/>
          <w:szCs w:val="22"/>
          <w:lang w:val="en-GB"/>
        </w:rPr>
        <w:t>Sombor</w:t>
      </w:r>
      <w:proofErr w:type="spellEnd"/>
      <w:r w:rsidR="00877715" w:rsidRPr="003637BA">
        <w:rPr>
          <w:rFonts w:ascii="Times New Roman" w:hAnsi="Times New Roman"/>
          <w:b/>
          <w:sz w:val="22"/>
          <w:szCs w:val="22"/>
          <w:lang w:val="en-GB"/>
        </w:rPr>
        <w:t xml:space="preserve">, </w:t>
      </w:r>
      <w:proofErr w:type="spellStart"/>
      <w:r w:rsidR="00003539">
        <w:rPr>
          <w:rFonts w:ascii="Times New Roman" w:hAnsi="Times New Roman"/>
          <w:b/>
          <w:sz w:val="22"/>
          <w:szCs w:val="22"/>
          <w:lang w:val="en-GB"/>
        </w:rPr>
        <w:t>Trg</w:t>
      </w:r>
      <w:proofErr w:type="spellEnd"/>
      <w:r w:rsidR="00003539">
        <w:rPr>
          <w:rFonts w:ascii="Times New Roman" w:hAnsi="Times New Roman"/>
          <w:b/>
          <w:sz w:val="22"/>
          <w:szCs w:val="22"/>
          <w:lang w:val="en-GB"/>
        </w:rPr>
        <w:t xml:space="preserve"> </w:t>
      </w:r>
      <w:proofErr w:type="spellStart"/>
      <w:proofErr w:type="gramStart"/>
      <w:r w:rsidR="00003539">
        <w:rPr>
          <w:rFonts w:ascii="Times New Roman" w:hAnsi="Times New Roman"/>
          <w:b/>
          <w:sz w:val="22"/>
          <w:szCs w:val="22"/>
          <w:lang w:val="en-GB"/>
        </w:rPr>
        <w:t>cara</w:t>
      </w:r>
      <w:proofErr w:type="spellEnd"/>
      <w:proofErr w:type="gramEnd"/>
      <w:r w:rsidR="00003539">
        <w:rPr>
          <w:rFonts w:ascii="Times New Roman" w:hAnsi="Times New Roman"/>
          <w:b/>
          <w:sz w:val="22"/>
          <w:szCs w:val="22"/>
          <w:lang w:val="en-GB"/>
        </w:rPr>
        <w:t xml:space="preserve"> </w:t>
      </w:r>
      <w:proofErr w:type="spellStart"/>
      <w:r w:rsidR="00003539">
        <w:rPr>
          <w:rFonts w:ascii="Times New Roman" w:hAnsi="Times New Roman"/>
          <w:b/>
          <w:sz w:val="22"/>
          <w:szCs w:val="22"/>
          <w:lang w:val="en-GB"/>
        </w:rPr>
        <w:t>Uroša</w:t>
      </w:r>
      <w:proofErr w:type="spellEnd"/>
      <w:r w:rsidR="0062188A">
        <w:rPr>
          <w:rFonts w:ascii="Times New Roman" w:hAnsi="Times New Roman"/>
          <w:b/>
          <w:sz w:val="22"/>
          <w:szCs w:val="22"/>
          <w:lang w:val="en-GB"/>
        </w:rPr>
        <w:t xml:space="preserve"> </w:t>
      </w:r>
      <w:r w:rsidR="00003539">
        <w:rPr>
          <w:rFonts w:ascii="Times New Roman" w:hAnsi="Times New Roman"/>
          <w:b/>
          <w:sz w:val="22"/>
          <w:szCs w:val="22"/>
          <w:lang w:val="en-GB"/>
        </w:rPr>
        <w:t xml:space="preserve">no. </w:t>
      </w:r>
      <w:r w:rsidR="001D59E8">
        <w:rPr>
          <w:rFonts w:ascii="Times New Roman" w:hAnsi="Times New Roman"/>
          <w:b/>
          <w:sz w:val="22"/>
          <w:szCs w:val="22"/>
          <w:lang w:val="en-GB"/>
        </w:rPr>
        <w:t>1</w:t>
      </w:r>
      <w:r w:rsidR="00877715" w:rsidRPr="003637BA">
        <w:rPr>
          <w:rFonts w:ascii="Times New Roman" w:hAnsi="Times New Roman"/>
          <w:b/>
          <w:sz w:val="22"/>
          <w:szCs w:val="22"/>
          <w:lang w:val="en-GB"/>
        </w:rPr>
        <w:t xml:space="preserve">, </w:t>
      </w:r>
      <w:r w:rsidR="00021C28">
        <w:rPr>
          <w:rFonts w:ascii="Times New Roman" w:hAnsi="Times New Roman"/>
          <w:b/>
          <w:sz w:val="22"/>
          <w:szCs w:val="22"/>
          <w:lang w:val="en-GB"/>
        </w:rPr>
        <w:t xml:space="preserve">25101 </w:t>
      </w:r>
      <w:proofErr w:type="spellStart"/>
      <w:r w:rsidR="00021C28">
        <w:rPr>
          <w:rFonts w:ascii="Times New Roman" w:hAnsi="Times New Roman"/>
          <w:b/>
          <w:sz w:val="22"/>
          <w:szCs w:val="22"/>
          <w:lang w:val="en-GB"/>
        </w:rPr>
        <w:t>Sombor</w:t>
      </w:r>
      <w:proofErr w:type="spellEnd"/>
      <w:r w:rsidR="00003539">
        <w:rPr>
          <w:rFonts w:ascii="Times New Roman" w:hAnsi="Times New Roman"/>
          <w:b/>
          <w:sz w:val="22"/>
          <w:szCs w:val="22"/>
          <w:lang w:val="en-GB"/>
        </w:rPr>
        <w:t xml:space="preserve"> </w:t>
      </w:r>
      <w:r w:rsidRPr="003637BA">
        <w:rPr>
          <w:rFonts w:ascii="Times New Roman" w:hAnsi="Times New Roman"/>
          <w:sz w:val="22"/>
          <w:lang w:val="en-GB"/>
        </w:rPr>
        <w:t xml:space="preserve">before the deadline </w:t>
      </w:r>
      <w:r w:rsidR="00003539">
        <w:rPr>
          <w:rFonts w:ascii="Times New Roman" w:hAnsi="Times New Roman"/>
          <w:b/>
          <w:sz w:val="22"/>
        </w:rPr>
        <w:t>May 09</w:t>
      </w:r>
      <w:r w:rsidR="00D167C6">
        <w:rPr>
          <w:rFonts w:ascii="Times New Roman" w:hAnsi="Times New Roman"/>
          <w:b/>
          <w:sz w:val="22"/>
          <w:vertAlign w:val="superscript"/>
        </w:rPr>
        <w:t>th</w:t>
      </w:r>
      <w:r w:rsidR="00D167C6" w:rsidRPr="000F3EA4">
        <w:rPr>
          <w:rFonts w:ascii="Times New Roman" w:hAnsi="Times New Roman"/>
          <w:b/>
          <w:sz w:val="22"/>
        </w:rPr>
        <w:t xml:space="preserve"> 202</w:t>
      </w:r>
      <w:r w:rsidR="00D167C6">
        <w:rPr>
          <w:rFonts w:ascii="Times New Roman" w:hAnsi="Times New Roman"/>
          <w:b/>
          <w:sz w:val="22"/>
        </w:rPr>
        <w:t>2</w:t>
      </w:r>
      <w:r w:rsidR="00877715" w:rsidRPr="003637BA">
        <w:rPr>
          <w:rFonts w:ascii="Times New Roman" w:hAnsi="Times New Roman"/>
          <w:b/>
          <w:sz w:val="22"/>
          <w:lang w:val="en-GB"/>
        </w:rPr>
        <w:t xml:space="preserve"> at 1</w:t>
      </w:r>
      <w:r w:rsidR="001D59E8">
        <w:rPr>
          <w:rFonts w:ascii="Times New Roman" w:hAnsi="Times New Roman"/>
          <w:b/>
          <w:sz w:val="22"/>
          <w:lang w:val="en-GB"/>
        </w:rPr>
        <w:t>2</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CD4884">
      <w:pPr>
        <w:pStyle w:val="Heading2"/>
        <w:ind w:left="567" w:hanging="567"/>
        <w:jc w:val="both"/>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CD4884">
      <w:pPr>
        <w:tabs>
          <w:tab w:val="left" w:pos="1134"/>
        </w:tabs>
        <w:ind w:left="567"/>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003539" w:rsidRPr="00003539">
        <w:rPr>
          <w:rFonts w:ascii="Times New Roman" w:hAnsi="Times New Roman"/>
          <w:b/>
        </w:rPr>
        <w:t>HUSRB/1903/31/0075-6/minibus 6.1.1</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CD4884">
      <w:pPr>
        <w:tabs>
          <w:tab w:val="left" w:pos="1134"/>
        </w:tabs>
        <w:ind w:left="1134" w:hanging="567"/>
        <w:jc w:val="both"/>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7" w:name="_Toc42488080"/>
      <w:r w:rsidRPr="00E82463">
        <w:t>Content of tenders</w:t>
      </w:r>
      <w:bookmarkEnd w:id="17"/>
    </w:p>
    <w:p w:rsidR="00146AB3" w:rsidRPr="00E82463" w:rsidRDefault="006D4CEC" w:rsidP="00CD4884">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CD4884">
      <w:pPr>
        <w:ind w:left="567"/>
        <w:jc w:val="both"/>
        <w:rPr>
          <w:rFonts w:ascii="Times New Roman" w:hAnsi="Times New Roman"/>
          <w:sz w:val="22"/>
          <w:szCs w:val="22"/>
        </w:rPr>
      </w:pPr>
      <w:r w:rsidRPr="00E82463">
        <w:rPr>
          <w:rFonts w:ascii="Times New Roman" w:hAnsi="Times New Roman"/>
          <w:sz w:val="22"/>
          <w:szCs w:val="22"/>
        </w:rPr>
        <w:lastRenderedPageBreak/>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CD4884">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CD488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CD4884">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CD4884">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CD4884">
      <w:pPr>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CD488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8" w:name="_Toc42488081"/>
      <w:r w:rsidRPr="007038D3">
        <w:t xml:space="preserve">Taxes and </w:t>
      </w:r>
      <w:proofErr w:type="spellStart"/>
      <w:r w:rsidRPr="007038D3">
        <w:t>other</w:t>
      </w:r>
      <w:proofErr w:type="spellEnd"/>
      <w:r w:rsidRPr="007038D3">
        <w:t xml:space="preserve"> charges</w:t>
      </w:r>
      <w:bookmarkEnd w:id="18"/>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607101" w:rsidRPr="00607101">
        <w:rPr>
          <w:rFonts w:ascii="Times New Roman" w:hAnsi="Times New Roman"/>
          <w:sz w:val="22"/>
          <w:szCs w:val="22"/>
        </w:rPr>
        <w:t xml:space="preserve">the </w:t>
      </w:r>
      <w:proofErr w:type="spellStart"/>
      <w:r w:rsidR="00F35B9E">
        <w:rPr>
          <w:rFonts w:ascii="Times New Roman" w:hAnsi="Times New Roman"/>
          <w:sz w:val="22"/>
          <w:szCs w:val="22"/>
        </w:rPr>
        <w:t>Interreg</w:t>
      </w:r>
      <w:proofErr w:type="spellEnd"/>
      <w:r w:rsidR="00F35B9E">
        <w:rPr>
          <w:rFonts w:ascii="Times New Roman" w:hAnsi="Times New Roman"/>
          <w:sz w:val="22"/>
          <w:szCs w:val="22"/>
        </w:rPr>
        <w:t xml:space="preserve">-IPA CBC </w:t>
      </w:r>
      <w:r w:rsidR="00976B36">
        <w:rPr>
          <w:rFonts w:ascii="Times New Roman" w:hAnsi="Times New Roman"/>
          <w:sz w:val="22"/>
          <w:szCs w:val="22"/>
        </w:rPr>
        <w:t>Hungary</w:t>
      </w:r>
      <w:r w:rsidR="00F35B9E">
        <w:rPr>
          <w:rFonts w:ascii="Times New Roman" w:hAnsi="Times New Roman"/>
          <w:sz w:val="22"/>
          <w:szCs w:val="22"/>
        </w:rPr>
        <w:t>-Serbia</w:t>
      </w:r>
      <w:r w:rsidR="00607101" w:rsidRPr="00607101">
        <w:rPr>
          <w:rFonts w:ascii="Times New Roman" w:hAnsi="Times New Roman"/>
          <w:sz w:val="22"/>
          <w:szCs w:val="22"/>
        </w:rPr>
        <w:t xml:space="preserve"> 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9248DA" w:rsidRPr="003A1672" w:rsidRDefault="009248DA" w:rsidP="009248DA">
      <w:pPr>
        <w:pStyle w:val="BodyText"/>
        <w:spacing w:before="0" w:after="0"/>
        <w:ind w:left="567"/>
        <w:rPr>
          <w:rFonts w:ascii="Times New Roman" w:hAnsi="Times New Roman"/>
          <w:sz w:val="22"/>
        </w:rPr>
      </w:pPr>
      <w:r w:rsidRPr="003A1672">
        <w:rPr>
          <w:rFonts w:ascii="Times New Roman" w:hAnsi="Times New Roman"/>
          <w:sz w:val="22"/>
        </w:rPr>
        <w:t>Contact name</w:t>
      </w:r>
      <w:r w:rsidRPr="003A1672">
        <w:rPr>
          <w:rFonts w:ascii="Times New Roman" w:hAnsi="Times New Roman"/>
          <w:sz w:val="22"/>
          <w:lang w:val="en-US"/>
        </w:rPr>
        <w:t xml:space="preserve">: </w:t>
      </w:r>
      <w:r w:rsidRPr="003A1672">
        <w:rPr>
          <w:rFonts w:ascii="Times New Roman" w:hAnsi="Times New Roman"/>
          <w:sz w:val="22"/>
          <w:lang w:val="en-US"/>
        </w:rPr>
        <w:tab/>
      </w:r>
      <w:proofErr w:type="spellStart"/>
      <w:r w:rsidRPr="00F35B9E">
        <w:rPr>
          <w:rFonts w:ascii="Times New Roman" w:hAnsi="Times New Roman"/>
          <w:b/>
          <w:sz w:val="22"/>
          <w:lang w:val="en-US"/>
        </w:rPr>
        <w:t>Antonija</w:t>
      </w:r>
      <w:proofErr w:type="spellEnd"/>
      <w:r w:rsidRPr="00F35B9E">
        <w:rPr>
          <w:rFonts w:ascii="Times New Roman" w:hAnsi="Times New Roman"/>
          <w:b/>
          <w:sz w:val="22"/>
          <w:lang w:val="en-US"/>
        </w:rPr>
        <w:t xml:space="preserve"> </w:t>
      </w:r>
      <w:proofErr w:type="spellStart"/>
      <w:r w:rsidRPr="00F35B9E">
        <w:rPr>
          <w:rFonts w:ascii="Times New Roman" w:hAnsi="Times New Roman"/>
          <w:b/>
          <w:sz w:val="22"/>
          <w:lang w:val="en-US"/>
        </w:rPr>
        <w:t>Nađ</w:t>
      </w:r>
      <w:proofErr w:type="spellEnd"/>
      <w:r w:rsidRPr="00F35B9E">
        <w:rPr>
          <w:rFonts w:ascii="Times New Roman" w:hAnsi="Times New Roman"/>
          <w:b/>
          <w:sz w:val="22"/>
          <w:lang w:val="en-US"/>
        </w:rPr>
        <w:t xml:space="preserve"> </w:t>
      </w:r>
      <w:proofErr w:type="spellStart"/>
      <w:r w:rsidRPr="00F35B9E">
        <w:rPr>
          <w:rFonts w:ascii="Times New Roman" w:hAnsi="Times New Roman"/>
          <w:b/>
          <w:sz w:val="22"/>
          <w:lang w:val="en-US"/>
        </w:rPr>
        <w:t>Kosanović</w:t>
      </w:r>
      <w:proofErr w:type="spellEnd"/>
      <w:r w:rsidRPr="00F35B9E">
        <w:rPr>
          <w:rFonts w:ascii="Times New Roman" w:hAnsi="Times New Roman"/>
          <w:b/>
          <w:sz w:val="22"/>
          <w:lang w:val="en-US"/>
        </w:rPr>
        <w:t>, project manager</w:t>
      </w:r>
      <w:r w:rsidRPr="003A1672">
        <w:rPr>
          <w:rFonts w:ascii="Times New Roman" w:hAnsi="Times New Roman"/>
          <w:sz w:val="22"/>
        </w:rPr>
        <w:br/>
        <w:t>Address</w:t>
      </w:r>
      <w:r w:rsidRPr="003A1672">
        <w:rPr>
          <w:rFonts w:ascii="Times New Roman" w:hAnsi="Times New Roman"/>
          <w:sz w:val="22"/>
        </w:rPr>
        <w:tab/>
      </w:r>
      <w:r w:rsidRPr="003A1672">
        <w:rPr>
          <w:rFonts w:ascii="Times New Roman" w:hAnsi="Times New Roman"/>
          <w:sz w:val="22"/>
        </w:rPr>
        <w:tab/>
      </w:r>
      <w:r w:rsidRPr="00F35B9E">
        <w:rPr>
          <w:rFonts w:ascii="Times New Roman" w:hAnsi="Times New Roman"/>
          <w:b/>
          <w:sz w:val="22"/>
        </w:rPr>
        <w:t xml:space="preserve">City of </w:t>
      </w:r>
      <w:proofErr w:type="spellStart"/>
      <w:r w:rsidRPr="00F35B9E">
        <w:rPr>
          <w:rFonts w:ascii="Times New Roman" w:hAnsi="Times New Roman"/>
          <w:b/>
          <w:sz w:val="22"/>
        </w:rPr>
        <w:t>Sombor</w:t>
      </w:r>
      <w:proofErr w:type="spellEnd"/>
      <w:r w:rsidRPr="00F35B9E">
        <w:rPr>
          <w:rFonts w:ascii="Times New Roman" w:hAnsi="Times New Roman"/>
          <w:b/>
          <w:sz w:val="22"/>
        </w:rPr>
        <w:t xml:space="preserve">, </w:t>
      </w:r>
      <w:proofErr w:type="spellStart"/>
      <w:r w:rsidRPr="00F35B9E">
        <w:rPr>
          <w:rFonts w:ascii="Times New Roman" w:hAnsi="Times New Roman"/>
          <w:b/>
          <w:sz w:val="22"/>
        </w:rPr>
        <w:t>Trg</w:t>
      </w:r>
      <w:proofErr w:type="spellEnd"/>
      <w:r w:rsidRPr="00F35B9E">
        <w:rPr>
          <w:rFonts w:ascii="Times New Roman" w:hAnsi="Times New Roman"/>
          <w:b/>
          <w:sz w:val="22"/>
        </w:rPr>
        <w:t xml:space="preserve"> </w:t>
      </w:r>
      <w:proofErr w:type="spellStart"/>
      <w:proofErr w:type="gramStart"/>
      <w:r w:rsidRPr="00F35B9E">
        <w:rPr>
          <w:rFonts w:ascii="Times New Roman" w:hAnsi="Times New Roman"/>
          <w:b/>
          <w:sz w:val="22"/>
        </w:rPr>
        <w:t>cara</w:t>
      </w:r>
      <w:proofErr w:type="spellEnd"/>
      <w:proofErr w:type="gramEnd"/>
      <w:r w:rsidRPr="00F35B9E">
        <w:rPr>
          <w:rFonts w:ascii="Times New Roman" w:hAnsi="Times New Roman"/>
          <w:b/>
          <w:sz w:val="22"/>
        </w:rPr>
        <w:t xml:space="preserve"> </w:t>
      </w:r>
      <w:proofErr w:type="spellStart"/>
      <w:r w:rsidRPr="00F35B9E">
        <w:rPr>
          <w:rFonts w:ascii="Times New Roman" w:hAnsi="Times New Roman"/>
          <w:b/>
          <w:sz w:val="22"/>
        </w:rPr>
        <w:t>Uroša</w:t>
      </w:r>
      <w:proofErr w:type="spellEnd"/>
      <w:r w:rsidRPr="00F35B9E">
        <w:rPr>
          <w:rFonts w:ascii="Times New Roman" w:hAnsi="Times New Roman"/>
          <w:b/>
          <w:sz w:val="22"/>
        </w:rPr>
        <w:t xml:space="preserve"> no. 1, 25101 </w:t>
      </w:r>
      <w:proofErr w:type="spellStart"/>
      <w:r w:rsidRPr="00F35B9E">
        <w:rPr>
          <w:rFonts w:ascii="Times New Roman" w:hAnsi="Times New Roman"/>
          <w:b/>
          <w:sz w:val="22"/>
        </w:rPr>
        <w:t>Sombor</w:t>
      </w:r>
      <w:proofErr w:type="spellEnd"/>
    </w:p>
    <w:p w:rsidR="0047783A" w:rsidRPr="003A1672" w:rsidRDefault="009248DA" w:rsidP="009248DA">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Pr="00F35B9E">
        <w:rPr>
          <w:rFonts w:ascii="Times New Roman" w:hAnsi="Times New Roman"/>
          <w:b/>
          <w:sz w:val="22"/>
          <w:szCs w:val="22"/>
        </w:rPr>
        <w:t>+381 (0)25 468-111</w:t>
      </w:r>
      <w:r w:rsidRPr="003A1672">
        <w:rPr>
          <w:rFonts w:ascii="Times New Roman" w:hAnsi="Times New Roman"/>
          <w:sz w:val="22"/>
        </w:rPr>
        <w:br/>
        <w:t>E-mail:</w:t>
      </w:r>
      <w:r w:rsidRPr="003A1672">
        <w:rPr>
          <w:rFonts w:ascii="Times New Roman" w:hAnsi="Times New Roman"/>
          <w:sz w:val="22"/>
        </w:rPr>
        <w:tab/>
      </w:r>
      <w:r w:rsidRPr="003A1672">
        <w:rPr>
          <w:rFonts w:ascii="Times New Roman" w:hAnsi="Times New Roman"/>
          <w:sz w:val="22"/>
        </w:rPr>
        <w:tab/>
      </w:r>
      <w:r w:rsidRPr="00F35B9E">
        <w:rPr>
          <w:rStyle w:val="Hyperlink"/>
          <w:rFonts w:ascii="Times New Roman" w:hAnsi="Times New Roman"/>
          <w:b/>
          <w:sz w:val="22"/>
          <w:szCs w:val="22"/>
        </w:rPr>
        <w:t>tourism4all.sombor@gmail.com</w:t>
      </w:r>
      <w:r w:rsidR="00845CF7">
        <w:rPr>
          <w:rFonts w:ascii="Times New Roman" w:hAnsi="Times New Roman"/>
          <w:sz w:val="22"/>
        </w:rPr>
        <w:t xml:space="preserve"> </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lastRenderedPageBreak/>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0" w:name="_Toc42488083"/>
      <w:r w:rsidRPr="00E82463">
        <w:t xml:space="preserve">Clarification meeting / site </w:t>
      </w:r>
      <w:proofErr w:type="spellStart"/>
      <w:r w:rsidRPr="00E82463">
        <w:t>visit</w:t>
      </w:r>
      <w:bookmarkEnd w:id="20"/>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1"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1"/>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2"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2"/>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3" w:name="_Toc42488086"/>
      <w:proofErr w:type="spellStart"/>
      <w:r w:rsidRPr="00E82463">
        <w:t>Ownership</w:t>
      </w:r>
      <w:proofErr w:type="spellEnd"/>
      <w:r w:rsidRPr="00E82463">
        <w:t xml:space="preserve"> of tenders</w:t>
      </w:r>
      <w:bookmarkEnd w:id="23"/>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4" w:name="_Toc42488087"/>
      <w:proofErr w:type="spellStart"/>
      <w:r w:rsidRPr="00E82463">
        <w:t>Joint venture</w:t>
      </w:r>
      <w:proofErr w:type="spellEnd"/>
      <w:r w:rsidRPr="00E82463">
        <w:t xml:space="preserve"> or consortium</w:t>
      </w:r>
      <w:bookmarkEnd w:id="24"/>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5" w:name="_Toc42488088"/>
      <w:proofErr w:type="spellStart"/>
      <w:r w:rsidRPr="00E82463">
        <w:t>Opening</w:t>
      </w:r>
      <w:proofErr w:type="spellEnd"/>
      <w:r w:rsidRPr="00E82463">
        <w:t xml:space="preserve"> of tenders</w:t>
      </w:r>
      <w:bookmarkEnd w:id="25"/>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r w:rsidR="00003539">
        <w:rPr>
          <w:rFonts w:ascii="Times New Roman" w:hAnsi="Times New Roman"/>
          <w:b/>
          <w:sz w:val="22"/>
        </w:rPr>
        <w:t>May</w:t>
      </w:r>
      <w:r w:rsidR="001D59E8">
        <w:rPr>
          <w:rFonts w:ascii="Times New Roman" w:hAnsi="Times New Roman"/>
          <w:b/>
          <w:sz w:val="22"/>
        </w:rPr>
        <w:t xml:space="preserve"> 0</w:t>
      </w:r>
      <w:r w:rsidR="00003539">
        <w:rPr>
          <w:rFonts w:ascii="Times New Roman" w:hAnsi="Times New Roman"/>
          <w:b/>
          <w:sz w:val="22"/>
        </w:rPr>
        <w:t>9</w:t>
      </w:r>
      <w:r w:rsidR="00D167C6">
        <w:rPr>
          <w:rFonts w:ascii="Times New Roman" w:hAnsi="Times New Roman"/>
          <w:b/>
          <w:sz w:val="22"/>
          <w:vertAlign w:val="superscript"/>
        </w:rPr>
        <w:t>th</w:t>
      </w:r>
      <w:r w:rsidR="00D167C6" w:rsidRPr="000F3EA4">
        <w:rPr>
          <w:rFonts w:ascii="Times New Roman" w:hAnsi="Times New Roman"/>
          <w:b/>
          <w:sz w:val="22"/>
        </w:rPr>
        <w:t xml:space="preserve"> 202</w:t>
      </w:r>
      <w:r w:rsidR="00D167C6">
        <w:rPr>
          <w:rFonts w:ascii="Times New Roman" w:hAnsi="Times New Roman"/>
          <w:b/>
          <w:sz w:val="22"/>
        </w:rPr>
        <w:t>2</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003539">
        <w:rPr>
          <w:rFonts w:ascii="Times New Roman" w:hAnsi="Times New Roman"/>
          <w:b/>
          <w:sz w:val="22"/>
          <w:lang w:val="en-GB"/>
        </w:rPr>
        <w:t>4</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r w:rsidR="00003539">
        <w:rPr>
          <w:rFonts w:ascii="Times New Roman" w:hAnsi="Times New Roman"/>
          <w:b/>
          <w:sz w:val="22"/>
          <w:szCs w:val="22"/>
          <w:lang w:val="en-GB"/>
        </w:rPr>
        <w:t xml:space="preserve">City of </w:t>
      </w:r>
      <w:proofErr w:type="spellStart"/>
      <w:r w:rsidR="00003539">
        <w:rPr>
          <w:rFonts w:ascii="Times New Roman" w:hAnsi="Times New Roman"/>
          <w:b/>
          <w:sz w:val="22"/>
          <w:szCs w:val="22"/>
          <w:lang w:val="en-GB"/>
        </w:rPr>
        <w:t>Sombor</w:t>
      </w:r>
      <w:proofErr w:type="spellEnd"/>
      <w:r w:rsidR="00877715" w:rsidRPr="000F3EA4">
        <w:rPr>
          <w:rFonts w:ascii="Times New Roman" w:hAnsi="Times New Roman"/>
          <w:b/>
          <w:sz w:val="22"/>
          <w:szCs w:val="22"/>
          <w:lang w:val="en-GB"/>
        </w:rPr>
        <w:t xml:space="preserve">, </w:t>
      </w:r>
      <w:proofErr w:type="spellStart"/>
      <w:r w:rsidR="00003539">
        <w:rPr>
          <w:rFonts w:ascii="Times New Roman" w:hAnsi="Times New Roman"/>
          <w:b/>
          <w:sz w:val="22"/>
          <w:szCs w:val="22"/>
          <w:lang w:val="en-GB"/>
        </w:rPr>
        <w:t>Trg</w:t>
      </w:r>
      <w:proofErr w:type="spellEnd"/>
      <w:r w:rsidR="00003539">
        <w:rPr>
          <w:rFonts w:ascii="Times New Roman" w:hAnsi="Times New Roman"/>
          <w:b/>
          <w:sz w:val="22"/>
          <w:szCs w:val="22"/>
          <w:lang w:val="en-GB"/>
        </w:rPr>
        <w:t xml:space="preserve"> </w:t>
      </w:r>
      <w:proofErr w:type="spellStart"/>
      <w:proofErr w:type="gramStart"/>
      <w:r w:rsidR="00003539">
        <w:rPr>
          <w:rFonts w:ascii="Times New Roman" w:hAnsi="Times New Roman"/>
          <w:b/>
          <w:sz w:val="22"/>
          <w:szCs w:val="22"/>
          <w:lang w:val="en-GB"/>
        </w:rPr>
        <w:t>cara</w:t>
      </w:r>
      <w:proofErr w:type="spellEnd"/>
      <w:proofErr w:type="gramEnd"/>
      <w:r w:rsidR="00003539">
        <w:rPr>
          <w:rFonts w:ascii="Times New Roman" w:hAnsi="Times New Roman"/>
          <w:b/>
          <w:sz w:val="22"/>
          <w:szCs w:val="22"/>
          <w:lang w:val="en-GB"/>
        </w:rPr>
        <w:t xml:space="preserve"> </w:t>
      </w:r>
      <w:proofErr w:type="spellStart"/>
      <w:r w:rsidR="00003539">
        <w:rPr>
          <w:rFonts w:ascii="Times New Roman" w:hAnsi="Times New Roman"/>
          <w:b/>
          <w:sz w:val="22"/>
          <w:szCs w:val="22"/>
          <w:lang w:val="en-GB"/>
        </w:rPr>
        <w:t>Uroša</w:t>
      </w:r>
      <w:proofErr w:type="spellEnd"/>
      <w:r w:rsidR="00003539">
        <w:rPr>
          <w:rFonts w:ascii="Times New Roman" w:hAnsi="Times New Roman"/>
          <w:b/>
          <w:sz w:val="22"/>
          <w:szCs w:val="22"/>
          <w:lang w:val="en-GB"/>
        </w:rPr>
        <w:t xml:space="preserve"> no. </w:t>
      </w:r>
      <w:r w:rsidR="001D59E8">
        <w:rPr>
          <w:rFonts w:ascii="Times New Roman" w:hAnsi="Times New Roman"/>
          <w:b/>
          <w:sz w:val="22"/>
          <w:szCs w:val="22"/>
          <w:lang w:val="en-GB"/>
        </w:rPr>
        <w:t>1</w:t>
      </w:r>
      <w:r w:rsidR="00877715" w:rsidRPr="000F3EA4">
        <w:rPr>
          <w:rFonts w:ascii="Times New Roman" w:hAnsi="Times New Roman"/>
          <w:b/>
          <w:sz w:val="22"/>
          <w:szCs w:val="22"/>
          <w:lang w:val="en-GB"/>
        </w:rPr>
        <w:t xml:space="preserve">, </w:t>
      </w:r>
      <w:r w:rsidR="00021C28">
        <w:rPr>
          <w:rFonts w:ascii="Times New Roman" w:hAnsi="Times New Roman"/>
          <w:b/>
          <w:sz w:val="22"/>
          <w:szCs w:val="22"/>
          <w:lang w:val="en-GB"/>
        </w:rPr>
        <w:t xml:space="preserve">25101 </w:t>
      </w:r>
      <w:proofErr w:type="spellStart"/>
      <w:r w:rsidR="00021C28">
        <w:rPr>
          <w:rFonts w:ascii="Times New Roman" w:hAnsi="Times New Roman"/>
          <w:b/>
          <w:sz w:val="22"/>
          <w:szCs w:val="22"/>
          <w:lang w:val="en-GB"/>
        </w:rPr>
        <w:t>Sombor</w:t>
      </w:r>
      <w:proofErr w:type="spellEnd"/>
      <w:r w:rsidR="00F35B9E">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6" w:name="_Toc42488089"/>
      <w:r w:rsidRPr="00E82463">
        <w:t>Evaluation of tenders</w:t>
      </w:r>
      <w:bookmarkEnd w:id="26"/>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w:t>
      </w:r>
      <w:r w:rsidRPr="00E82463">
        <w:rPr>
          <w:rFonts w:ascii="Times New Roman" w:hAnsi="Times New Roman"/>
          <w:sz w:val="22"/>
          <w:lang w:val="en-GB"/>
        </w:rPr>
        <w:lastRenderedPageBreak/>
        <w:t>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8" w:name="_Toc41467299"/>
      <w:bookmarkStart w:id="29"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of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w:t>
      </w:r>
      <w:r w:rsidRPr="00C12527">
        <w:rPr>
          <w:rFonts w:ascii="Times New Roman" w:hAnsi="Times New Roman"/>
          <w:sz w:val="22"/>
          <w:lang w:val="fr-BE"/>
        </w:rPr>
        <w:lastRenderedPageBreak/>
        <w:t xml:space="preserve">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lastRenderedPageBreak/>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8"/>
      <w:bookmarkEnd w:id="29"/>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2" w:name="_Toc42488093"/>
      <w:proofErr w:type="spellStart"/>
      <w:r w:rsidRPr="00E82463">
        <w:t>Cancellation</w:t>
      </w:r>
      <w:proofErr w:type="spellEnd"/>
      <w:r w:rsidRPr="00E82463">
        <w:t xml:space="preserve"> of the tender </w:t>
      </w:r>
      <w:proofErr w:type="spellStart"/>
      <w:r w:rsidRPr="00E82463">
        <w:t>procedure</w:t>
      </w:r>
      <w:bookmarkEnd w:id="32"/>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lastRenderedPageBreak/>
        <w:t>Appeals</w:t>
      </w:r>
      <w:proofErr w:type="spellEnd"/>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rsidR="00130EF1" w:rsidRPr="00E82463" w:rsidRDefault="00130EF1" w:rsidP="009423FB">
      <w:pPr>
        <w:pStyle w:val="BodyText"/>
        <w:ind w:left="567"/>
        <w:jc w:val="both"/>
        <w:rPr>
          <w:rFonts w:ascii="Times New Roman" w:hAnsi="Times New Roman"/>
          <w:sz w:val="22"/>
          <w:szCs w:val="22"/>
        </w:rPr>
      </w:pPr>
      <w:bookmarkStart w:id="33" w:name="_GoBack"/>
      <w:bookmarkEnd w:id="33"/>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7D1" w:rsidRPr="006A5F84" w:rsidRDefault="001D07D1">
      <w:r w:rsidRPr="006A5F84">
        <w:separator/>
      </w:r>
    </w:p>
  </w:endnote>
  <w:endnote w:type="continuationSeparator" w:id="0">
    <w:p w:rsidR="001D07D1" w:rsidRPr="006A5F84" w:rsidRDefault="001D07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D167C6"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17099F">
      <w:rPr>
        <w:rStyle w:val="PageNumber"/>
        <w:rFonts w:ascii="Times New Roman" w:hAnsi="Times New Roman"/>
        <w:noProof/>
        <w:sz w:val="18"/>
        <w:szCs w:val="18"/>
      </w:rPr>
      <w:t>12</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17099F">
      <w:rPr>
        <w:rStyle w:val="PageNumber"/>
        <w:rFonts w:ascii="Times New Roman" w:hAnsi="Times New Roman"/>
        <w:noProof/>
        <w:sz w:val="18"/>
        <w:szCs w:val="18"/>
      </w:rPr>
      <w:t>12</w:t>
    </w:r>
    <w:r w:rsidR="006D7CBF" w:rsidRPr="009423FB">
      <w:rPr>
        <w:rStyle w:val="PageNumber"/>
        <w:rFonts w:ascii="Times New Roman" w:hAnsi="Times New Roman"/>
        <w:sz w:val="18"/>
        <w:szCs w:val="18"/>
      </w:rPr>
      <w:fldChar w:fldCharType="end"/>
    </w:r>
  </w:p>
  <w:p w:rsidR="006D7CBF" w:rsidRPr="006D7CBF" w:rsidRDefault="00D167C6"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7D1" w:rsidRPr="006A5F84" w:rsidRDefault="001D07D1">
      <w:r w:rsidRPr="006A5F84">
        <w:separator/>
      </w:r>
    </w:p>
  </w:footnote>
  <w:footnote w:type="continuationSeparator" w:id="0">
    <w:p w:rsidR="001D07D1" w:rsidRPr="006A5F84" w:rsidRDefault="001D07D1">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976B36">
    <w:pPr>
      <w:pStyle w:val="Header"/>
    </w:pPr>
    <w:r>
      <w:rPr>
        <w:rFonts w:ascii="Calibri" w:hAnsi="Calibri"/>
        <w:noProof/>
        <w:sz w:val="22"/>
        <w:szCs w:val="22"/>
        <w:lang w:val="en-US"/>
      </w:rPr>
      <w:drawing>
        <wp:inline distT="0" distB="0" distL="0" distR="0" wp14:anchorId="3882DA7A" wp14:editId="0F0446FA">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3539"/>
    <w:rsid w:val="00007151"/>
    <w:rsid w:val="000076C2"/>
    <w:rsid w:val="00007DCD"/>
    <w:rsid w:val="00010561"/>
    <w:rsid w:val="00010EFB"/>
    <w:rsid w:val="000167B8"/>
    <w:rsid w:val="00021C2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8AF"/>
    <w:rsid w:val="00066CBA"/>
    <w:rsid w:val="000714BB"/>
    <w:rsid w:val="0007671B"/>
    <w:rsid w:val="00083FD1"/>
    <w:rsid w:val="0008592A"/>
    <w:rsid w:val="00085CA1"/>
    <w:rsid w:val="00087F35"/>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23BF"/>
    <w:rsid w:val="00103348"/>
    <w:rsid w:val="00103913"/>
    <w:rsid w:val="00104B37"/>
    <w:rsid w:val="0010518E"/>
    <w:rsid w:val="00111B28"/>
    <w:rsid w:val="00113D89"/>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099F"/>
    <w:rsid w:val="00171C45"/>
    <w:rsid w:val="00172F60"/>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07D1"/>
    <w:rsid w:val="001D20C7"/>
    <w:rsid w:val="001D339B"/>
    <w:rsid w:val="001D4BC6"/>
    <w:rsid w:val="001D59E8"/>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3A7"/>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260C"/>
    <w:rsid w:val="00384ABB"/>
    <w:rsid w:val="00384BAB"/>
    <w:rsid w:val="00385FFC"/>
    <w:rsid w:val="00387C56"/>
    <w:rsid w:val="00391328"/>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39D2"/>
    <w:rsid w:val="005B5553"/>
    <w:rsid w:val="005C0EA1"/>
    <w:rsid w:val="005D72F7"/>
    <w:rsid w:val="005E0B76"/>
    <w:rsid w:val="005E2EE8"/>
    <w:rsid w:val="005F3C51"/>
    <w:rsid w:val="005F62D0"/>
    <w:rsid w:val="00607101"/>
    <w:rsid w:val="00613E4C"/>
    <w:rsid w:val="00614AE9"/>
    <w:rsid w:val="006164B8"/>
    <w:rsid w:val="0062188A"/>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344E"/>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542C"/>
    <w:rsid w:val="00845CF7"/>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15FB8"/>
    <w:rsid w:val="00920A51"/>
    <w:rsid w:val="00922542"/>
    <w:rsid w:val="009248DA"/>
    <w:rsid w:val="009251E3"/>
    <w:rsid w:val="0093377C"/>
    <w:rsid w:val="0093582A"/>
    <w:rsid w:val="009423FB"/>
    <w:rsid w:val="009427F4"/>
    <w:rsid w:val="0094670B"/>
    <w:rsid w:val="00947FC3"/>
    <w:rsid w:val="00950813"/>
    <w:rsid w:val="009514EC"/>
    <w:rsid w:val="00976B36"/>
    <w:rsid w:val="00980A42"/>
    <w:rsid w:val="00991701"/>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41EA"/>
    <w:rsid w:val="00B75031"/>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1D94"/>
    <w:rsid w:val="00CB2373"/>
    <w:rsid w:val="00CB39DD"/>
    <w:rsid w:val="00CB3E27"/>
    <w:rsid w:val="00CB4E1D"/>
    <w:rsid w:val="00CC6A40"/>
    <w:rsid w:val="00CC7DE2"/>
    <w:rsid w:val="00CD4884"/>
    <w:rsid w:val="00CD7F25"/>
    <w:rsid w:val="00CF2D8C"/>
    <w:rsid w:val="00CF2DE2"/>
    <w:rsid w:val="00CF30C4"/>
    <w:rsid w:val="00CF48EA"/>
    <w:rsid w:val="00CF63C2"/>
    <w:rsid w:val="00CF6CFA"/>
    <w:rsid w:val="00D00E91"/>
    <w:rsid w:val="00D02E23"/>
    <w:rsid w:val="00D03108"/>
    <w:rsid w:val="00D07A31"/>
    <w:rsid w:val="00D1398A"/>
    <w:rsid w:val="00D140F4"/>
    <w:rsid w:val="00D16410"/>
    <w:rsid w:val="00D167C6"/>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5E6"/>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D067B"/>
    <w:rsid w:val="00EE0ED9"/>
    <w:rsid w:val="00EE109E"/>
    <w:rsid w:val="00EE23B1"/>
    <w:rsid w:val="00EE2E55"/>
    <w:rsid w:val="00EE6BC0"/>
    <w:rsid w:val="00EF1C05"/>
    <w:rsid w:val="00EF3951"/>
    <w:rsid w:val="00EF6426"/>
    <w:rsid w:val="00F01A04"/>
    <w:rsid w:val="00F02006"/>
    <w:rsid w:val="00F041A6"/>
    <w:rsid w:val="00F0574A"/>
    <w:rsid w:val="00F10944"/>
    <w:rsid w:val="00F25C38"/>
    <w:rsid w:val="00F33A99"/>
    <w:rsid w:val="00F35B9E"/>
    <w:rsid w:val="00F3658D"/>
    <w:rsid w:val="00F37D25"/>
    <w:rsid w:val="00F40CD6"/>
    <w:rsid w:val="00F45106"/>
    <w:rsid w:val="00F4528C"/>
    <w:rsid w:val="00F5542A"/>
    <w:rsid w:val="00F56D4C"/>
    <w:rsid w:val="00F63914"/>
    <w:rsid w:val="00F652E9"/>
    <w:rsid w:val="00F658F3"/>
    <w:rsid w:val="00F676D0"/>
    <w:rsid w:val="00F67C74"/>
    <w:rsid w:val="00F67D26"/>
    <w:rsid w:val="00F73A7B"/>
    <w:rsid w:val="00F8016B"/>
    <w:rsid w:val="00F804E1"/>
    <w:rsid w:val="00F80DD7"/>
    <w:rsid w:val="00F84AE0"/>
    <w:rsid w:val="00F874CE"/>
    <w:rsid w:val="00F87F88"/>
    <w:rsid w:val="00F90A9F"/>
    <w:rsid w:val="00F91DF6"/>
    <w:rsid w:val="00F962E3"/>
    <w:rsid w:val="00F973FC"/>
    <w:rsid w:val="00FA3359"/>
    <w:rsid w:val="00FA3F66"/>
    <w:rsid w:val="00FA73A6"/>
    <w:rsid w:val="00FA74CD"/>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EDD51-4B61-4B7F-8E95-A3B79808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4489</Words>
  <Characters>25591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30020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2015-12-04T10:44:00Z</cp:lastPrinted>
  <dcterms:created xsi:type="dcterms:W3CDTF">2022-01-26T08:32:00Z</dcterms:created>
  <dcterms:modified xsi:type="dcterms:W3CDTF">2022-04-06T05:05:00Z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